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52705</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48895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0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7"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150495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112395</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500" w:type="dxa"/>
            <w:vAlign w:val="bottom"/>
            <w:gridSpan w:val="3"/>
          </w:tcPr>
          <w:p>
            <w:pPr>
              <w:jc w:val="center"/>
              <w:ind w:left="1047"/>
              <w:spacing w:after="0"/>
              <w:rPr>
                <w:sz w:val="20"/>
                <w:szCs w:val="20"/>
                <w:color w:val="auto"/>
              </w:rPr>
            </w:pPr>
            <w:r>
              <w:rPr>
                <w:rFonts w:ascii="Times New Roman" w:cs="Times New Roman" w:eastAsia="Times New Roman" w:hAnsi="Times New Roman"/>
                <w:sz w:val="18"/>
                <w:szCs w:val="18"/>
                <w:b w:val="1"/>
                <w:bCs w:val="1"/>
                <w:color w:val="auto"/>
                <w:w w:val="97"/>
              </w:rPr>
              <w:t>Luxembourg</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6"/>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4"/>
        </w:trPr>
        <w:tc>
          <w:tcPr>
            <w:tcW w:w="4500" w:type="dxa"/>
            <w:vAlign w:val="bottom"/>
            <w:gridSpan w:val="3"/>
          </w:tcPr>
          <w:p>
            <w:pPr>
              <w:jc w:val="center"/>
              <w:ind w:left="102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jc w:val="center"/>
              <w:ind w:right="1606"/>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2"/>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33, Boulevard Prince Henri</w:t>
            </w:r>
          </w:p>
        </w:tc>
        <w:tc>
          <w:tcPr>
            <w:tcW w:w="4000" w:type="dxa"/>
            <w:vAlign w:val="bottom"/>
          </w:tcPr>
          <w:p>
            <w:pPr>
              <w:spacing w:after="0"/>
              <w:rPr>
                <w:sz w:val="24"/>
                <w:szCs w:val="24"/>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L-1724 Luxembourg</w:t>
            </w:r>
          </w:p>
        </w:tc>
        <w:tc>
          <w:tcPr>
            <w:tcW w:w="400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Grand Duchy of Luxembourg</w:t>
            </w:r>
          </w:p>
        </w:tc>
        <w:tc>
          <w:tcPr>
            <w:tcW w:w="4000" w:type="dxa"/>
            <w:vAlign w:val="bottom"/>
          </w:tcPr>
          <w:p>
            <w:pPr>
              <w:spacing w:after="0"/>
              <w:rPr>
                <w:sz w:val="18"/>
                <w:szCs w:val="18"/>
                <w:color w:val="auto"/>
              </w:rPr>
            </w:pPr>
          </w:p>
        </w:tc>
      </w:tr>
      <w:tr>
        <w:trPr>
          <w:trHeight w:val="18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5"/>
                <w:szCs w:val="15"/>
                <w:color w:val="auto"/>
              </w:rPr>
            </w:pPr>
          </w:p>
        </w:tc>
      </w:tr>
      <w:tr>
        <w:trPr>
          <w:trHeight w:val="293"/>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4"/>
        </w:trPr>
        <w:tc>
          <w:tcPr>
            <w:tcW w:w="7240" w:type="dxa"/>
            <w:vAlign w:val="bottom"/>
            <w:gridSpan w:val="6"/>
          </w:tcPr>
          <w:p>
            <w:pPr>
              <w:jc w:val="center"/>
              <w:ind w:left="392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225"/>
        </w:trPr>
        <w:tc>
          <w:tcPr>
            <w:tcW w:w="45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305"/>
        </w:trPr>
        <w:tc>
          <w:tcPr>
            <w:tcW w:w="4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7"/>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9"/>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9"/>
              </w:rPr>
              <w:t>Cash Exercise Stakeholder Warrants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9"/>
              </w:rPr>
              <w:t>ASPSZ</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9"/>
              </w:rPr>
              <w:t>Net Settle Stakeholder Warrants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8"/>
              </w:rPr>
              <w:t>ASPSW</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1"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3" w:right="339" w:bottom="1440" w:gutter="0" w:footer="0" w:header="0"/>
        </w:sectPr>
      </w:pPr>
    </w:p>
    <w:p>
      <w:pPr>
        <w:spacing w:after="0" w:line="75" w:lineRule="exact"/>
        <w:rPr>
          <w:sz w:val="24"/>
          <w:szCs w:val="24"/>
          <w:color w:val="auto"/>
        </w:rPr>
      </w:pPr>
    </w:p>
    <w:p>
      <w:pPr>
        <w:ind w:left="140"/>
        <w:spacing w:after="0" w:line="330"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0" w:lineRule="exact"/>
        <w:rPr>
          <w:sz w:val="24"/>
          <w:szCs w:val="24"/>
          <w:color w:val="auto"/>
        </w:rPr>
      </w:pPr>
    </w:p>
    <w:p>
      <w:pPr>
        <w:sectPr>
          <w:pgSz w:w="11900" w:h="16838" w:orient="portrait"/>
          <w:cols w:equalWidth="0" w:num="4">
            <w:col w:w="1420" w:space="360"/>
            <w:col w:w="5540" w:space="720"/>
            <w:col w:w="1540" w:space="520"/>
            <w:col w:w="1140"/>
          </w:cols>
          <w:pgMar w:left="320" w:top="1373"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0" w:lineRule="exact"/>
        <w:rPr>
          <w:sz w:val="24"/>
          <w:szCs w:val="24"/>
          <w:color w:val="auto"/>
        </w:rPr>
      </w:pPr>
    </w:p>
    <w:p>
      <w:pPr>
        <w:ind w:right="4000"/>
        <w:spacing w:after="0" w:line="24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17, 2026, there were 11,278,949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642620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71177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83185</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7780" w:type="dxa"/>
            <w:vAlign w:val="bottom"/>
            <w:gridSpan w:val="11"/>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340" w:type="dxa"/>
            <w:vAlign w:val="bottom"/>
            <w:tcBorders>
              <w:bottom w:val="single" w:sz="8" w:color="0000FF"/>
            </w:tcBorders>
            <w:gridSpan w:val="10"/>
            <w:vMerge w:val="continue"/>
          </w:tcPr>
          <w:p>
            <w:pPr>
              <w:spacing w:after="0"/>
              <w:rPr>
                <w:sz w:val="14"/>
                <w:szCs w:val="14"/>
                <w:color w:val="auto"/>
              </w:rPr>
            </w:pPr>
          </w:p>
        </w:tc>
        <w:tc>
          <w:tcPr>
            <w:tcW w:w="7780" w:type="dxa"/>
            <w:vAlign w:val="bottom"/>
            <w:gridSpan w:val="11"/>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 xml:space="preserve">Condensed Consolidated Statements of Operations and Comprehensive </w:t>
            </w:r>
            <w:r>
              <w:rPr>
                <w:rFonts w:ascii="Times New Roman" w:cs="Times New Roman" w:eastAsia="Times New Roman" w:hAnsi="Times New Roman"/>
                <w:sz w:val="18"/>
                <w:szCs w:val="18"/>
                <w:color w:val="000000"/>
              </w:rPr>
              <w:t>Loss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(Deficit)</w:t>
            </w:r>
          </w:p>
        </w:tc>
        <w:tc>
          <w:tcPr>
            <w:tcW w:w="37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60" w:type="dxa"/>
            <w:vAlign w:val="bottom"/>
          </w:tcPr>
          <w:p>
            <w:pPr>
              <w:spacing w:after="0"/>
              <w:rPr>
                <w:sz w:val="22"/>
                <w:szCs w:val="22"/>
                <w:color w:val="auto"/>
              </w:rPr>
            </w:pP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3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740" w:type="dxa"/>
            <w:vAlign w:val="bottom"/>
            <w:tcBorders>
              <w:left w:val="single" w:sz="8" w:color="0000FF"/>
            </w:tcBorders>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1A</w:t>
            </w:r>
          </w:p>
        </w:tc>
        <w:tc>
          <w:tcPr>
            <w:tcW w:w="260" w:type="dxa"/>
            <w:vAlign w:val="bottom"/>
          </w:tcPr>
          <w:p>
            <w:pPr>
              <w:spacing w:after="0"/>
              <w:rPr>
                <w:sz w:val="22"/>
                <w:szCs w:val="22"/>
                <w:color w:val="auto"/>
              </w:rPr>
            </w:pP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260" w:type="dxa"/>
            <w:vAlign w:val="bottom"/>
          </w:tcPr>
          <w:p>
            <w:pPr>
              <w:spacing w:after="0"/>
              <w:rPr>
                <w:sz w:val="22"/>
                <w:szCs w:val="22"/>
                <w:color w:val="auto"/>
              </w:rPr>
            </w:pP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4"/>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$1,855 and $2,492, respectively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9,690</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6"/>
                <w:szCs w:val="16"/>
                <w:color w:val="auto"/>
              </w:rPr>
              <w:t>LIABILITIES AND DEFICIT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39,595</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47,065</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189,861</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8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rPr>
              <w:t>Common stock ($0.01 par value; 250,000 shares authorized, 11,279 issued and outstanding as of March 31, 2026; 11,021</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0"/>
        </w:trPr>
        <w:tc>
          <w:tcPr>
            <w:tcW w:w="8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issued and 10,994 outstanding as of December 31, 2025)</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257,359</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(363,735)</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(27 shares as of December 31, 2025)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Altisource deficit</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(110,459)</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(110,214)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deficit</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(109,642)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(109,463)</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ALTISOURCE PORTFOLIO SOLUTIONS S.A. Condensed Consolidated Statements of Operations and Comprehensive Loss </w:t>
      </w: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8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43,439</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30,114</w:t>
            </w:r>
          </w:p>
        </w:tc>
      </w:tr>
      <w:tr>
        <w:trPr>
          <w:trHeight w:val="194"/>
        </w:trPr>
        <w:tc>
          <w:tcPr>
            <w:tcW w:w="8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13,325</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w:t>
            </w:r>
          </w:p>
        </w:tc>
      </w:tr>
      <w:tr>
        <w:trPr>
          <w:trHeight w:val="194"/>
        </w:trPr>
        <w:tc>
          <w:tcPr>
            <w:tcW w:w="8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r>
      <w:tr>
        <w:trPr>
          <w:trHeight w:val="212"/>
        </w:trPr>
        <w:tc>
          <w:tcPr>
            <w:tcW w:w="8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194"/>
        </w:trPr>
        <w:tc>
          <w:tcPr>
            <w:tcW w:w="8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4"/>
        </w:trPr>
        <w:tc>
          <w:tcPr>
            <w:tcW w:w="8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loss, net of tax</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r>
      <w:tr>
        <w:trPr>
          <w:trHeight w:val="21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4"/>
        </w:trPr>
        <w:tc>
          <w:tcPr>
            <w:tcW w:w="8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Altisource</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42,179</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share units and restricted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9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(109,463)</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share units and restricted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9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(109,642)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198"/>
        </w:trPr>
        <w:tc>
          <w:tcPr>
            <w:tcW w:w="8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18"/>
                <w:szCs w:val="18"/>
                <w:color w:val="auto"/>
              </w:rPr>
            </w:pPr>
          </w:p>
        </w:tc>
        <w:tc>
          <w:tcPr>
            <w:tcW w:w="90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r>
      <w:tr>
        <w:trPr>
          <w:trHeight w:val="214"/>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(4,972)</w:t>
            </w:r>
          </w:p>
        </w:tc>
      </w:tr>
      <w:tr>
        <w:trPr>
          <w:trHeight w:val="194"/>
        </w:trPr>
        <w:tc>
          <w:tcPr>
            <w:tcW w:w="8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4"/>
        </w:trPr>
        <w:tc>
          <w:tcPr>
            <w:tcW w:w="8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Super Senior Facility</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11,250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issuance costs</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vesting of restricted share units and restricted shares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w:t>
            </w:r>
          </w:p>
        </w:tc>
      </w:tr>
      <w:tr>
        <w:trPr>
          <w:trHeight w:val="194"/>
        </w:trPr>
        <w:tc>
          <w:tcPr>
            <w:tcW w:w="8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30,493</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32,700</w:t>
            </w:r>
          </w:p>
        </w:tc>
      </w:tr>
      <w:tr>
        <w:trPr>
          <w:trHeight w:val="194"/>
        </w:trPr>
        <w:tc>
          <w:tcPr>
            <w:tcW w:w="8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33,661</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33,693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9"/>
        </w:trPr>
        <w:tc>
          <w:tcPr>
            <w:tcW w:w="8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198"/>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920" w:type="dxa"/>
            <w:vAlign w:val="bottom"/>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0" w:type="dxa"/>
            <w:vAlign w:val="bottom"/>
          </w:tcPr>
          <w:p>
            <w:pPr>
              <w:spacing w:after="0"/>
              <w:rPr>
                <w:sz w:val="18"/>
                <w:szCs w:val="18"/>
                <w:color w:val="auto"/>
              </w:rPr>
            </w:pPr>
          </w:p>
        </w:tc>
        <w:tc>
          <w:tcPr>
            <w:tcW w:w="900" w:type="dxa"/>
            <w:vAlign w:val="bottom"/>
          </w:tcPr>
          <w:p>
            <w:pPr>
              <w:jc w:val="right"/>
              <w:ind w:right="7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 net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2"/>
        </w:trPr>
        <w:tc>
          <w:tcPr>
            <w:tcW w:w="8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issued in exchange for debt reduction</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45,370</w:t>
            </w:r>
          </w:p>
        </w:tc>
      </w:tr>
      <w:tr>
        <w:trPr>
          <w:trHeight w:val="214"/>
        </w:trPr>
        <w:tc>
          <w:tcPr>
            <w:tcW w:w="8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bl>
    <w:p>
      <w:pPr>
        <w:ind w:left="20" w:right="580"/>
        <w:spacing w:after="0" w:line="238"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98"/>
        </w:trPr>
        <w:tc>
          <w:tcPr>
            <w:tcW w:w="8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(see Note 22 for a description of our business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are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its wholly-owned subsidiaries and those entities in which we have a variable interest and are the primary beneficiary.</w:t>
      </w:r>
    </w:p>
    <w:p>
      <w:pPr>
        <w:spacing w:after="0" w:line="11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The management agreement expires on December 31, 2030 and provides for up to two automatic five-year renewal terms to December 31, 2040.</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2026, Lenders One had total assets of $0.7 million and total liabilities of $0.4 million. As of December 31, 2025, Lenders One had total assets of $0.6 million and total liabilities of $0.4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2025, as filed with the SEC on March 4,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Consolidation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28, 2025, Altisource Portfolio Solutions S.A. effected a consolidation of its shares of common stock (the “common stock”) (also known as a reverse stock split) at a ratio of 1-for-8 (the “Share Consolidation”). As a result of the Share Consolidation, every eight shares of common stock outstanding immediately prior to effectiveness of the Share Consolidation were combined and converted into one share of common stock, reducing the total number of issued and outstanding shares from 88,129,766 to 11,016,220. No fractional shares were issued in connection with the Share Consolidation. Instead, shareholders received cash in lieu of fractional shares, based on the closing price of Altisource’s common stock on May 27,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Consolidation did not change the authorized number of shares of Altisource’s common stock.</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share and per share amounts and exercise prices of stock options, and warrants in the accompanying condensed consolidated financial statements and notes to the condensed consolidated financial statements have been retroactively adjusted to reflect the Share Consolidation for all periods presented.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 xml:space="preserve">In July 2025, the Financial Accounting Standards Board (the “FASB”) issued ASU 2025-05, </w:t>
      </w:r>
      <w:r>
        <w:rPr>
          <w:rFonts w:ascii="Times New Roman" w:cs="Times New Roman" w:eastAsia="Times New Roman" w:hAnsi="Times New Roman"/>
          <w:sz w:val="17"/>
          <w:szCs w:val="17"/>
          <w:i w:val="1"/>
          <w:iCs w:val="1"/>
          <w:color w:val="auto"/>
        </w:rPr>
        <w:t>Financial Instruments - Credit Losses (Topic 326): Measurement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Credit Losses for Accounts Receivable and Contract Assets</w:t>
      </w:r>
      <w:r>
        <w:rPr>
          <w:rFonts w:ascii="Times New Roman" w:cs="Times New Roman" w:eastAsia="Times New Roman" w:hAnsi="Times New Roman"/>
          <w:sz w:val="17"/>
          <w:szCs w:val="17"/>
          <w:color w:val="auto"/>
        </w:rPr>
        <w:t>. This standard provides a practical expedient for estimating expected credit losses for current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accounts receivable and current contract assets arising from transactions accounted for under Topic 606. This standard allows companies to assume that conditions as of the balance sheet date remain unchanged for the remaining life of the asset. The Company adopted this standard effective January 1, 2026 and has applied it prospectively. Adoption of this new standard did not have a material impact on the Company’s condensed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standard amends the codification to enhance the disclosure requirements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 interim and year-end reporting periods. This standard will be effective for annual periods beginning after December 15, 2026, and for interim periods beginning after December 15, 2027. Early adoption of this standard is permitted. The Company is currently evaluating the impact this guidance may have on its condensed consolidated financial statements.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standard clarifies the form and content requirements for interim financial statements and introduces a disclosure principle requiring entities to report material events and changes occurring after the most recent annual period. This standard will be effective for interim periods within fiscal years beginning after December 15, 2027 for public business entities. Early adoption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standard is permitted. The Company is currently evaluating the impact this guidance may have on its consolidated financial statements.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This standard provides clarification and minor updates to various Topics in the FASB Accounting Standards Codification, including guidance related to earnings per share, lease receivables, beneficial interests, treasury stock, and transfers of receivables. This standard will be effective for annual periods beginning after December 15, 2026 and for interim periods within those annual reporting periods. Early adoption of this standard is permitted. The Company is currently evaluating the impact this guidance may have on its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Onity Group Inc. (together with its subsidiaries, “Onity”) is a residential mortgage loan servicer of mortgage servicing rights (“MSRs”) it owns, including those MSRs in which others have an economic interest, and a subservicer of loans owned by others.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Onity was our largest customer, accounting for 37%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three months ended March 31, 2026 and 2025, we recognized revenue from Onity of $19.5 million and $19.4 million, respectively. Revenue from Onity as a percentage of segment and consolidated revenue was as follows:</w:t>
      </w:r>
    </w:p>
    <w:p>
      <w:pPr>
        <w:spacing w:after="0" w:line="161"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8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bl>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three months ended March 31, 2026 and 2025, we recognized $1.8 million and $2.2 million, respectively, of such revenue. These amounts are not included in deriving revenue from Onity and revenue from Onity as a percentage of revenue discussed above.</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March 31, 2026, accounts receivable from Onity totaled $6.0 million, $3.5 million of which was billed and $2.5 million of which was unbilled. As of December 31, 2025, accounts receivable from Onity totaled $5.1 million, $2.6 million of which was billed and $2.5 million of which was unbilled.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unpaid principal balance (“UPB”)) and approximately 50% of all delinquent loans that Onity services were related to Rithm MSRs or rights to MSRs (the “Subject MSRs”). In November 2025, Onity disclosed that it had received notification from Rithm that Rithm does not intend to renew its subservicing agreements with Onity effective January 31, 2026.</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“Rithm Brokerage Agreement”). The Rithm Brokerage Agreement expired on August 31, 2025. At Rithm’s discretion, Altisource has continued to manage REO and receive referrals from portfolios subject to the Rithm Brokerage Agreement (“Rithm REO”) despite the expiration of the Rithm Brokerage Agreement. Beginning in March 2026, Altisource began transferring Rithm REO to Rithm. We expect most of the transfers of Rithm REO to Rithm will be complete in the second quarter of 2026.</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2026 and 2025, we recognized revenue from Rithm of $0.6 million and $0.6 million, respectively. For the three months ended March 31, 2026 and 2025, we recognized additional revenue of $2.5 million and $2.5 million, respectively, relating to the Subject MSRs when a party other than Rithm selected us as the service provider.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7,680</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Billed accounts receivable includes receivables from certain real estate asset management services, REO and foreclosure sales and title and closing services, for which we generally recognize revenue when the service is provided but collect upon closing of the sale. Unbilled accounts receivable also includes receivables from foreclosure trustee services and property renovation services, for which we generally recognize revenue over the service delivery period but bill following completion of the service. We also include amounts in unbilled accounts receivable that are earned during a month and billed in the following month. As of January 1, 2026, gross accounts receivable totaled $20.5 million, $12.8 million of which was billed and $7.7 million of which was unbilled, less allowance for credit losses of $2.5 million, resulting in net accounts receivable of $18.0 million. As of January 1, 2025, gross accounts receivable totaled $18.2 million, $12.2 million of which was billed and $6.0 million of which was unbilled, less allowance for credit losses of $3.1 million, resulting in net accounts receivable of $15.1 million.</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 / Subtractions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9"/>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0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2025</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8" w:lineRule="exact"/>
        <w:rPr>
          <w:sz w:val="20"/>
          <w:szCs w:val="20"/>
          <w:color w:val="auto"/>
        </w:rPr>
      </w:pPr>
    </w:p>
    <w:p>
      <w:pPr>
        <w:ind w:left="5540" w:right="5280" w:hanging="5534"/>
        <w:spacing w:after="0" w:line="486" w:lineRule="auto"/>
        <w:tabs>
          <w:tab w:leader="none" w:pos="307"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written off as uncollectible or transferred to other accounts or utilized.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380365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46,093</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46,891</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(46,638)</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Depreciation and amortization expense amounted to $0.1 million and $0.2 million for the three months ended March 31, 2026 and 2025, respectively, and is included in cost of revenue for operating assets and in selling, general and administrative expenses for non-operating assets in the accompanying condensed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0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6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2"/>
                <w:szCs w:val="12"/>
                <w:color w:val="auto"/>
              </w:rPr>
            </w:pPr>
          </w:p>
        </w:tc>
        <w:tc>
          <w:tcPr>
            <w:tcW w:w="130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20" w:type="dxa"/>
            <w:vAlign w:val="bottom"/>
          </w:tcPr>
          <w:p>
            <w:pPr>
              <w:jc w:val="center"/>
              <w:ind w:right="124"/>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9"/>
              </w:rPr>
              <w:t>6,340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8"/>
              </w:rPr>
              <w:t>(5,223)</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9"/>
              </w:rPr>
              <w:t>1,117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operating leases was $0.4 million and $0.2 million for the three months ended March 31, 2026 and 2025, respectively, and is included in cost of revenue for operating assets and in selling, general and administrative expenses for non-operating assets in the accompanying condensed consolidated statements of operations and comprehensive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10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2026 and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8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14"/>
                <w:szCs w:val="14"/>
                <w:color w:val="auto"/>
              </w:rPr>
            </w:pPr>
          </w:p>
        </w:tc>
        <w:tc>
          <w:tcPr>
            <w:tcW w:w="23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4"/>
                <w:szCs w:val="14"/>
                <w:color w:val="auto"/>
              </w:rPr>
            </w:pPr>
          </w:p>
        </w:tc>
        <w:tc>
          <w:tcPr>
            <w:tcW w:w="226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19"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
                <w:szCs w:val="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
                <w:szCs w:val="2"/>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34"/>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00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(206,182)</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w:t>
            </w: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Non-compete agreements</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Intellectual property</w:t>
            </w:r>
          </w:p>
        </w:tc>
        <w:tc>
          <w:tcPr>
            <w:tcW w:w="100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259,421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(243,760)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$1.4 million and $1.3 million for the three months ended March 31, 2026 and 2025, respectively. Forecasted annual definite lived intangible asset amortization expense for 2026 through 2030 is $5.5 million, $4.9 million, $4.4 million, $2.1 million and $0.2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342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9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2"/>
                <w:szCs w:val="12"/>
                <w:color w:val="auto"/>
              </w:rPr>
            </w:pPr>
          </w:p>
        </w:tc>
        <w:tc>
          <w:tcPr>
            <w:tcW w:w="130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20" w:type="dxa"/>
            <w:vAlign w:val="bottom"/>
          </w:tcPr>
          <w:p>
            <w:pPr>
              <w:jc w:val="right"/>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13,487</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17,282</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39,595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3, 2024, in connection with the Company’s Property Renovation Services business, Altisource Solutions, Inc., an indirect subsidiary of Altisource Portfolio Solutions S.A, entered into a revolving loan agreement (the “Revolving Loan Agreement”) with a then related-party, Accelitron Advanced Motor Controls, Inc. (“AAMC”) (formerly Altisource Asset Management Corporation) .</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was extended in June 2025 to June 3, 2026 and may be automatically extended for one year on each anniversary of the maturity date. During any extension period, AAMC may terminate the Revolving Loan Agreement upon 150 days prior written notice and the loan will mature upon such termination.</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pays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there was no outstanding debt under the Revolving Loan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Super senior term loan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debt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171,566</w:t>
            </w:r>
          </w:p>
        </w:tc>
        <w:tc>
          <w:tcPr>
            <w:tcW w:w="0" w:type="dxa"/>
            <w:vAlign w:val="bottom"/>
          </w:tcPr>
          <w:p>
            <w:pPr>
              <w:spacing w:after="0"/>
              <w:rPr>
                <w:sz w:val="1"/>
                <w:szCs w:val="1"/>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Plus: Unamortized premium</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Unamortized debt issuance and amendment costs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191,086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189,861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are due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9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14,458</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153,433</w:t>
            </w:r>
          </w:p>
        </w:tc>
      </w:tr>
      <w:tr>
        <w:trPr>
          <w:trHeight w:val="207"/>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171,260</w:t>
            </w:r>
          </w:p>
        </w:tc>
      </w:tr>
      <w:tr>
        <w:trPr>
          <w:trHeight w:val="20"/>
        </w:trPr>
        <w:tc>
          <w:tcPr>
            <w:tcW w:w="9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 (as amended by Amendment No. 2, the “Amended Credit Agreement”).</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7.3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(the “New Facility Credit Agreement”), are guarantors on the New Facility (collectively, the “Guarantors”).</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evaluated the Debt Exchange Transaction in accordance with ASC 470-60 </w:t>
      </w:r>
      <w:r>
        <w:rPr>
          <w:rFonts w:ascii="Times New Roman" w:cs="Times New Roman" w:eastAsia="Times New Roman" w:hAnsi="Times New Roman"/>
          <w:sz w:val="18"/>
          <w:szCs w:val="18"/>
          <w:i w:val="1"/>
          <w:iCs w:val="1"/>
          <w:color w:val="auto"/>
        </w:rPr>
        <w:t>Troubled Debt Restructuring</w:t>
      </w:r>
      <w:r>
        <w:rPr>
          <w:rFonts w:ascii="Times New Roman" w:cs="Times New Roman" w:eastAsia="Times New Roman" w:hAnsi="Times New Roman"/>
          <w:sz w:val="18"/>
          <w:szCs w:val="18"/>
          <w:color w:val="auto"/>
        </w:rPr>
        <w:t xml:space="preserve">. The evaluation for troubled debt restructuring includes assessing both qualitative and quantitative factors to determine whether the creditor granted a concession and whether the Company is experiencing financial difficulties. Our quantitative analysis consisted of comparing the effective borrowing rate on the New Facility to the effective borrowing rate on the SSTL immediately before the Debt Exchange Transaction. For purposes of ASC 470-60 </w:t>
      </w:r>
      <w:r>
        <w:rPr>
          <w:rFonts w:ascii="Times New Roman" w:cs="Times New Roman" w:eastAsia="Times New Roman" w:hAnsi="Times New Roman"/>
          <w:sz w:val="18"/>
          <w:szCs w:val="18"/>
          <w:i w:val="1"/>
          <w:iCs w:val="1"/>
          <w:color w:val="auto"/>
        </w:rPr>
        <w:t>Troubled Debt Restructuring</w:t>
      </w:r>
      <w:r>
        <w:rPr>
          <w:rFonts w:ascii="Times New Roman" w:cs="Times New Roman" w:eastAsia="Times New Roman" w:hAnsi="Times New Roman"/>
          <w:sz w:val="18"/>
          <w:szCs w:val="18"/>
          <w:color w:val="auto"/>
        </w:rPr>
        <w:t>, the Company concluded that (1) the lenders granted the Company a concession by reducing the effective borrowing rate on the debt and (2) the Company was experiencing financial difficulties. As a result, the Debt Exchange Transaction was accounted for as a troubled debt restructuring. The carrying value of the New Facility was determined as follows: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9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SSTL immediately before the Debt Exchange Transaction</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9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 immediately before the Debt Exchange Transaction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4"/>
        </w:trPr>
        <w:tc>
          <w:tcPr>
            <w:tcW w:w="98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fair value of equity issued to the SSTL lenders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fees paid to third parties on behalf of the SSTL lenders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left w:val="single" w:sz="8" w:color="CCEEFF"/>
              <w:bottom w:val="single" w:sz="8" w:color="BFE4FF"/>
            </w:tcBorders>
            <w:shd w:val="clear" w:color="auto" w:fill="BFE4FF"/>
          </w:tcPr>
          <w:p>
            <w:pPr>
              <w:ind w:left="20"/>
              <w:spacing w:after="0" w:line="172" w:lineRule="exact"/>
              <w:rPr>
                <w:sz w:val="20"/>
                <w:szCs w:val="20"/>
                <w:color w:val="auto"/>
              </w:rPr>
            </w:pPr>
            <w:r>
              <w:rPr>
                <w:rFonts w:ascii="Times New Roman" w:cs="Times New Roman" w:eastAsia="Times New Roman" w:hAnsi="Times New Roman"/>
                <w:sz w:val="16"/>
                <w:szCs w:val="16"/>
                <w:color w:val="auto"/>
                <w:w w:val="98"/>
                <w:shd w:val="clear" w:color="auto" w:fill="BFE4FF"/>
              </w:rPr>
              <w:t>Carrying value of the New Facility</w:t>
            </w:r>
          </w:p>
        </w:tc>
        <w:tc>
          <w:tcPr>
            <w:tcW w:w="75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auto"/>
            </w:tcBorders>
            <w:shd w:val="clear" w:color="auto" w:fill="CCEEFF"/>
          </w:tcPr>
          <w:p>
            <w:pPr>
              <w:jc w:val="right"/>
              <w:ind w:right="161"/>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Comprised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98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 value of the New Facility</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0" w:type="dxa"/>
            <w:vAlign w:val="bottom"/>
          </w:tcPr>
          <w:p>
            <w:pPr>
              <w:spacing w:after="0"/>
              <w:rPr>
                <w:sz w:val="1"/>
                <w:szCs w:val="1"/>
                <w:color w:val="auto"/>
              </w:rPr>
            </w:pPr>
          </w:p>
        </w:tc>
      </w:tr>
      <w:tr>
        <w:trPr>
          <w:trHeight w:val="210"/>
        </w:trPr>
        <w:tc>
          <w:tcPr>
            <w:tcW w:w="9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Premium</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26,285</w:t>
            </w:r>
          </w:p>
        </w:tc>
        <w:tc>
          <w:tcPr>
            <w:tcW w:w="0" w:type="dxa"/>
            <w:vAlign w:val="bottom"/>
          </w:tcPr>
          <w:p>
            <w:pPr>
              <w:spacing w:after="0"/>
              <w:rPr>
                <w:sz w:val="1"/>
                <w:szCs w:val="1"/>
                <w:color w:val="auto"/>
              </w:rPr>
            </w:pPr>
          </w:p>
        </w:tc>
      </w:tr>
      <w:tr>
        <w:trPr>
          <w:trHeight w:val="212"/>
        </w:trPr>
        <w:tc>
          <w:tcPr>
            <w:tcW w:w="98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07"/>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Debt Exchange Transaction, the Company also paid $3.6 million to advisors and others and recorded these payments as other expense in the consolidated statements of operations and comprehensive loss for the year ended December 31, 2025. Of the total $3.6 million, $3.0 million was recorded for the three months ended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for $157.5 million of the New Facility is April 30, 2030 and the maturity date for $1.4 million of the New Facility is January 15, 2029.</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New Facility requires mandatory prepayments of the term loans, subject to customary exceptions, as follows: (i) 100% of the proceeds of any other debt not permitted by the New Facility Credit Agreement, (ii) 95% of the net proceeds from the exercise of the Cash Exercise Stakeholder Warrants (as defined in Note 11 below), (iii) 100% of the proceeds of Asset Sales (as defined in the New Facility Credit Agreement),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Consolidated Excess Cash Flow (as defined in the New Facility Credit Agreement) for the most recently ended fiscal year of the Borrower for which financial statements have been delivered and (b) such amount which, immediately after giving effect to such repayment, would result in the Borrower and its subsidiaries having no less than $30 million of cash, shall be applied first to the prepayment of the Super Senior Facility (defined below) and, second, to the prepayment of the New Facility. All mandatory and voluntary prepayments under the New Facility are allocated between the New Debt and the Exit Fee on a pro rata basis.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New Facility will become due on the earlier of (i) the maturity date, and (ii) the date on which the loans are declared to be due and owing by the administrative agent at the request (or with the consent) of the Required Lenders (as defined in the New Facility credit agreement; other capitalized terms, unless defined herein, are defined in the New Facility credit agreement) or as otherwise provided in the New Facility credit agreement upon the occurrence of any event of default.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Debt bears interest at rates based upon, at our option, the Secured Overnight Financing Rate (“SOFR”) or the Base Rate, as defined in the New Facility credit agreement. SOFR-based term loans bear interest at a rate per annum equal to SOFR plus 6.50% (with a 3.50% SOFR floor) payable in cash. Base Rate-based term loans bear interest at a rate per annum equal to the Base Rate plus 5.50% payable in cash. The interest rate as of March 31, 2026 was 10.27%.</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payment of all amounts owing by the Borrower under the New Facility credit agreement is guaranteed by the Guarantors and is secured by a lien on substantially all of the assets of the Borrower, Altisource Portfolio Solutions S.A. and the other Guarantors, subject to certain exceptions. The liens securing the New Facility are junior to the liens securing the Super Senior Facility (defined below) pursuant to, and as set forth in, an intercreditor agreement.</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New Facility Credit Agreement contains representations, warranties, covenants, term and conditions customary for transactions of this type. These include covenants limiting the ability of Altisource, the Borrower and its subsidiaries, subject to certain exceptions and baskets, to (i) incur indebtedness, (ii) incur liens on its assets, (iii) agree to additional negative pledges, (iv) make Restricted Junior Payments (as defined in the New Facility Credit Agreement),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Subsidiary (as such term is defined in the New Credit Facility Credit Agreement), (ix) enter into sale and leaseback transactions, (x) enter into certain transactions with shareholders and affiliates, (xi) engage in a line of business substantially different than existing business and businesses reasonably related, complementary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or ancillary thereto, (xii) modify the terms of certain indebtedness, (xiii) modify the terms of its organizational documents, (xiv) change its fiscal year, and (xv) enter into any transactions undertaken in connection with a Liability Management Transaction (as defined in the New Facility Credit Agreement).</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New Facility contains certain events of default including (i) failure to pay (x) principal when due or (y) interest or any other amount owing on any other obligation under the New Facility Credit Agreement within 5 days of becoming due, (ii) material incorrectness of representations and warranties when made,</w:t>
      </w:r>
    </w:p>
    <w:p>
      <w:pPr>
        <w:jc w:val="both"/>
        <w:ind w:firstLine="6"/>
        <w:spacing w:after="0" w:line="246"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Portfolio Solutions S.A., Borrower or any Material Subsidiary (as defined in the New Facility Credit Agreement), (vii) entry by a court of one or more judgments against Altisource, Borrower or any Material Subsidiary in an amount in excess of $15 million that remain undischarged, unvacated, unbonded or unstayed for a certain number of days after the entry thereof, (viii) the occurrence of certain ERISA events, (ix) occurrence of a Change of Control (as defined in the New Credit Facility Credit Agreement), (x) the failure of certain Loan Documents (as defined in the New Facility Credit Agreement) to be in full force and effect or Altisource or any Guarantor challenges the validity of any such Loan Document, (xi) the termination of certain material contracts and (xii) failure to comply in any material respects with the terms of the Shareholder Warrants or the Warrant Agreement (as those terms are defined in the New Credit Facility Credit Agreement). If any event of default occurs and is not cured within applicable grace periods set forth in the New Facility Credit Agreement or waived, all loans and other obligations could become due and immediately payable.</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Deer Park Road Management Company, LP (together with its affiliates and managed funds, “Deer Park”), a related party, owned approximately 13% of Altisource’s common stock as of March 31, 2026 and December 31, 2025, and $19.8 million of Altisource debt as of March 31, 2026 and December 31, 2025, respectively. An employee of Deer Park is a member of Altisource’s Board of Directors. During the three months ended March 31, 2026 and 2025, Deer Park received interest of $0.4 million and $0.4 million, respectively. On April 3, 2025, Altisource Portfolio Solutions S.A. issued Deer Park Stakeholder Warrants to purchase 1.9 million shares of Altisource common stock for $9.5998 per share, which was its pro-rata share of the Stakeholder Warrants issued to all holders of common stock, restricted share units (“RSUs”) and Penny Warrants (as defined in Note 11) as of the record date for the issuance of Stakeholder Warrants.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UBS Asset Management (Americas) LLC (together with its affiliates and managed funds, “UBS”), a related party, owned approximately 22% of Altisource’s common stock as of March 31, 2026 and December 31, 2025, and $63.6 million and $63.7 million of Altisource debt (including the Super Senior Facility), as of March 31, 2026 and December 31, 2025, respectively. During the three months ended March 31, 2026 and 2025, UBS received interest of $1.3 million and $1.6 million, respectively. On April 3, 2025, Altisource Portfolio Solutions S.A. issued UBS Stakeholder Warrants to purchase 0.2 million shares of Altisource common stock for $9.5998 per share, which was its pro-rata share of the Stakeholder Warrants issued to all holders of common stock, RSUs and Penny Warrants as of the record date for the issuance of Stakeholder Warrants.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Benefit Street Partners L.L.C. (together with its affiliates and managed funds, “Benefit Street”), a related party, owned approximately 16% of Altisource’s common stock as of March 31, 2026 and December 31, 2025, and $30.8 million of Altisource debt, as of March 31, 2026 and December 31, 2025, respectively. During the three months ended March 31, 2026 and 2025, Benefit Street received interest of $0.5 million and $0.4 million, respectively. On April 3, 2025, Altisource Portfolio Solutions S.A. issued Benefit Street Stakeholder Warrants to purchase 2.2 million shares of Altisource common stock for $9.5998 per share, which was its pro-rata share of the Stakeholder Warrants issued to all holders of common stock, RSUs and Penny Warrants as of the record date for the issuance of Stakeholder Warrants.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Stakeholder Warrants, see Note 11.</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2026, debt issuance and amendment costs were $0.9 million, net of $9.1 million of accumulated amortization. As of December 31, 2025, debt issuance and amendment costs were $0.9 million, net of $9.1 million of accumulated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 Senior Credit Facility</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Debt Exchange Transactions (defined above) and for general corporate purposes. The maturity date of the Super Senior Facility is February 19, 2029. The original issue discount on the Super Senior Facility was 10.0%.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Beginning with the fiscal year ending December 31, 2025, the lesser of (a) 75% of the aggregate Consolidated Excess Cash Flow (as defined in the Super Senior Facility credit agreement (the “Super Senior Credit Agreement”))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Super Senior Credit Agreement is guaranteed by the Guarantors and is secured by a lien on substantially all of the assets of Altisource Portfolio Solutions S.A. and the Guarantors, subject to certain exceptions. The liens securing the Super Senior Facility are senior to the liens securing the New Facility pursuant to, and as set forth in, the Super Senior Intercreditor Agreement.</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Super Senior Credit Agreement contains representations, warranties, covenants, terms and conditions customary for transactions of this type. These include covenants limiting the ability of Altisource Portfolio Solutions S.A., the Borrower and their subsidiaries, subject to certain exceptions and baskets, to</w:t>
      </w:r>
    </w:p>
    <w:p>
      <w:pPr>
        <w:jc w:val="both"/>
        <w:ind w:firstLine="6"/>
        <w:spacing w:after="0" w:line="260" w:lineRule="auto"/>
        <w:tabs>
          <w:tab w:leader="none" w:pos="2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indebtedness, (ii) incur liens on its assets, (iii) agree to additional negative pledges, (iv) make Restricted Junior Payments (as defined in the Super Senior Credit Agreement),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Subsidiary (as defined in the New Credit Facility Credit Agreement), (ix) enter into sale and leaseback transactions, (x) enter into certain transactions with shareholders and affiliates, (xi) engage in a line of business substantially different than existing business and businesses reasonably related, complementary or ancillary thereto, (xii) modify the terms of certain indebtedness, (xiii) modify the terms of its organizational documents,</w:t>
      </w:r>
    </w:p>
    <w:p>
      <w:pPr>
        <w:spacing w:after="0" w:line="1" w:lineRule="exact"/>
        <w:rPr>
          <w:rFonts w:ascii="Times New Roman" w:cs="Times New Roman" w:eastAsia="Times New Roman" w:hAnsi="Times New Roman"/>
          <w:sz w:val="17"/>
          <w:szCs w:val="17"/>
          <w:color w:val="auto"/>
        </w:rPr>
      </w:pPr>
    </w:p>
    <w:p>
      <w:pPr>
        <w:jc w:val="both"/>
        <w:ind w:firstLine="6"/>
        <w:spacing w:after="0" w:line="260" w:lineRule="auto"/>
        <w:tabs>
          <w:tab w:leader="none" w:pos="39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its fiscal year, and (xv) enter into any transactions undertaken in connection with a Liability Management Transaction (as defined in the Super Senior Credit Agreement). The Super Senior Credit Agreement also requires that the Borrower maintain minimum daily liquidity of not less than the lesser of</w:t>
      </w: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$12.5 million and (b) the aggregate principal amount of Term Loans (as defined in the Super Senior Credit Agreement) under the Super Senior Facility outstanding on such date.</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Super Senior Credit Agreement requires mandatory prepayments of the term loans, subject to customary exceptions, as follows: (i) 100% of the proceeds of any other debt not permitted by the Super Senior Credit Agreement, (ii) 95% of the proceeds from the exercise of the Cash Exercise Stakeholder Warrants,</w:t>
      </w:r>
    </w:p>
    <w:p>
      <w:pPr>
        <w:jc w:val="both"/>
        <w:ind w:firstLine="6"/>
        <w:spacing w:after="0" w:line="246" w:lineRule="auto"/>
        <w:tabs>
          <w:tab w:leader="none" w:pos="3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proceeds of Asset Sales (as defined in the Super Senior Credit Agreement),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Consolidated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Super Senior Credit Agreement will become due on the earlier of (i) the maturity date, and (ii) the date on which the loans are declared to be due and owing by the administrative agent at the request (or with the consent) of the Required Lenders (as defined in the Super Senior Credit Agreement; other capitalized terms, unless defined herein, are defined in the Super Senior Credit Agreement) or as otherwise provided in the Super Senior Credit Agreement upon the occurrence of any event of default.</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Super Senior Facility bears interest at rates based upon, at our option, the SOFR or the Base Rate, as defined in the Super Senior Credit Agreement. SOFR-based term loans bear interest at a rate per annum equal to SOFR plus 6.50% (with a 3.50% SOFR floor) payable in cash. Base Rate-based term loans bear interest at a rate per annum equal to the Base Rate plus 5.50% payable in cash. The interest rate as of March 31, 2026 was 10.27%.</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Super Senior Credit Agreement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Portfolio Solutions S.A., Borrower or any Material Subsidiary (as defined in the Super Senior Credit Agreement), (vii) entry by a court of one or more judgments against Altisource Portfolio Solutions S.A., Borrower or any Material Subsidiary in an amount in excess of $15 million that remain undischarged, unvacated, unbonded or unstayed for a certain number of days.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 (“STS”) (the “Revolver”). STS is an investment fund managed by Deer Park. The Revolver was amended effective February 14, 2023. On February 19, 2025, Altisource entered into an agreement to terminate the $15.0 million Revolver with 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Penny Warrants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February 14, 2023, the lenders under the Amended Credit Agreement (see Note 10 for additional information) received warrants (the “Penny Warrants”) to purchase 402,981 shares of Altisource common stock (the “Penny Warrant Shares”). The number of Penny Warrant Shares was subject to reduction based on the amount of Aggregate Paydowns (as defined in the Amended Credit Agreement). Based on Aggregate Paydowns made during 2023, the number of Penny Warrant Shares was reduced to 201,588. The exercise price per share of common stock under each Penny Warrant was equal to $0.01. During the three months ended March 31, 2025, the remaining 189,483 Penny Warrant Shares were exercised, leaving no remaining Penny Warrants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Stakeholder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2025, the Company issued 70.5 million warrants to purchase approximately 14.3 million shares of Altisource common stock for $9.5998 per share (the “Stakeholder Warrants”). The distribution of Stakeholder Warrants was contingent upon, among other things, approval of the issuance by the Company’s shareholders and the consummation of the Debt Exchange Transaction (such conditions, collectively, the “Distribution Conditions”). The Distribution Conditions were satisfied during the quarter ended March 31, 2025.</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(“Net Settle Stakeholder Warrants”). Each Stakeholder Warrant is exercisable for 0.20313 shares of our common stock, subject to adjustment in accordance with the terms of the Stakeholder Warrants. The Stakeholder Warrants became exercisable pursuant to their term on July 28, 2025.</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Stakeholder Warrants are listed on the NASDAQ Global Select Market and began trading on May 7, 2025. The Cash Exercise Stakeholder Warrants trade under the symbol “ASPSZ” and the Net Settle Stakeholder Warrants trade under the symbol “ASPSW”.</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purposes of recording the issuance of the Stakeholder Warrants during the three months ended March 31, 2025, the fair values of the Cash Exercise Stakeholder Warrants and the Net Settle Stakeholder Warrants were determined using the Black-Scholes option pricing model. The following table summarizes the fair value of the Stakeholder Warrants and the assumptions used to determine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Cash Exercise Stakeholder Warrants</w:t>
            </w:r>
          </w:p>
        </w:tc>
        <w:tc>
          <w:tcPr>
            <w:tcW w:w="25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Net Settle Stakeholder Warrants</w:t>
            </w:r>
          </w:p>
        </w:tc>
      </w:tr>
      <w:tr>
        <w:trPr>
          <w:trHeight w:val="24"/>
        </w:trPr>
        <w:tc>
          <w:tcPr>
            <w:tcW w:w="60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92"/>
        </w:trPr>
        <w:tc>
          <w:tcPr>
            <w:tcW w:w="60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4.42 %</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option life (in years)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Stakeholder Warrant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r>
    </w:tbl>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Stakeholder Warrants are indexed to the common stock and are classified as equity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resulting in a $40.5 million increase in Additional paid-in capital. The distribution of the Stakeholder Warrants are non-reciprocal pro rata distributions and are accounted for as a dividend. Because the Company has negative retained earnings, the Company recorded the dividend as a $40.5 million reduction to Additional paid-in capital. Since the transaction is accounted for as both an increase and a decrease in Additional paid-in capital, the net result is zero and is not reflected in the Condensed Consolidated Statements of Equity (Deficit).</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outstanding Stakeholder Warrants and Stakeholder Warrant Shares issuable upon the exercise of outstanding Stakeholder Warrants following the distribution: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Cash Exercise Stakeholder</w:t>
            </w:r>
          </w:p>
        </w:tc>
        <w:tc>
          <w:tcPr>
            <w:tcW w:w="19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Cash Exercise Stakeholder</w:t>
            </w:r>
          </w:p>
        </w:tc>
        <w:tc>
          <w:tcPr>
            <w:tcW w:w="19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Net Settle Stakeholder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Settle Stakeholder</w:t>
            </w:r>
          </w:p>
        </w:tc>
        <w:tc>
          <w:tcPr>
            <w:tcW w:w="192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Total Stakeholder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Stakeholder Warrant</w:t>
            </w:r>
          </w:p>
        </w:tc>
        <w:tc>
          <w:tcPr>
            <w:tcW w:w="0" w:type="dxa"/>
            <w:vAlign w:val="bottom"/>
          </w:tcPr>
          <w:p>
            <w:pPr>
              <w:spacing w:after="0"/>
              <w:rPr>
                <w:sz w:val="1"/>
                <w:szCs w:val="1"/>
                <w:color w:val="auto"/>
              </w:rPr>
            </w:pPr>
          </w:p>
        </w:tc>
      </w:tr>
      <w:tr>
        <w:trPr>
          <w:trHeight w:val="191"/>
        </w:trPr>
        <w:tc>
          <w:tcPr>
            <w:tcW w:w="1820" w:type="dxa"/>
            <w:vAlign w:val="bottom"/>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9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90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920" w:type="dxa"/>
            <w:vAlign w:val="bottom"/>
            <w:vMerge w:val="continue"/>
          </w:tcPr>
          <w:p>
            <w:pPr>
              <w:spacing w:after="0"/>
              <w:rPr>
                <w:sz w:val="16"/>
                <w:szCs w:val="16"/>
                <w:color w:val="auto"/>
              </w:rPr>
            </w:pPr>
          </w:p>
        </w:tc>
        <w:tc>
          <w:tcPr>
            <w:tcW w:w="1800" w:type="dxa"/>
            <w:vAlign w:val="bottom"/>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1"/>
        </w:trPr>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35,230,503</w:t>
            </w:r>
          </w:p>
        </w:tc>
        <w:tc>
          <w:tcPr>
            <w:tcW w:w="19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7,156,372</w:t>
            </w:r>
          </w:p>
        </w:tc>
        <w:tc>
          <w:tcPr>
            <w:tcW w:w="19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35,230,503</w:t>
            </w: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7,156,372</w:t>
            </w:r>
          </w:p>
        </w:tc>
        <w:tc>
          <w:tcPr>
            <w:tcW w:w="1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70,461,006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14,312,744</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Stakeholder Warrants:</w:t>
      </w:r>
    </w:p>
    <w:p>
      <w:pPr>
        <w:spacing w:after="0" w:line="198" w:lineRule="exact"/>
        <w:rPr>
          <w:sz w:val="20"/>
          <w:szCs w:val="20"/>
          <w:color w:val="auto"/>
        </w:rPr>
      </w:pPr>
    </w:p>
    <w:p>
      <w:pPr>
        <w:ind w:left="630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auto"/>
        </w:rPr>
        <w:t>Cash Exercise Stakeholder Warrants</w:t>
      </w:r>
      <w:r>
        <w:rPr>
          <w:sz w:val="20"/>
          <w:szCs w:val="20"/>
          <w:color w:val="auto"/>
        </w:rPr>
        <w:tab/>
      </w:r>
      <w:r>
        <w:rPr>
          <w:rFonts w:ascii="Times New Roman" w:cs="Times New Roman" w:eastAsia="Times New Roman" w:hAnsi="Times New Roman"/>
          <w:sz w:val="14"/>
          <w:szCs w:val="14"/>
          <w:b w:val="1"/>
          <w:bCs w:val="1"/>
          <w:color w:val="auto"/>
        </w:rPr>
        <w:t>Net Settle Stakeholder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31115</wp:posOffset>
            </wp:positionV>
            <wp:extent cx="32137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Outstanding at December 31, 2025</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Granted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Exercised</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Outstanding at March 31, 2026</w:t>
      </w:r>
    </w:p>
    <w:p>
      <w:pPr>
        <w:spacing w:after="0" w:line="273" w:lineRule="exact"/>
        <w:rPr>
          <w:sz w:val="20"/>
          <w:szCs w:val="20"/>
          <w:color w:val="auto"/>
        </w:rPr>
      </w:pPr>
    </w:p>
    <w:p>
      <w:pPr>
        <w:ind w:right="1320"/>
        <w:spacing w:after="0" w:line="502" w:lineRule="auto"/>
        <w:rPr>
          <w:sz w:val="20"/>
          <w:szCs w:val="20"/>
          <w:color w:val="auto"/>
        </w:rPr>
      </w:pPr>
      <w:r>
        <w:rPr>
          <w:rFonts w:ascii="Times New Roman" w:cs="Times New Roman" w:eastAsia="Times New Roman" w:hAnsi="Times New Roman"/>
          <w:sz w:val="17"/>
          <w:szCs w:val="17"/>
          <w:b w:val="1"/>
          <w:bCs w:val="1"/>
          <w:color w:val="auto"/>
        </w:rPr>
        <w:t xml:space="preserve">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OTHER NON-CURRENT LIABILITIES </w:t>
      </w:r>
      <w:r>
        <w:rPr>
          <w:rFonts w:ascii="Times New Roman" w:cs="Times New Roman" w:eastAsia="Times New Roman" w:hAnsi="Times New Roman"/>
          <w:sz w:val="17"/>
          <w:szCs w:val="17"/>
          <w:color w:val="auto"/>
        </w:rPr>
        <w:t>Other non-current liabilities consist of the following:</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18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8287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liabilities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35,213,952</w:t>
            </w:r>
          </w:p>
        </w:tc>
        <w:tc>
          <w:tcPr>
            <w:tcW w:w="1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35,169,380</w:t>
            </w:r>
          </w:p>
        </w:tc>
      </w:tr>
      <w:tr>
        <w:trPr>
          <w:trHeight w:val="212"/>
        </w:trPr>
        <w:tc>
          <w:tcPr>
            <w:tcW w:w="2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35,213,952</w:t>
            </w:r>
          </w:p>
        </w:tc>
        <w:tc>
          <w:tcPr>
            <w:tcW w:w="100" w:type="dxa"/>
            <w:vAlign w:val="bottom"/>
          </w:tcPr>
          <w:p>
            <w:pPr>
              <w:spacing w:after="0"/>
              <w:rPr>
                <w:sz w:val="19"/>
                <w:szCs w:val="19"/>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35,169,380</w:t>
            </w: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-605155</wp:posOffset>
            </wp:positionV>
            <wp:extent cx="713486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-327660</wp:posOffset>
            </wp:positionV>
            <wp:extent cx="7134860"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5"/>
        </w:trPr>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20" w:type="dxa"/>
            <w:vAlign w:val="bottom"/>
          </w:tcPr>
          <w:p>
            <w:pPr>
              <w:spacing w:after="0"/>
              <w:rPr>
                <w:sz w:val="24"/>
                <w:szCs w:val="24"/>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r>
      <w:tr>
        <w:trPr>
          <w:trHeight w:val="212"/>
        </w:trPr>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2"/>
        </w:trPr>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5"/>
        </w:trPr>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404"/>
        </w:trPr>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-840740</wp:posOffset>
            </wp:positionV>
            <wp:extent cx="713486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-571500</wp:posOffset>
            </wp:positionV>
            <wp:extent cx="713486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-302260</wp:posOffset>
            </wp:positionV>
            <wp:extent cx="713486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060"/>
          </w:cols>
          <w:pgMar w:left="320" w:top="121"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March 31, 2026 and December 31, 2025. The following fair values are estimated using market information and what the Company believes to be appropriate valuation methodologies under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113,810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Super senior term loan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 prices. Based on the frequency of trading, we do not believe that there is an active market for our debt. Therefore, the quoted prices are considered Level 2 inputs.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Super Senior Facility was measured using Level 3 inputs based on the present value of the future payments. As quoted market prices are not available and there is no trading, we believe that the contractual interest rates represent the market rate at the measurement date and therefore the fair value equals the book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37% of its revenue from Onity for the three months ended March 31, 2026 (see Note 2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760"/>
        <w:spacing w:after="0" w:line="431"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2026, we had 250.0 million shares authorized, 11.3 million issued and outstanding shares of common stock. As of December 31, 2025, we had 250.0 million shares authorized, 11.0 million shares issued and outstanding shares of common stock. The holders of shares of Altisource common stock generally are entitled to one vote for each share on all matters voted on by shareholders, and the holders of such shares generally possess all voting power.</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from 100 million to 250 million, a decrease in the par value of the common stock from $1.00 to $0.01 and an increase in the number of shares of common stock reserved for issuance under the Equity Plan from approximately 1.5 million to approximately 2.0 million.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19, 2025, the Company issued 7.3 million Debt Exchange Shares to lenders in connection with the Debt Exchange Transaction. See Note 10, Long-Term Debt. Pursuant to the terms of the Exchange Agreement, dated February 19, 2025, by and among the Borrower and Altisource Portfolio Solutions S.A., on the one hand, and the Lenders, on the other hand, with limited exceptions, the Lenders were not, among other things, permitted to sell, offer to sell, grant any option to purchase or otherwise dispose of any Debt Exchange Shares, without the prior written consent of Altisource Portfolio Solutions S.A., until September 17,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March 31, 2026, approximately 0.4 million shares of common stock remain available for repurchase under the program. In connection with the elimination of the fractional shares resulting from the Share Consolidation, the Company purchased 204 shares of common stock during the second quarter of the year ended December 31, 2025 (no comparative amount for the three months ended March 31, 2026). There were no other purchases of shares of common stock during the year ended December 31, 2025 nor the three months ended March 31, 2026. Under the New Facility and the Super Senior Facility, we are not permitted to repurchase shares except under limited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RSUs for certain employees, officers and directors. We recognized share-based compensation expense of $1.2 million and $1.1 million for the three months ended March 31, 2026 and 2025, respectively. As of March 31, 2026, estimated unrecognized compensation costs related to share-based awards amounted to $2.8 million, which we expect to recognize over a weighted average remaining requisite service period of approximately 1.41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4 thousand service-based options were outstanding as of March 31, 2026.</w:t>
      </w:r>
    </w:p>
    <w:p>
      <w:pPr>
        <w:spacing w:after="0" w:line="107"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3 thousand market-based options were outstanding as of March 31, 2026.</w:t>
      </w:r>
    </w:p>
    <w:p>
      <w:pPr>
        <w:spacing w:after="0" w:line="130"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33 thousand performance-based options outstanding as of March 31,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three months ended March 31, 2026 and 2025.</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80" w:type="dxa"/>
            <w:vAlign w:val="bottom"/>
          </w:tcPr>
          <w:p>
            <w:pPr>
              <w:spacing w:after="0"/>
              <w:rPr>
                <w:sz w:val="13"/>
                <w:szCs w:val="13"/>
                <w:color w:val="auto"/>
              </w:rPr>
            </w:pPr>
          </w:p>
        </w:tc>
        <w:tc>
          <w:tcPr>
            <w:tcW w:w="12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40" w:type="dxa"/>
            <w:vAlign w:val="bottom"/>
          </w:tcPr>
          <w:p>
            <w:pPr>
              <w:jc w:val="center"/>
              <w:ind w:right="105"/>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40,319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2026</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40,319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March 31, 2026</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36,409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RSUs. The restricted shares and RSUs are comprised of a combination of service-based awards, performance-based awards and performance and market-based awards.</w:t>
      </w:r>
    </w:p>
    <w:p>
      <w:pPr>
        <w:spacing w:after="0" w:line="108"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one-to-four-year periods. A total of 692 thousand service-based awards were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w:t>
      </w:r>
    </w:p>
    <w:p>
      <w:pPr>
        <w:spacing w:after="0" w:line="107"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RSUs that may vest is based on the level of achievement as specified in the award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24 thousand performance-based awards were outstanding as of March 31, 2026.</w:t>
      </w:r>
    </w:p>
    <w:p>
      <w:pPr>
        <w:spacing w:after="0" w:line="12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24 thousand performance-based and market-based awards were outstanding as of March 31, 2026.</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148 thousand RSUs (at a weighted average grant date fair value of $7.43 per share) during the three months ended March 31, 2026. These grants included approximately four thousand performance-based awards and four thousand awards that include both a performance condition and a market condition. The Company granted 845 thousand RSUs (at a weighted average grant date fair value of $7.73 per share) during the three months ended March 31, 2025. Approximately 573 thousand of these RSUs were granted to senior management in connection with the Debt Exchange Transaction. These grants included 11 thousand performance-based awards and 11 thousand awards that include both a performance condition and a market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RSUs: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4"/>
        </w:trPr>
        <w:tc>
          <w:tcPr>
            <w:tcW w:w="96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198"/>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1,025,845</w:t>
            </w:r>
          </w:p>
        </w:tc>
      </w:tr>
      <w:tr>
        <w:trPr>
          <w:trHeight w:val="210"/>
        </w:trPr>
        <w:tc>
          <w:tcPr>
            <w:tcW w:w="9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147,874</w:t>
            </w:r>
          </w:p>
        </w:tc>
      </w:tr>
      <w:tr>
        <w:trPr>
          <w:trHeight w:val="214"/>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(284,898)</w:t>
            </w:r>
          </w:p>
        </w:tc>
      </w:tr>
      <w:tr>
        <w:trPr>
          <w:trHeight w:val="210"/>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(149,252)</w:t>
            </w:r>
          </w:p>
        </w:tc>
      </w:tr>
      <w:tr>
        <w:trPr>
          <w:trHeight w:val="194"/>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739,569</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One’s earnings are included in revenue and reduced from net loss to arrive at net loss attributable to Altisource (see Note 1). Our services are provided to customers primarily located in the United States. The components of revenue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5"/>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40,895</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Pr>
          <w:p>
            <w:pPr>
              <w:spacing w:after="0"/>
              <w:rPr>
                <w:sz w:val="16"/>
                <w:szCs w:val="16"/>
                <w:color w:val="auto"/>
              </w:rPr>
            </w:pPr>
          </w:p>
        </w:tc>
        <w:tc>
          <w:tcPr>
            <w:tcW w:w="3360" w:type="dxa"/>
            <w:vAlign w:val="bottom"/>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20" w:type="dxa"/>
            <w:vAlign w:val="bottom"/>
          </w:tcPr>
          <w:p>
            <w:pPr>
              <w:spacing w:after="0"/>
              <w:rPr>
                <w:sz w:val="11"/>
                <w:szCs w:val="11"/>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4"/>
        </w:trPr>
        <w:tc>
          <w:tcPr>
            <w:tcW w:w="4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2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recognized when services are performed or assets are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13,643</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42,788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30,485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38,411</w:t>
            </w:r>
          </w:p>
        </w:tc>
        <w:tc>
          <w:tcPr>
            <w:tcW w:w="0" w:type="dxa"/>
            <w:vAlign w:val="bottom"/>
          </w:tcPr>
          <w:p>
            <w:pPr>
              <w:spacing w:after="0"/>
              <w:rPr>
                <w:sz w:val="1"/>
                <w:szCs w:val="1"/>
                <w:color w:val="auto"/>
              </w:rPr>
            </w:pP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related to technology platforms and professional</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2,405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r>
        <w:trPr>
          <w:trHeight w:val="21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 revenue</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2,391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13,947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47,584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35,157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service revenue by the timing of revenue recognition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5"/>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Over-time revenue recognition</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Point-in-time revenue recognition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36,525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30,151</w:t>
            </w:r>
          </w:p>
        </w:tc>
      </w:tr>
      <w:tr>
        <w:trPr>
          <w:trHeight w:val="194"/>
        </w:trPr>
        <w:tc>
          <w:tcPr>
            <w:tcW w:w="8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40,895</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(presented as accounts receivable on our condensed consolidated balance sheets), and customer advances (presented as deferred revenue on our condensed consolidated balance sheets), where applicable.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over-time revenue recognition model consists primarily of the following services for which revenue is recognized over the period during which services are provided:</w:t>
      </w:r>
    </w:p>
    <w:p>
      <w:pPr>
        <w:spacing w:after="0" w:line="110" w:lineRule="exact"/>
        <w:rPr>
          <w:sz w:val="20"/>
          <w:szCs w:val="20"/>
          <w:color w:val="auto"/>
        </w:rPr>
      </w:pPr>
    </w:p>
    <w:p>
      <w:pPr>
        <w:ind w:left="320" w:hanging="314"/>
        <w:spacing w:after="0" w:line="257"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revenue is recognized as work progresses, in accordance with agreed upon milestones with full recognition upon completion and/or recording the related foreclosure deed</w:t>
      </w:r>
    </w:p>
    <w:p>
      <w:pPr>
        <w:ind w:left="320" w:hanging="314"/>
        <w:spacing w:after="0" w:line="24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software-as-a-service (“SaaS”) based technology to manage REO, we recognize revenue over the estimated average number of months the REO properties are on the platform before they are sold</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revenue is recognized over the period during which services are provided</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fund disbursement services, we recognize revenue over the period during which we perform the processing services with full recognition upon completion of the disbursements</w:t>
      </w:r>
    </w:p>
    <w:p>
      <w:pPr>
        <w:spacing w:after="0" w:line="1"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 As of March 31, 2026, the value of unfulfilled renovation orders amounted to $2.8 million, with the majority of this backlog expected to be completed and recognized as revenue within the second quarter of 2026 and the remainder anticipated to be completed in the third quarter of 2026</w:t>
      </w:r>
    </w:p>
    <w:p>
      <w:pPr>
        <w:spacing w:after="0" w:line="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membership fees from Lender One members ratably over the term of membership</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SaaS, we recognize revenue over the period during which we perform the services.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service revenue of $0.1 million and less than $0.1 million for the three months ended March 31, 2026 and 2025, respectively, relating to services provided to Aldridge Pite.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The deferred revenue opening and closing balances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47"/>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balance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4"/>
              <w:spacing w:after="0"/>
              <w:rPr>
                <w:sz w:val="20"/>
                <w:szCs w:val="20"/>
                <w:color w:val="auto"/>
              </w:rPr>
            </w:pPr>
            <w:r>
              <w:rPr>
                <w:rFonts w:ascii="Times New Roman" w:cs="Times New Roman" w:eastAsia="Times New Roman" w:hAnsi="Times New Roman"/>
                <w:sz w:val="16"/>
                <w:szCs w:val="16"/>
                <w:color w:val="auto"/>
                <w:w w:val="98"/>
              </w:rPr>
              <w:t>(3,487)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8"/>
              </w:rPr>
              <w:t>(3,979)</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that was included in the deferred revenue balance at the beginning of the period</w:t>
            </w:r>
          </w:p>
        </w:tc>
        <w:tc>
          <w:tcPr>
            <w:tcW w:w="320" w:type="dxa"/>
            <w:vAlign w:val="bottom"/>
          </w:tcPr>
          <w:p>
            <w:pPr>
              <w:spacing w:after="0"/>
              <w:rPr>
                <w:sz w:val="18"/>
                <w:szCs w:val="18"/>
                <w:color w:val="auto"/>
              </w:rPr>
            </w:pPr>
          </w:p>
        </w:tc>
        <w:tc>
          <w:tcPr>
            <w:tcW w:w="1100" w:type="dxa"/>
            <w:vAlign w:val="bottom"/>
          </w:tcPr>
          <w:p>
            <w:pPr>
              <w:jc w:val="center"/>
              <w:ind w:left="544"/>
              <w:spacing w:after="0"/>
              <w:rPr>
                <w:sz w:val="20"/>
                <w:szCs w:val="20"/>
                <w:color w:val="auto"/>
              </w:rPr>
            </w:pPr>
            <w:r>
              <w:rPr>
                <w:rFonts w:ascii="Times New Roman" w:cs="Times New Roman" w:eastAsia="Times New Roman" w:hAnsi="Times New Roman"/>
                <w:sz w:val="16"/>
                <w:szCs w:val="16"/>
                <w:color w:val="auto"/>
                <w:w w:val="99"/>
              </w:rPr>
              <w:t>1,526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9"/>
              </w:rPr>
              <w:t>1,825</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billing, excluding amounts recognized as revenue during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4"/>
              <w:spacing w:after="0"/>
              <w:rPr>
                <w:sz w:val="20"/>
                <w:szCs w:val="20"/>
                <w:color w:val="auto"/>
              </w:rPr>
            </w:pPr>
            <w:r>
              <w:rPr>
                <w:rFonts w:ascii="Times New Roman" w:cs="Times New Roman" w:eastAsia="Times New Roman" w:hAnsi="Times New Roman"/>
                <w:sz w:val="16"/>
                <w:szCs w:val="16"/>
                <w:color w:val="auto"/>
                <w:w w:val="98"/>
              </w:rPr>
              <w:t>(2,081)</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8"/>
              </w:rPr>
              <w:t>(1,485)</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ending balance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4"/>
              <w:spacing w:after="0"/>
              <w:rPr>
                <w:sz w:val="20"/>
                <w:szCs w:val="20"/>
                <w:color w:val="auto"/>
              </w:rPr>
            </w:pPr>
            <w:r>
              <w:rPr>
                <w:rFonts w:ascii="Times New Roman" w:cs="Times New Roman" w:eastAsia="Times New Roman" w:hAnsi="Times New Roman"/>
                <w:sz w:val="16"/>
                <w:szCs w:val="16"/>
                <w:color w:val="auto"/>
                <w:w w:val="98"/>
              </w:rPr>
              <w:t>(4,042)</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6"/>
                <w:szCs w:val="16"/>
                <w:color w:val="auto"/>
                <w:w w:val="98"/>
              </w:rPr>
              <w:t>(3,639)</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5"/>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19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recognized cost of revenue of $0.3 million and $0.2 million for the three months ended March 31, 2026 and 2025, respectively, relating to services received from Aldridge Pite. As of March 31, 2026, the Company had no amounts payable to Aldridge Pite.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includes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19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6158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8865"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18846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13" w:lineRule="exact"/>
        <w:rPr>
          <w:sz w:val="20"/>
          <w:szCs w:val="20"/>
          <w:color w:val="auto"/>
        </w:rPr>
      </w:pPr>
    </w:p>
    <w:p>
      <w:pPr>
        <w:ind w:left="54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31115</wp:posOffset>
            </wp:positionV>
            <wp:extent cx="9086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40" w:lineRule="exact"/>
        <w:rPr>
          <w:sz w:val="20"/>
          <w:szCs w:val="20"/>
          <w:color w:val="auto"/>
        </w:rPr>
      </w:pPr>
    </w:p>
    <w:p>
      <w:pPr>
        <w:spacing w:after="0"/>
        <w:tabs>
          <w:tab w:leader="none" w:pos="1080" w:val="left"/>
          <w:tab w:leader="none" w:pos="1500" w:val="left"/>
          <w:tab w:leader="none" w:pos="26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889</w:t>
        <w:tab/>
        <w:t>$</w:t>
      </w:r>
      <w:r>
        <w:rPr>
          <w:sz w:val="20"/>
          <w:szCs w:val="20"/>
          <w:color w:val="auto"/>
        </w:rPr>
        <w:tab/>
      </w:r>
      <w:r>
        <w:rPr>
          <w:rFonts w:ascii="Times New Roman" w:cs="Times New Roman" w:eastAsia="Times New Roman" w:hAnsi="Times New Roman"/>
          <w:sz w:val="16"/>
          <w:szCs w:val="16"/>
          <w:color w:val="auto"/>
        </w:rPr>
        <w:t>193</w:t>
      </w:r>
    </w:p>
    <w:p>
      <w:pPr>
        <w:spacing w:after="0" w:line="28" w:lineRule="exact"/>
        <w:rPr>
          <w:sz w:val="20"/>
          <w:szCs w:val="20"/>
          <w:color w:val="auto"/>
        </w:rPr>
      </w:pPr>
    </w:p>
    <w:p>
      <w:pPr>
        <w:ind w:left="2660" w:hanging="1626"/>
        <w:spacing w:after="0"/>
        <w:tabs>
          <w:tab w:leader="none" w:pos="26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(49)</w:t>
      </w:r>
    </w:p>
    <w:p>
      <w:pPr>
        <w:spacing w:after="0" w:line="252" w:lineRule="exact"/>
        <w:rPr>
          <w:sz w:val="20"/>
          <w:szCs w:val="20"/>
          <w:color w:val="auto"/>
        </w:rPr>
      </w:pPr>
    </w:p>
    <w:p>
      <w:pPr>
        <w:spacing w:after="0"/>
        <w:tabs>
          <w:tab w:leader="none" w:pos="1080" w:val="left"/>
          <w:tab w:leader="none" w:pos="1500" w:val="left"/>
          <w:tab w:leader="none" w:pos="26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740</w:t>
        <w:tab/>
        <w:t>$</w:t>
      </w:r>
      <w:r>
        <w:rPr>
          <w:sz w:val="20"/>
          <w:szCs w:val="20"/>
          <w:color w:val="auto"/>
        </w:rPr>
        <w:tab/>
      </w: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188468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4680" cy="336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580" w:space="720"/>
            <w:col w:w="2940"/>
          </w:cols>
          <w:pgMar w:left="320" w:top="121"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an income tax provision of $0.9 million and $0.7 million for the three months ended March 31, 2026 and 2025, respectively. The income tax provision for the three months ended March 31, 2026 and 2025 was driven by income tax expense on transfer pricing income from India and the United States, no tax benefit on the pretax loss from our Luxembourg operating company, and uncertain tax positions.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EARNINGS (LOSS) PER SHARE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loss per share is computed by dividing net loss available to common shareholders by the weighted average number of common shares outstanding for the period. For the three months ended March 31, 2026, diluted earnings per share reflects the assumed conversion of all dilutive securities using the treasury stock method. For three months ended March 31, 2026, diluted net loss per share excludes all dilutive securities because their impact would be anti-dilutive, as described below. Basic and diluted loss per share has been retroactively adjusted for all prior periods presented to reflect the effects of the Share Consolidation.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2026 and 2025, 0.6 million and 0.1 million, respectively, stock options, warrants, restricted shares and RSUs were excluded from the computation of diluted loss per share as a result of the following:</w:t>
      </w:r>
    </w:p>
    <w:p>
      <w:pPr>
        <w:spacing w:after="0" w:line="110" w:lineRule="exact"/>
        <w:rPr>
          <w:sz w:val="20"/>
          <w:szCs w:val="20"/>
          <w:color w:val="auto"/>
        </w:rPr>
      </w:pPr>
    </w:p>
    <w:p>
      <w:pPr>
        <w:ind w:left="480" w:hanging="315"/>
        <w:spacing w:after="0" w:line="27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0.5 million and less than 0.1 million, respectively, stock options, restricted shares and RSUs were anti-dilutive and have been excluded from the computation of diluted loss per share because the Company incurred a net loss.</w:t>
      </w:r>
    </w:p>
    <w:p>
      <w:pPr>
        <w:spacing w:after="0" w:line="4" w:lineRule="exact"/>
        <w:rPr>
          <w:rFonts w:ascii="Times New Roman" w:cs="Times New Roman" w:eastAsia="Times New Roman" w:hAnsi="Times New Roman"/>
          <w:sz w:val="18"/>
          <w:szCs w:val="18"/>
          <w:color w:val="auto"/>
        </w:rPr>
      </w:pPr>
    </w:p>
    <w:p>
      <w:pPr>
        <w:jc w:val="both"/>
        <w:ind w:left="480" w:hanging="315"/>
        <w:spacing w:after="0" w:line="259"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less than 0.1 million and less than 0.1 million, respectively, stock options were anti-dilutive and have been excluded from the computation of diluted loss per share because their exercise price was greater than the average market price of our common stock.</w:t>
      </w:r>
    </w:p>
    <w:p>
      <w:pPr>
        <w:spacing w:after="0" w:line="18" w:lineRule="exact"/>
        <w:rPr>
          <w:rFonts w:ascii="Times New Roman" w:cs="Times New Roman" w:eastAsia="Times New Roman" w:hAnsi="Times New Roman"/>
          <w:sz w:val="18"/>
          <w:szCs w:val="18"/>
          <w:color w:val="auto"/>
        </w:rPr>
      </w:pPr>
    </w:p>
    <w:p>
      <w:pPr>
        <w:jc w:val="both"/>
        <w:ind w:left="480" w:hanging="315"/>
        <w:spacing w:after="0" w:line="281" w:lineRule="auto"/>
        <w:tabs>
          <w:tab w:leader="none" w:pos="4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March 31, 2026 and 2025, 0.1 million and 0.1 million, respectively, stock options, restricted shares and RSUs, which begin to vest upon the achievement of certain market criteria related to our common stock price, performance criteria and a total shareholder return compared to the market benchmark, have been excluded from the computation of diluted loss per share because the achievement levels have not yet been met.</w:t>
      </w:r>
    </w:p>
    <w:p>
      <w:pPr>
        <w:spacing w:after="0" w:line="2" w:lineRule="exact"/>
        <w:rPr>
          <w:rFonts w:ascii="Times New Roman" w:cs="Times New Roman" w:eastAsia="Times New Roman" w:hAnsi="Times New Roman"/>
          <w:sz w:val="17"/>
          <w:szCs w:val="17"/>
          <w:color w:val="auto"/>
        </w:rPr>
      </w:pPr>
    </w:p>
    <w:p>
      <w:pPr>
        <w:ind w:left="480" w:hanging="315"/>
        <w:spacing w:after="0" w:line="274"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all Stakeholder Warrants were anti-dilutive and have been excluded from the computation of diluted loss per share because their exercise price was greater than the average market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other than as described below,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Fair Housing Alliance v. Altisource Solutions, Inc., et al.</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or about February 1, 2018, the National Fair Housing Alliance (“NFHA”) and eighteen regional housing groups (collectively, the “Plaintiffs”) filed a civil complaint, subsequently amended, against Altisource Solutions, Inc. (“ASI”), a wholly owned subsidiary of the Company, Deutsche Bank National Trust, as Trustee, Deutsche Bank Trust Company Americas, as Trustee, and Ocwen Loan Servicing, LLC (n/k/a Onity Group, Inc.) (collectively, the “Defendants”) in the United States District Court for the Northern District of Illinois (the “Litigation”). The complaint alleged violations of the federal Fair Housing Act in connection with the maintenance and marketing of certain real estate owned properties.</w:t>
      </w:r>
    </w:p>
    <w:p>
      <w:pPr>
        <w:spacing w:after="0" w:line="132"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On February 11, 2026, Defendants entered into a settlement agreement (the “Settlement Agreement”) with the Plaintiffs, providing for a full release of claims against the Defendants. The Settlement Agreement contains customary terms and conditions and does not include any admission of liability, fault or unlawful conduct by the Defendants. The Litigation was subsequently dismissed with prejudice.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Altisource recorded a $7.5 million loss for the year ended December 31, 2025 reflecting the settlement and associated defense costs. In March 2026, the Company paid $5 million to Plaintiffs, representing Altisource’s portion of the settlement. In March 2026, the Company received $5 million from one of its insurance providers related to the Litigation and subject to a reservation of rights. The Company is seeking to recover the remaining loss pursuant to applicable insurance, subject to the terms and conditions of the applicable insurance policies. Since the funds received from an insurance provider are subject to a reservation of rights and the recovery of the remaining loss is not certain, no gain from insurance recoveries has been recorded.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during the three months ended March 31, 2026, Onity was our largest customer, accounting for 37% of our total revenue. Additionally, 4% of our revenue for the three months ended March 31, 2026 was earned on the loan portfolios serviced by Onity, when a party other than Onity or the MSR owner selected Altisource as the service provider.</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Onity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UPB) and approximately 50% of all delinquent loans that Onity services were related to Rithm MSRs or rights to MSRs. In November 2025, Onity disclosed that it had received notification from Rithm that Rithm does not intend to renew its subservicing agreements with Onity effective January 31, 2026.</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termination of Onity’s subservicing agreements with Rithm may have significant adverse effects on Onity’s business. Additionally, Altisource’s revenue from Onity and Rithm (and revenue associated with the Rithm MSRs) will be reduced and our results of operations will be adversely affected by this termination.</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existence or outcome of Onity regulatory matters or Onity’s loss of significant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less than $0.1 million and $0.2 million for the three months ended March 31, 2026 and 2025, respectively. The amortization periods of right-of-use assets are generally limited by the expected lease term. Our leases generally have expected lease terms at adoption of one to six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as of March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2"/>
        </w:trPr>
        <w:tc>
          <w:tcPr>
            <w:tcW w:w="8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2"/>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0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during the periods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5"/>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18"/>
                <w:szCs w:val="18"/>
                <w:color w:val="auto"/>
              </w:rPr>
            </w:pPr>
          </w:p>
        </w:tc>
        <w:tc>
          <w:tcPr>
            <w:tcW w:w="5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4"/>
        </w:trPr>
        <w:tc>
          <w:tcPr>
            <w:tcW w:w="8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8"/>
                <w:szCs w:val="18"/>
                <w:color w:val="auto"/>
              </w:rPr>
            </w:pPr>
          </w:p>
        </w:tc>
        <w:tc>
          <w:tcPr>
            <w:tcW w:w="5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March 31, 2026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4"/>
        </w:trPr>
        <w:tc>
          <w:tcPr>
            <w:tcW w:w="9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5"/>
        </w:trPr>
        <w:tc>
          <w:tcPr>
            <w:tcW w:w="9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12"/>
        </w:trPr>
        <w:tc>
          <w:tcPr>
            <w:tcW w:w="9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94"/>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executed no standby letters of credit related to office leases that are secured by restricted cash balances.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and construction review activities. These amounts are held in escrow and other accounts for limited periods of time and are not included in the accompanying condensed consolidated balance sheets. Amounts held in escrow and other accounts were $53.0 million and $50.5 million as of March 31, 2026 and December 31,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includes interest expense and costs related to corporate functions including executive, infrastructure and certain technology groups, finance, law, compliance, human resources, vendor management, facilities, risk management, and eliminations between reportable segments.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(loss) before income taxes and non-controlling interests is the measure of segment profit and loss that is determined in accordance with the measurement principles used in measuring the corresponding amounts in the consolidated financial statements and used by the chief operating decision maker to evaluate segment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8"/>
        </w:trPr>
        <w:tc>
          <w:tcPr>
            <w:tcW w:w="90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5"/>
        </w:trPr>
        <w:tc>
          <w:tcPr>
            <w:tcW w:w="9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0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4"/>
        </w:trPr>
        <w:tc>
          <w:tcPr>
            <w:tcW w:w="9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amendment costs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180" w:type="dxa"/>
            <w:vAlign w:val="bottom"/>
          </w:tcPr>
          <w:p>
            <w:pPr>
              <w:spacing w:after="0"/>
              <w:rPr>
                <w:sz w:val="24"/>
                <w:szCs w:val="24"/>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480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5"/>
        </w:trPr>
        <w:tc>
          <w:tcPr>
            <w:tcW w:w="9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 2026</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57,349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9"/>
        </w:trPr>
        <w:tc>
          <w:tcPr>
            <w:tcW w:w="9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0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2025 filed with the Securities and Exchange Commission (“SEC”) on March 4,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forward-looking statements include all statements that are not historical fact, including statements that may relate to, among other things, future events or our future financial/operating performance or financial condition. Words such as “anticipate,” “intend,” “expect,” “may,” “could,” “should,” “would,” “will,”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4"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execute our strategic initiatives and improve margins;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2025, such as:</w:t>
      </w:r>
    </w:p>
    <w:p>
      <w:pPr>
        <w:spacing w:after="0" w:line="110" w:lineRule="exact"/>
        <w:rPr>
          <w:sz w:val="20"/>
          <w:szCs w:val="20"/>
          <w:color w:val="auto"/>
        </w:rPr>
      </w:pPr>
    </w:p>
    <w:p>
      <w:pPr>
        <w:ind w:left="640" w:hanging="316"/>
        <w:spacing w:after="0" w:line="26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depressed rate of residential mortgage delinquencies, defaults or foreclosures, and REO volume can negatively affect demand for certain of our services;</w:t>
      </w:r>
    </w:p>
    <w:p>
      <w:pPr>
        <w:spacing w:after="0" w:line="1"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Onity Group Inc. (together with its subsidiaries, “Onity”) (formerly Ocwen Financial Corporation, or “Ocwen”) as a customer or our ability to receive the anticipated volume of referrals from Onity;</w:t>
      </w:r>
    </w:p>
    <w:p>
      <w:pPr>
        <w:spacing w:after="0" w:line="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potential impacts arising from the expiration of the Rithm Brokerage Agreement in August 2025 and the termination of Rithm’s subservicing agreement with Onity effective January 31, 2026;</w:t>
      </w:r>
    </w:p>
    <w:p>
      <w:pPr>
        <w:spacing w:after="0" w:line="4"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initiatives;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levels of origination volume;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failures, data breaches and cybersecurity risks;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98"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foreclosure trustee services, residential real estate renovation services, residential and commercial construction inspection and risk mitigation services, title insurance (as an agent) and settlement services, and real estate valuation services.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online real estate auction platform, real estate brokerage and asset management services.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08" w:lineRule="exact"/>
        <w:rPr>
          <w:sz w:val="20"/>
          <w:szCs w:val="20"/>
          <w:color w:val="auto"/>
        </w:rPr>
      </w:pPr>
    </w:p>
    <w:p>
      <w:pPr>
        <w:jc w:val="both"/>
        <w:ind w:left="640"/>
        <w:spacing w:after="0" w:line="229"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and investor homes,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and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commercial loan servicing platform).</w:t>
      </w:r>
    </w:p>
    <w:p>
      <w:pPr>
        <w:spacing w:after="0" w:line="7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08"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7"/>
          <w:szCs w:val="17"/>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(“Lenders One”), and certain loan manufacturing and capital markets solutions provided primarily to the members of the Lenders One cooperative.</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11"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Our Solutions business includes loan fulfillment services, real estate valuation services, title insurance (as an agent) and settlement services, and insurance services.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11" w:lineRule="exact"/>
        <w:rPr>
          <w:sz w:val="20"/>
          <w:szCs w:val="20"/>
          <w:color w:val="auto"/>
        </w:rPr>
      </w:pPr>
    </w:p>
    <w:p>
      <w:pPr>
        <w:jc w:val="both"/>
        <w:ind w:left="640"/>
        <w:spacing w:after="0" w:line="235"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and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and pre and post-close quality control).</w:t>
      </w:r>
    </w:p>
    <w:p>
      <w:pPr>
        <w:spacing w:after="0" w:line="14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One’s earnings are included in revenue and reduced from net loss to arrive at net loss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current state of the economy, interest rate environment, housing supply, and other macro-economic trends, we continue to evaluate our strategy and core businesses and seek to position our businesses to provide long term value to our customers and shareholders.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loan default and real estate investor solutions and technologies intended to meet their growing and evolving needs. We are focused on gaining market share on existing solutions and launching new solutions with our existing customer base and attracting new customers to our offerings. We have a customer base that includes government-sponsored enterprises (“GSEs”), asset managers, and several large bank and non-bank servicers. We believe we are one of only a few providers with a broad suite of solutions, nationwide coverage and scalability. Further, we believe we are well positioned to gain market share from existing and new customers if loan delinquency rates and foreclosure initiations and sales rise, or if they consolidate to larger, full-service providers or outsource services that have historically been performed in-house.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(Lenders One is a residential mortgage cooperative managed by Altisource), which includes independent mortgage bankers, credit unions, and banks.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Related Mortgage Market</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Serious delinquency rates, foreclosure initiations and foreclosure sales are low relative to historical levels but increased during the three months ended March 31, 2026 relative to the same period in 2025. Additionally, foreclosure initiations and sales as a percentage of seriously delinquent loans for 2020 through 2025 are significantly lower than prior years. During 2020 and 2021, these percentages were significantly impacted by COVID-19 borrower relief measures, including foreclosure moratoriums and forbearance programs. These measures largely expired at the end of 2021. Beginning in 2022, we believe these percentages were impacted by servicer practices, home price appreciation, the interest rate environment, housing supply, the general state of the economy, and other factors. In 2021 and 2022, a low interest rate environment drove a high volume of refinance transactions and home prices appreciated significantly. Although interest rates began to increase in 2022, home prices remained high. With greater home equity from home price appreciation, we believe troubled borrowers have more options to avoid foreclosure. Foreclosure initiations and sales increased during the three months ended March 31, 2026 compared to the same period in 2025. However, both measures remain below pre-pandemic levels.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related business is likely to grow. We estimate that in today’s environment it typically takes on average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two years to convert foreclosure initiations to foreclosure sales and six months to market and sell the REO. The foreclosure timelines could vary significantly based upon, for example, the state where the property is located, whether the foreclosure is contested, amount of borrower equity in the home and available borrower relief programs. The REO sale timelines could also vary significantly based upon, for example, mortgage interest rates, the local real estate market, whether the home is located in a redemption state and whether the home is occupied post foreclosure.</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2025 and the three months ended March 31, 2026, to address the close to historically low delinquency rates, we worked to (1) reduce our cost structure, (2) maintain the infrastructure to deliver default related services for our customer base and support the anticipated increase in demand should delinquency rates, foreclosure initiations and/or foreclosure sales rise, and (3) launch new solutions and increase customer adoption of our existing solutions to accelerate the growth of our Origination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March 31, 2026, approximately 0.4 million shares of common stock remain available for repurchase under the program. In connection with the elimination of fractional shares resulting from the Share Consolidation, the Company purchased 204 shares of common stock during the year ended December 31, 2025 (no comparative amount for the three months ended March 31, 2026). There were no other purchases of shares of common stock during the three months ended March 31, 2026 and 2025. Under the new first lien loan facility (the “New Facility”) and the super senior credit facility (the “Super Senior Facility”), we are not permitted to repurchase shares except for limited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Onity was our largest customer, accounting for 37% of our total revenue. Additionally, 4% of our revenue for the three months ended March 31, 2026 was earned on the loan portfolios serviced by Onity, when a party other than Onity or the mortgage servicing rights (“MSRs”) owner selected Altisource as the service provider.</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2025, Onity reported that approximately 10% of loans serviced and subserviced by Onity (measured in UPB) and approximately 50% of all delinquent loans that Onity services were related to Rithm MSRs or rights to MSRs. In November 2025, Onity disclosed that it had received notification from Rithm that Rithm does not intend to renew its subservicing agreement with Onity effective January 31, 2026.</w:t>
      </w:r>
    </w:p>
    <w:p>
      <w:pPr>
        <w:spacing w:after="0" w:line="12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The termination of Onity’s subservicing agreements with Rithm may have a significant adverse effects on Onity’s business. Additionally, this termination will reduce Altisource’s revenue from Onity and Rithm (and revenue associated with the Rithm MSRs) and our results of operations will be adversely affected.</w:t>
      </w:r>
    </w:p>
    <w:p>
      <w:pPr>
        <w:spacing w:after="0" w:line="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existence or outcome of Onity regulatory matters or Onity’s loss of significant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Exchange Transaction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w:t>
      </w:r>
    </w:p>
    <w:p>
      <w:pPr>
        <w:spacing w:after="0" w:line="1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7.3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(the “New Facility Credit Agreement”), are guarantors on the New Facility (collectively, the “Guarantors”).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5% higher for the two months ended February 28, 2026 compared to the same period in 2025 (although still 14%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27% higher for the two months ended February 28, 2026 compared to the same period in 2025 (although still 42%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unit volume increased by 42% for the three months ended March 31, 2026 compared to the same period in 2025, comprised of a 19% increase in purchase origination and a 91% increase in refinancing origination</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on the Company’s long-term debt was 7.31% for the three months ended March 31, 2026 compared to 8.75% for the same period in 2025</w:t>
      </w:r>
    </w:p>
    <w:p>
      <w:pPr>
        <w:spacing w:after="0" w:line="4" w:lineRule="exact"/>
        <w:rPr>
          <w:rFonts w:ascii="Times New Roman" w:cs="Times New Roman" w:eastAsia="Times New Roman" w:hAnsi="Times New Roman"/>
          <w:sz w:val="18"/>
          <w:szCs w:val="18"/>
          <w:color w:val="auto"/>
        </w:rPr>
      </w:pPr>
    </w:p>
    <w:p>
      <w:pPr>
        <w:ind w:left="640" w:righ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$3.0 million of expenses related to the Debt Exchange Transaction for the three months ended March 31, 2025 (no comparable amount for the three months ended March 31, 2026).</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$0.9 million and $0.7 million for the three months ended March 31, 2026 and 2025, respectively. The income tax provision for the three months ended March 31, 2026 and 2025 was driven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80" w:type="dxa"/>
            <w:vAlign w:val="bottom"/>
          </w:tcPr>
          <w:p>
            <w:pPr>
              <w:spacing w:after="0"/>
              <w:rPr>
                <w:sz w:val="11"/>
                <w:szCs w:val="11"/>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21"/>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0" w:type="dxa"/>
            <w:vAlign w:val="bottom"/>
          </w:tcPr>
          <w:p>
            <w:pPr>
              <w:spacing w:after="0"/>
              <w:rPr>
                <w:sz w:val="1"/>
                <w:szCs w:val="1"/>
                <w:color w:val="auto"/>
              </w:rPr>
            </w:pPr>
          </w:p>
        </w:tc>
      </w:tr>
      <w:tr>
        <w:trPr>
          <w:trHeight w:val="194"/>
        </w:trPr>
        <w:tc>
          <w:tcPr>
            <w:tcW w:w="75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31,350</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32,865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13,739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8,030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280" w:type="dxa"/>
            <w:vAlign w:val="bottom"/>
          </w:tcPr>
          <w:p>
            <w:pPr>
              <w:spacing w:after="0"/>
              <w:rPr>
                <w:sz w:val="17"/>
                <w:szCs w:val="17"/>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45,089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40,895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47,584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43,439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34,473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30,114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13,111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13,325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11,386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10,080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2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(7,774)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28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(4,529)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4"/>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94"/>
        </w:trPr>
        <w:tc>
          <w:tcPr>
            <w:tcW w:w="7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(5,344)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 / service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11,111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7,265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11,111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7,265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service revenue of $45.1 million for the three months ended March 31, 2026, a 10% increase compared to the three months ended March 31, 2025. The increase in service revenue for the three months ended March 31, 2026 was primarily driven by 71% service revenue growth in the Origination segment from sales wins and a stronger origination market. This increase was partially offset by a 5% decline in the Servicer and Real Estate segment primarily from a one-time 2025 pricing adjustment benefit in the Foreclosure Trustee business and lower volume in the Renovation business.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reimbursable expenses revenue of $2.4 million for the three months ended March 31, 2026, a 3% decrease compared to the three months ended March 31, 2025. The decrease in reimbursable expenses for the three months ended March 31, 2026 was primarily driven by fewer asset resolution and asset management activities in the Marketplace business and a decrease in the Solutions business within the Origination segment, partially offset by growth in the Foreclosure Trustee business in the Solutions business within the Servicer and Real Estate segment.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current default market, home price appreciation and higher mortgage interest rates, the seasonal impact to revenue may not follow historical patterns.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1"/>
                <w:szCs w:val="11"/>
                <w:color w:val="auto"/>
              </w:rPr>
            </w:pPr>
          </w:p>
        </w:tc>
        <w:tc>
          <w:tcPr>
            <w:tcW w:w="86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7,855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cost of revenue of $34.5 million for the three months ended March 31, 2026, a 14% increase compared to the three months ended March 31, 2025. Outside fees and services for the three months ended March 31, 2026 increased primarily from service revenue growth in the Lenders One business in the Origination segment.</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Gross profit decreased to $13.1 million, representing 29% of service revenue, for the three months ended March 31, 2026 compared to $13.3 million, representing 33% of service revenue, for the three months ended March 31, 2025. Gross profit as a percentage of service revenue for the three months ended March 31, 2026 decreased compared to the three months ended March 31, 2025 primarily due to a change in revenue mix from growth in the lower margin Origination Segment and lower revenue in the higher margin Servicer and Real Estate segment. Our margins can vary substantially depending upon the service revenue mix.</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for the three months ended March 31, 2026 of $11.4 million increased by 13% compared to the three months ended March 31, 2025. The increase in SG&amp;A for the three months ended March 31, 2026 was primarily driven by higher other SG&amp;A expenses and compensation and benefits, and professional services. Other SG&amp;A expenses for the three months ended March 31, 2026 increased primarily due to higher bad debt expense. Compensation and benefits for the three months ended March 31, 2026 increased primarily from higher share 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from operations for the three months ended March 31, 2026 was $1.7 million, representing 4% of service revenue, compared to $3.2 million, representing 8% of service revenue, for the three months ended March 31, 2025. Income from operations as a percentage of service revenue declined for the three months ended March 31, 2026 compared to the three months ended March 31, 2025 primarily as a result of lower gross profit as a percentage of service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Other income (expense), net was $(1.4) million for the three months ended March 31, 2026 compared to $(7.8) million for the three months ended March 31, 2025. The change for the three months ended March 31, 2026 was primarily driven by lower interest expense and no debt exchange transaction expenses in</w:t>
      </w:r>
    </w:p>
    <w:p>
      <w:pPr>
        <w:ind w:right="1120"/>
        <w:spacing w:after="0" w:line="418" w:lineRule="auto"/>
        <w:rPr>
          <w:sz w:val="20"/>
          <w:szCs w:val="20"/>
          <w:color w:val="auto"/>
        </w:rPr>
      </w:pPr>
      <w:r>
        <w:rPr>
          <w:rFonts w:ascii="Times New Roman" w:cs="Times New Roman" w:eastAsia="Times New Roman" w:hAnsi="Times New Roman"/>
          <w:sz w:val="18"/>
          <w:szCs w:val="18"/>
          <w:color w:val="auto"/>
        </w:rPr>
        <w:t xml:space="preserve">2026. The lower interest expense was driven by the decrease in outstanding debt and a lower interest rate from the Debt Exchange Transaction. </w:t>
      </w:r>
      <w:r>
        <w:rPr>
          <w:rFonts w:ascii="Times New Roman" w:cs="Times New Roman" w:eastAsia="Times New Roman" w:hAnsi="Times New Roman"/>
          <w:sz w:val="18"/>
          <w:szCs w:val="18"/>
          <w:i w:val="1"/>
          <w:iCs w:val="1"/>
          <w:color w:val="auto"/>
        </w:rPr>
        <w:t>Income Tax Provision</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an income tax provision of $0.9 million and $0.7 million for the three months ended March 31, 2026 and 2025, respectively. The income tax provision for the three months ended March 31, 2026 and 2025 was driven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1"/>
                <w:szCs w:val="11"/>
                <w:color w:val="auto"/>
              </w:rPr>
            </w:pPr>
          </w:p>
        </w:tc>
        <w:tc>
          <w:tcPr>
            <w:tcW w:w="1220" w:type="dxa"/>
            <w:vAlign w:val="bottom"/>
          </w:tcPr>
          <w:p>
            <w:pPr>
              <w:jc w:val="right"/>
              <w:ind w:right="24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31,350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13,739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45,089</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2,391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33,637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13,947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47,584</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21,529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34,473</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13,111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2,543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11,386</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9,565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(1,369)</w:t>
            </w:r>
          </w:p>
        </w:tc>
        <w:tc>
          <w:tcPr>
            <w:tcW w:w="0" w:type="dxa"/>
            <w:vAlign w:val="bottom"/>
          </w:tcPr>
          <w:p>
            <w:pPr>
              <w:spacing w:after="0"/>
              <w:rPr>
                <w:sz w:val="1"/>
                <w:szCs w:val="1"/>
                <w:color w:val="auto"/>
              </w:rPr>
            </w:pPr>
          </w:p>
        </w:tc>
      </w:tr>
      <w:tr>
        <w:trPr>
          <w:trHeight w:val="194"/>
        </w:trPr>
        <w:tc>
          <w:tcPr>
            <w:tcW w:w="5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9,798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0"/>
                <w:szCs w:val="10"/>
                <w:color w:val="auto"/>
              </w:rPr>
            </w:pPr>
          </w:p>
        </w:tc>
        <w:tc>
          <w:tcPr>
            <w:tcW w:w="138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0"/>
                <w:szCs w:val="10"/>
                <w:color w:val="auto"/>
              </w:rPr>
            </w:pPr>
          </w:p>
        </w:tc>
        <w:tc>
          <w:tcPr>
            <w:tcW w:w="1220" w:type="dxa"/>
            <w:vAlign w:val="bottom"/>
          </w:tcPr>
          <w:p>
            <w:pPr>
              <w:jc w:val="right"/>
              <w:ind w:right="24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32,865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8,030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40,895</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2,471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35,157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43,439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21,861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30,114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13,325</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10,080</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10,956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3,245</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(7,774)</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(4,529)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22,591</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7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service revenue of $31.4 million for the three months ended March 31, 2026, a 5% decrease compared to the three months ended March 31, 2025. We also recognized reimbursable expenses revenue of $2.3 million for the three months ended March 31, 2026, a less than 1% decrease compared to the three months ended March 31, 2025. The decrease in service revenue for the three months ended March 31, 2026 was driven by a one-time 2025 pricing adjustment benefit in the Foreclosure Trustee business and lower volume in the Renovation business in the Solutions business, partially offset by revenue growth in the Title business.</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current default market, home price appreciation and higher mortgage interest rates, the seasonal impact to revenue may not follow historical patterns.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1"/>
                <w:szCs w:val="11"/>
                <w:color w:val="auto"/>
              </w:rPr>
            </w:pPr>
          </w:p>
        </w:tc>
        <w:tc>
          <w:tcPr>
            <w:tcW w:w="86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three months ended March 31, 2026 of $21.5 million decreased by 2% compared to the three months ended March 31, 2025. The decrease in cost of revenue for the three months ended March 31, 2026 was primarily driven by lower outside fees and services partially offset by higher compensation and benefits. Outside fees and services for the three months ended March 31, 2026 decreased from revenue mix changes in the Field Services Business, partially offset by service revenue growth in the Title business.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decreased to $12.1 million, representing 39% of service revenue, for the three months ended March 31, 2026 compared to $13.3 million, representing 40% of service revenue, for the three months ended March 31, 2025. Gross profit as a percentage of service revenue for the three months ended March 31, 2026 decreased primarily due to a change in revenue mix</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from greater decline in the higher margin Foreclosure Trustee business and the Field services business in the Solutions business. Our margins can vary substantially depending upon the service revenue mix.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SG&amp;A for the three months ended March 31, 2026 of $2.5 million increased by 9% compared to the three months ended March 31, 2025. The increase in SG&amp;A for the three months ended March 31, 2026 was primarily due to higher bad debt expense partially offset by lower professional services. Professional services for the three months ended March 31, 2026 decreased primarily due to lower legal-related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from operations decreased to $9.6 million, representing 31% of service revenue, for the three months ended March 31, 2026 compared to $11.0 million, representing 33% of service revenue, for the three months ended March 31, 2025. Operating income as a percentage of service revenue for the three months ended March 31, 2026 decreased compared to March 31, 2025 as a result of lower gross profit margins and higher SG&amp;A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0"/>
                <w:szCs w:val="10"/>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12,275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1200" w:type="dxa"/>
            <w:vAlign w:val="bottom"/>
            <w:gridSpan w:val="2"/>
          </w:tcPr>
          <w:p>
            <w:pPr>
              <w:jc w:val="center"/>
              <w:ind w:left="841"/>
              <w:spacing w:after="0"/>
              <w:rPr>
                <w:sz w:val="20"/>
                <w:szCs w:val="20"/>
                <w:color w:val="auto"/>
              </w:rPr>
            </w:pPr>
            <w:r>
              <w:rPr>
                <w:rFonts w:ascii="Times New Roman" w:cs="Times New Roman" w:eastAsia="Times New Roman" w:hAnsi="Times New Roman"/>
                <w:sz w:val="16"/>
                <w:szCs w:val="16"/>
                <w:color w:val="auto"/>
                <w:w w:val="99"/>
              </w:rPr>
              <w:t>93</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200" w:type="dxa"/>
            <w:vAlign w:val="bottom"/>
            <w:gridSpan w:val="2"/>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w w:val="97"/>
              </w:rPr>
              <w:t>(16)</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0" w:type="dxa"/>
            <w:vAlign w:val="bottom"/>
            <w:tcBorders>
              <w:bottom w:val="single" w:sz="8" w:color="CCEEFF"/>
            </w:tcBorders>
            <w:gridSpan w:val="2"/>
          </w:tcPr>
          <w:p>
            <w:pPr>
              <w:jc w:val="center"/>
              <w:ind w:left="841"/>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8,030</w:t>
            </w:r>
          </w:p>
        </w:tc>
        <w:tc>
          <w:tcPr>
            <w:tcW w:w="1200" w:type="dxa"/>
            <w:vAlign w:val="bottom"/>
            <w:gridSpan w:val="2"/>
            <w:shd w:val="clear" w:color="auto" w:fill="CCEEFF"/>
          </w:tcPr>
          <w:p>
            <w:pPr>
              <w:jc w:val="center"/>
              <w:ind w:left="841"/>
              <w:spacing w:after="0"/>
              <w:rPr>
                <w:sz w:val="20"/>
                <w:szCs w:val="20"/>
                <w:color w:val="auto"/>
              </w:rPr>
            </w:pPr>
            <w:r>
              <w:rPr>
                <w:rFonts w:ascii="Times New Roman" w:cs="Times New Roman" w:eastAsia="Times New Roman" w:hAnsi="Times New Roman"/>
                <w:sz w:val="16"/>
                <w:szCs w:val="16"/>
                <w:color w:val="auto"/>
                <w:w w:val="99"/>
              </w:rPr>
              <w:t>71</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0" w:type="dxa"/>
            <w:vAlign w:val="bottom"/>
            <w:tcBorders>
              <w:bottom w:val="single" w:sz="8" w:color="CCEEFF"/>
            </w:tcBorders>
            <w:gridSpan w:val="2"/>
          </w:tcPr>
          <w:p>
            <w:pPr>
              <w:jc w:val="center"/>
              <w:ind w:left="821"/>
              <w:spacing w:after="0"/>
              <w:rPr>
                <w:sz w:val="20"/>
                <w:szCs w:val="20"/>
                <w:color w:val="auto"/>
              </w:rPr>
            </w:pPr>
            <w:r>
              <w:rPr>
                <w:rFonts w:ascii="Times New Roman" w:cs="Times New Roman" w:eastAsia="Times New Roman" w:hAnsi="Times New Roman"/>
                <w:sz w:val="16"/>
                <w:szCs w:val="16"/>
                <w:color w:val="auto"/>
                <w:w w:val="97"/>
              </w:rPr>
              <w:t>(42)</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0" w:type="dxa"/>
            <w:vAlign w:val="bottom"/>
            <w:gridSpan w:val="2"/>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w w:val="97"/>
              </w:rPr>
              <w:t>(42)</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0" w:type="dxa"/>
            <w:vAlign w:val="bottom"/>
            <w:gridSpan w:val="2"/>
            <w:shd w:val="clear" w:color="auto" w:fill="CCEEFF"/>
          </w:tcPr>
          <w:p>
            <w:pPr>
              <w:jc w:val="center"/>
              <w:ind w:left="841"/>
              <w:spacing w:after="0"/>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200" w:type="dxa"/>
            <w:vAlign w:val="bottom"/>
            <w:tcBorders>
              <w:bottom w:val="single" w:sz="8" w:color="CCEEFF"/>
            </w:tcBorders>
            <w:gridSpan w:val="2"/>
            <w:shd w:val="clear" w:color="auto" w:fill="CCEEFF"/>
          </w:tcPr>
          <w:p>
            <w:pPr>
              <w:jc w:val="center"/>
              <w:ind w:left="841"/>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service revenue of $13.7 million for the three months ended March 31, 2026, a 71% increase compared to the three months ended March 31, 2025. We also recognized reimbursable expenses revenue of $0.1 million for the three months ended March 31, 2026, a 42% decrease compared to the three months ended March 31, 2025. The increase in service revenue for the three months ended March 31, 2026 was primarily driven by sales wins and a stronger origination market. The decrease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reimbursable expenses for the three months ended March 31, 2026 was primarily driven by a decrease in Title services and lower volumes in the loan fulfillment services business within the Solutions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1"/>
                <w:szCs w:val="11"/>
                <w:color w:val="auto"/>
              </w:rPr>
            </w:pPr>
          </w:p>
        </w:tc>
        <w:tc>
          <w:tcPr>
            <w:tcW w:w="86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9,966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Cost of revenue for the three months ended March 31, 2026 of $11.3 million increased by 70% compared to the three months ended March 31, 2025. The increase in cost of revenue for the three months ended March 31, 2026 was primarily driven by revenue growth.</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increased to $2.6 million, representing 19% of service revenue, for the three months ended March 31, 2026 compared to $1.6 million, representing 20% of service revenue, for the three months ended March 31, 2025. Gross profit as a percentage of service revenue for the three months ended March 31, 2026 was relatively flat compared to the three months ended March 31,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0"/>
                <w:szCs w:val="10"/>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100" w:type="dxa"/>
            <w:vAlign w:val="bottom"/>
          </w:tcPr>
          <w:p>
            <w:pPr>
              <w:jc w:val="right"/>
              <w:ind w:right="129"/>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SG&amp;A for the three months ended March 31, 2026 of $1.9 million increased by 14% compared to the three months ended March 31, 2025. The increase in SG&amp;A for the three months ended March 31, 2026 was primarily due to higher compensation and benefits and amortization of intangible assets, partially offset by lower professional services costs. Compensation and benefits for the three months ended March 31, 2026 increased primarily to support revenue growth in the Lenders One business. Amortization of intangible assets for the three months ended March 31, 2026 increased due to the addition of Lenders One intangible assets in the fourth quarter of 2025. Professional services for the three months ended March 31, 2025 decreased primarily due to lower legal-related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(loss) from operations was $0.7 million, representing 5% of service revenue, for the three months ended March 31, 2026 compared to $(0.1) million, representing less than (1)% of service revenue, for the three months ended March 31, 2025. Income from operations as a percentage of service revenue for the three months ended March 31, 2026 increased compared to the three months ended March 31, 2025, primarily from higher service revenue and lower SG&amp;A expenses as a percentage of service revenue, partially offset by lower gross margin.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1"/>
                <w:szCs w:val="11"/>
                <w:color w:val="auto"/>
              </w:rPr>
            </w:pPr>
          </w:p>
        </w:tc>
        <w:tc>
          <w:tcPr>
            <w:tcW w:w="86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7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three months ended March 31, 2026 of $1.6 million increased by 2% compared to the three months ended March 31, 2025. The increase in cost of revenue for the three months ended March 31, 2026 was primarily driven by higher compensation and benefits partially offset by lower depreciation and amortization from the completion of the depreciation periods for certain premises and equipment.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0"/>
                <w:szCs w:val="10"/>
                <w:color w:val="auto"/>
              </w:rPr>
            </w:pPr>
          </w:p>
        </w:tc>
        <w:tc>
          <w:tcPr>
            <w:tcW w:w="86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100" w:type="dxa"/>
            <w:vAlign w:val="bottom"/>
          </w:tcPr>
          <w:p>
            <w:pPr>
              <w:jc w:val="right"/>
              <w:ind w:right="129"/>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4"/>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SG&amp;A for the three months ended March 31, 2026 of $6.9 million increased by 14% compared to the three months ended March 31, 2025. The increase in SG&amp;A for the three months ended March 31, 2026 was primarily driven by higher professional services from higher accruals for estimated legal matters and higher compensation and benefits from higher share based compensation.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was $(1.6) million for the three months ended March 31, 2026 compared to $(7.8) million for the three months ended March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change for the three months ended March 31, 2026 was primarily driven by lower interest expense and no debt exchange transaction expenses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The lower interest expense was driven by the decrease in outstanding debt and a lower interest rate from the Debt Exchange Transaction.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primarily due to lower delinquency and foreclosure rates, and higher home equity, revenue has declined significantly compared to pre-pandemic levels (although revenue grew in 2025 compared to 2024 and for the first three months of 2026 compared to the first three months of 2025).</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if necessary. We also plan to use cash for repayments of our long-term debt and capital investments. In addition, from time to time we may consider and evaluate business acquisitions, dispositions, closures, sales of equity securities or other similar actions that are aligned with our strategy.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Renovation business, on June 3, 2024 Altisource Solutions, Inc., an indirect subsidiary of Altisource Portfolio Solutions S.A, entered into a revolving loan agreement with a then related-party, Accelitron Advanced Motor Controls, Inc. (“AAMC”) (formerly Altisource Asset Management Corporation)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was extended in June 2025 to June 3, 2026 and may be automatically extended for one year on each anniversary of the maturity date. During any extension period, AAMC may terminate the Revolving Loan Agreement upon 150 days prior written notice and the loan will mature upon such termination. The outstanding balance on the Revolving Loan Agreement is due and payable on such maturity date.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was no outstanding debt under the Revolving Loan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Cash flows from operating activities generally consist of the cash effects of transactions and events that enter into the determination of net loss. For the three months ended March 31, 2026, net cash provided by operating activities was $4.5 million compared to net cash (used in) operating activities of $(5.0) million for the three months ended March 31, 2025. The increase in cash provided by (used in) operating activities was driven by a $4.7 million improvement in net loss and a $5.7 million lower use of cash for working capital (accounts receivable, prepaid expenses and other current assets, other assets, accounts payable and accrued expenses, and other current and non-current liabilities), partially offset by $1.3 million higher amortization of debt premium, net of amortization of debt discount and debt issuance costs.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cash (used in) provided by financing activities was $(1.1) million and $6.0 million for the three months ended March 31, 2026 and 2025, respectively. During the three months ended March 31, 2026, we used $0.3 million to make scheduled repayments of our senior secured term loan and Super Senior Facility (no comparative amount for the three months ended March 31, 2025). During the three months ended March 31, 2025, in connection to the Debt Exchange Transaction, we received $11.3 million in proceeds from the Super Senior Credit Facility, net of original issuance discount and used $1.7 million for debt issuance costs and $3.2 million related to the issuance of equity (no comparative amounts for the three months ended March 31, 2026). During the three months ended March 31, 2026 and 2025, we made payments of $0.8 million and $0.3 million, respectively, to satisfy employee tax withholding obligations on the vesting of restricted share units (“RSUs”) and restricted shares. These payments were made to tax authorities, at the employees’ direction, to satisfy the employees’ tax obligations rather than issuing a portion of vested restricted share units and restricted shares to employees. In addition, we distributed less than $0.1 million during both the three months ended March 31, 2026 and 2025, to non-controlling interests.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amortization of the New Facility, amortization and maturity of the Super Senior Facility, interest expense under the New Facility and the Super Senior Facility, and operating lease payments on certain of our premises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2029-2030</w:t>
            </w: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New Facility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155,875</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Super Senior Facility </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0"/>
                <w:szCs w:val="20"/>
                <w:color w:val="auto"/>
                <w:vertAlign w:val="superscript"/>
              </w:rPr>
              <w:t>(3)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14,864</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4"/>
        </w:trPr>
        <w:tc>
          <w:tcPr>
            <w:tcW w:w="5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221,856</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27,996</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182,807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$157.3 million of the New Facility matures on April 30, 2030 and $1.4 million of the New Facility matures on January 15, 2029.</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Super Senior Facility matures on February 19, 2029.</w:t>
      </w:r>
    </w:p>
    <w:p>
      <w:pPr>
        <w:spacing w:after="0" w:line="54" w:lineRule="exact"/>
        <w:rPr>
          <w:rFonts w:ascii="Times New Roman" w:cs="Times New Roman" w:eastAsia="Times New Roman" w:hAnsi="Times New Roman"/>
          <w:sz w:val="23"/>
          <w:szCs w:val="23"/>
          <w:color w:val="auto"/>
          <w:vertAlign w:val="superscript"/>
        </w:rPr>
      </w:pPr>
    </w:p>
    <w:p>
      <w:pPr>
        <w:ind w:left="240" w:hanging="234"/>
        <w:spacing w:after="0" w:line="215" w:lineRule="auto"/>
        <w:tabs>
          <w:tab w:leader="none" w:pos="404"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for the New Facility and the Super Senior Facility based on the three-month Secured Overnight Financing Rate (“SOFR”) interest rate as of March 31,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funding future liquidity requirements with a combination of existing cash balances and cash anticipated to be generated by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10 and Note 21 to the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$53.0 million and $50.5 million as of March 31, 2026 and December 31,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2026, there were no significant changes to our contractual obligations from those identified in our Form 10-K for the fiscal year ended December 31, 2025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2025 filed with the SEC on March 4, 2026. There have been no material changes to our critical accounting policies during the three months ended March 31,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New Facility, the interest rate charged on each of the New Debt and the Super Senior Facility is SOFR plus 6.50% (with a 3.50% SOFR floor). Based on the terms of the New Facility and the Super Senior Facility, a one percentage point increase in SOFR would increase our annual interest expense by approximately $1.2 million, and there would be a $1.2 million decrease in our annual interest expense if there was a one percentage point decrease in SOFR.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2026, a one percentage point increase or decrease in value of the Indian rupee in relation to the United States dollar would increase or decrease our annual expenses by approximately $0.1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Chairman and Chief Executive Officer and Chief Financial Officer, evaluated the effectiveness of our disclosure controls and procedures (as defined in Rule 13a-15(e) and Rule 15d-15(e) of the Exchange Act) as of March 31, 2026, the end of the period covered by this Quarterly Report. Based on this evaluation, our Chairman and Chief Executive Officer and Chief Financial Officer concluded that our disclosure controls and procedures were effective as of March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March 31, 2026, that have materially affected, or are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 including our Chairman and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Fair Housing Alliance v. Altisource Solutions, Inc., et al.</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or about February 1, 2018, the National Fair Housing Alliance (“NFHA”) and eighteen regional housing groups (collectively, the “Plaintiffs”) filed a civil complaint, subsequently amended, against Altisource Solutions, Inc. (“ASI”), a wholly owned subsidiary of the Company, Deutsche Bank National Trust, as Trustee, Deutsche Bank Trust Company Americas, as Trustee, and Ocwen Loan Servicing, LLC (n/k/a Onity Group, Inc.) (collectively, the “Defendants”) in the United States District Court for the Northern District of Illinois (the “Litigation”). The complaint alleged violations of the federal Fair Housing Act in connection with the maintenance and marketing of certain real estate owned properties.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11, 2026, Defendants entered into a settlement agreement (the “Settlement Agreement”) with the Plaintiffs, providing for a full release of claims against the defendants. The Settlement Agreement contains customary terms and conditions and does not include any admission of liability, fault or unlawful conduct by the defendants. The Litigation was subsequently dismissed with prejudice.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Altisource recorded a $7.5 million loss for the year ended December 31, 2025 reflecting the settlement and associated defense costs. During the three months ended March 31, 2026, the Company received $5 million from one of its insurance providers related to the Litigation and subject to a reservation of rights. The Company is seeking to recover the remaining loss pursuant to applicable insurance, subject to the terms and conditions of the applicable insurance policies. There can be no assurance as to the timing or amount of any reimbursement, if 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cannot reasonably predict the outcome of these matters or estimate any potential loss resulting therefrom, if 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2025 filed with the SEC on March 4,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01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101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1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FF"/>
              </w:rPr>
              <w:t>Amended and Restated Articles of Incorporation of Altisource Portfolio Solutions S.A. (incorporated by reference to Exhibit 3.1 to the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54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Company’s Form 10-Q filed with the SEC on October 23, 2025)</w:t>
            </w:r>
          </w:p>
        </w:tc>
        <w:tc>
          <w:tcPr>
            <w:tcW w:w="55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by the Chief Executive Officer and Chief Financial Officer pursuant to Section 906 of the Sarbanes-Oxley Act of 2002</w:t>
            </w:r>
          </w:p>
        </w:tc>
        <w:tc>
          <w:tcPr>
            <w:tcW w:w="8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w w:val="99"/>
              </w:rPr>
              <w:t>period ended March 31, 2026 is formatted in Inline XBRL interactive data files: (i) Condensed Consolidated Balance Sheets as of March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auto"/>
              </w:rPr>
              <w:t>2026 and December 31, 2025; (ii) Condensed Consolidated Statements of Operations and Comprehensive Loss for the 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5"/>
          </w:tcPr>
          <w:p>
            <w:pPr>
              <w:spacing w:after="0" w:line="172" w:lineRule="exact"/>
              <w:rPr>
                <w:sz w:val="20"/>
                <w:szCs w:val="20"/>
                <w:color w:val="auto"/>
              </w:rPr>
            </w:pPr>
            <w:r>
              <w:rPr>
                <w:rFonts w:ascii="Times New Roman" w:cs="Times New Roman" w:eastAsia="Times New Roman" w:hAnsi="Times New Roman"/>
                <w:sz w:val="18"/>
                <w:szCs w:val="18"/>
                <w:color w:val="auto"/>
              </w:rPr>
              <w:t>March 31, 2026 and 2025; (iii) Condensed Consolidated Statements of Equity for the three months ended March 31, 2026 and 2025; (iv)</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2026 and 2025; and (v) Notes to Condensed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0" w:type="dxa"/>
            <w:vAlign w:val="bottom"/>
          </w:tcPr>
          <w:p>
            <w:pPr>
              <w:spacing w:after="0"/>
              <w:rPr>
                <w:sz w:val="1"/>
                <w:szCs w:val="1"/>
                <w:color w:val="auto"/>
              </w:rPr>
            </w:pPr>
          </w:p>
        </w:tc>
      </w:tr>
      <w:tr>
        <w:trPr>
          <w:trHeight w:val="278"/>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4" w:lineRule="exact"/>
        <w:rPr>
          <w:sz w:val="20"/>
          <w:szCs w:val="20"/>
          <w:color w:val="auto"/>
        </w:rPr>
      </w:pPr>
    </w:p>
    <w:p>
      <w:pPr>
        <w:ind w:left="1120" w:hanging="1096"/>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14605</wp:posOffset>
            </wp:positionV>
            <wp:extent cx="27851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ind w:left="6880"/>
        <w:spacing w:after="0" w:line="236" w:lineRule="auto"/>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268605</wp:posOffset>
            </wp:positionV>
            <wp:extent cx="6360795" cy="9842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60795" cy="9842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b w:val="1"/>
          <w:bCs w:val="1"/>
          <w:color w:val="auto"/>
        </w:rPr>
        <w:t>Altisource Portfolio Solutions S.A.</w:t>
      </w:r>
    </w:p>
    <w:p>
      <w:pPr>
        <w:spacing w:after="0" w:line="13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i w:val="1"/>
          <w:iCs w:val="1"/>
          <w:color w:val="auto"/>
        </w:rPr>
        <w:t>Société anonyme</w:t>
      </w:r>
    </w:p>
    <w:p>
      <w:pPr>
        <w:spacing w:after="0" w:line="13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color w:val="auto"/>
        </w:rPr>
        <w:t>Siège social: 33, Boulevard Prince Henri, L-1724 Luxembourg</w:t>
      </w:r>
    </w:p>
    <w:p>
      <w:pPr>
        <w:spacing w:after="0" w:line="11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color w:val="auto"/>
        </w:rPr>
        <w:t>R.C.S. Luxembourg: B 72 391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STATUTS COORDONNES AU 28 MAI 2025</w:t>
      </w:r>
    </w:p>
    <w:p>
      <w:pPr>
        <w:spacing w:after="0" w:line="34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i w:val="1"/>
          <w:iCs w:val="1"/>
          <w:color w:val="auto"/>
        </w:rPr>
        <w:t>Chapter I. Form, Corporate Name, Registered Office, Object, Duration</w:t>
      </w:r>
    </w:p>
    <w:p>
      <w:pPr>
        <w:spacing w:after="0" w:line="143"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 Form, Corporate Name. </w:t>
      </w:r>
      <w:r>
        <w:rPr>
          <w:rFonts w:ascii="Times New Roman" w:cs="Times New Roman" w:eastAsia="Times New Roman" w:hAnsi="Times New Roman"/>
          <w:sz w:val="21"/>
          <w:szCs w:val="21"/>
          <w:i w:val="1"/>
          <w:iCs w:val="1"/>
          <w:color w:val="auto"/>
        </w:rPr>
        <w:t>There is established among the subscriber(s), and all those who may become owners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the shares of the company hereafter issued, a company in the form of a public limited liability company (société anonyme)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 which will be governed by the laws of the Grand Duchy of Luxembourg, in particular the law of 10 August 1915 on commercial companies, as amended (the "</w:t>
      </w:r>
      <w:r>
        <w:rPr>
          <w:rFonts w:ascii="Times New Roman" w:cs="Times New Roman" w:eastAsia="Times New Roman" w:hAnsi="Times New Roman"/>
          <w:sz w:val="21"/>
          <w:szCs w:val="21"/>
          <w:b w:val="1"/>
          <w:bCs w:val="1"/>
          <w:i w:val="1"/>
          <w:iCs w:val="1"/>
          <w:color w:val="auto"/>
        </w:rPr>
        <w:t>Law</w:t>
      </w:r>
      <w:r>
        <w:rPr>
          <w:rFonts w:ascii="Times New Roman" w:cs="Times New Roman" w:eastAsia="Times New Roman" w:hAnsi="Times New Roman"/>
          <w:sz w:val="21"/>
          <w:szCs w:val="21"/>
          <w:i w:val="1"/>
          <w:iCs w:val="1"/>
          <w:color w:val="auto"/>
        </w:rPr>
        <w:t>"), Article 1832 of the Luxembourg Civil Code, as amended (the "</w:t>
      </w:r>
      <w:r>
        <w:rPr>
          <w:rFonts w:ascii="Times New Roman" w:cs="Times New Roman" w:eastAsia="Times New Roman" w:hAnsi="Times New Roman"/>
          <w:sz w:val="21"/>
          <w:szCs w:val="21"/>
          <w:b w:val="1"/>
          <w:bCs w:val="1"/>
          <w:i w:val="1"/>
          <w:iCs w:val="1"/>
          <w:color w:val="auto"/>
        </w:rPr>
        <w:t>Civil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i w:val="1"/>
          <w:iCs w:val="1"/>
          <w:color w:val="auto"/>
        </w:rPr>
        <w:t>"), and by the present articles of incorporation (the "</w:t>
      </w:r>
      <w:r>
        <w:rPr>
          <w:rFonts w:ascii="Times New Roman" w:cs="Times New Roman" w:eastAsia="Times New Roman" w:hAnsi="Times New Roman"/>
          <w:sz w:val="21"/>
          <w:szCs w:val="21"/>
          <w:b w:val="1"/>
          <w:bCs w:val="1"/>
          <w:i w:val="1"/>
          <w:iCs w:val="1"/>
          <w:color w:val="auto"/>
        </w:rPr>
        <w:t>Articles</w:t>
      </w:r>
      <w:r>
        <w:rPr>
          <w:rFonts w:ascii="Times New Roman" w:cs="Times New Roman" w:eastAsia="Times New Roman" w:hAnsi="Times New Roman"/>
          <w:sz w:val="21"/>
          <w:szCs w:val="21"/>
          <w:i w:val="1"/>
          <w:iCs w:val="1"/>
          <w:color w:val="auto"/>
        </w:rPr>
        <w:t>").</w:t>
      </w:r>
    </w:p>
    <w:p>
      <w:pPr>
        <w:ind w:left="500"/>
        <w:spacing w:after="0"/>
        <w:rPr>
          <w:sz w:val="20"/>
          <w:szCs w:val="20"/>
          <w:color w:val="auto"/>
        </w:rPr>
      </w:pPr>
      <w:r>
        <w:rPr>
          <w:rFonts w:ascii="Times New Roman" w:cs="Times New Roman" w:eastAsia="Times New Roman" w:hAnsi="Times New Roman"/>
          <w:sz w:val="21"/>
          <w:szCs w:val="21"/>
          <w:i w:val="1"/>
          <w:iCs w:val="1"/>
          <w:color w:val="auto"/>
        </w:rPr>
        <w:t>The Company will exist under the name of "</w:t>
      </w:r>
      <w:r>
        <w:rPr>
          <w:rFonts w:ascii="Times New Roman" w:cs="Times New Roman" w:eastAsia="Times New Roman" w:hAnsi="Times New Roman"/>
          <w:sz w:val="21"/>
          <w:szCs w:val="21"/>
          <w:b w:val="1"/>
          <w:bCs w:val="1"/>
          <w:i w:val="1"/>
          <w:iCs w:val="1"/>
          <w:color w:val="auto"/>
        </w:rPr>
        <w:t>Altisource Portfolio Solutions S.A.</w:t>
      </w:r>
      <w:r>
        <w:rPr>
          <w:rFonts w:ascii="Times New Roman" w:cs="Times New Roman" w:eastAsia="Times New Roman" w:hAnsi="Times New Roman"/>
          <w:sz w:val="21"/>
          <w:szCs w:val="21"/>
          <w:i w:val="1"/>
          <w:iCs w:val="1"/>
          <w:color w:val="auto"/>
        </w:rPr>
        <w:t>".</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 Registered Office. </w:t>
      </w:r>
      <w:r>
        <w:rPr>
          <w:rFonts w:ascii="Times New Roman" w:cs="Times New Roman" w:eastAsia="Times New Roman" w:hAnsi="Times New Roman"/>
          <w:sz w:val="21"/>
          <w:szCs w:val="21"/>
          <w:i w:val="1"/>
          <w:iCs w:val="1"/>
          <w:color w:val="auto"/>
        </w:rPr>
        <w:t>The Company has its registered office in the city of Luxembourg. The Board of Directors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defined in Article 11) is authorized to change the address of the Company's registered office within the Grand Duchy of Luxembourg and amend these Articles accordingly.</w:t>
      </w:r>
    </w:p>
    <w:p>
      <w:pPr>
        <w:spacing w:after="0" w:line="3" w:lineRule="exact"/>
        <w:rPr>
          <w:sz w:val="20"/>
          <w:szCs w:val="20"/>
          <w:color w:val="auto"/>
        </w:rPr>
      </w:pPr>
    </w:p>
    <w:p>
      <w:pPr>
        <w:jc w:val="both"/>
        <w:ind w:firstLine="501"/>
        <w:spacing w:after="0" w:line="378" w:lineRule="auto"/>
        <w:rPr>
          <w:sz w:val="20"/>
          <w:szCs w:val="20"/>
          <w:color w:val="auto"/>
        </w:rPr>
      </w:pPr>
      <w:r>
        <w:rPr>
          <w:rFonts w:ascii="Times New Roman" w:cs="Times New Roman" w:eastAsia="Times New Roman" w:hAnsi="Times New Roman"/>
          <w:sz w:val="21"/>
          <w:szCs w:val="21"/>
          <w:i w:val="1"/>
          <w:iCs w:val="1"/>
          <w:color w:val="auto"/>
        </w:rPr>
        <w:t>Branches or other offices may be established either in the Grand 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w:t>
      </w:r>
    </w:p>
    <w:p>
      <w:pPr>
        <w:sectPr>
          <w:pgSz w:w="11900" w:h="16838" w:orient="portrait"/>
          <w:cols w:equalWidth="0" w:num="1">
            <w:col w:w="10740"/>
          </w:cols>
          <w:pgMar w:left="8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1"/>
          <w:szCs w:val="21"/>
          <w:i w:val="1"/>
          <w:iCs w:val="1"/>
          <w:color w:val="auto"/>
        </w:rPr>
        <w:t>have no effect on the nationality of the Company, which, notwithstanding the temporary transfer of the registered office, will remain a company governed by the laws of the Grand-Duchy of Luxembourg. Such temporary measures will be taken and notified to any interested parties by one of the bodies or persons entrusted with the daily management of the Company.</w:t>
      </w:r>
    </w:p>
    <w:p>
      <w:pPr>
        <w:spacing w:after="0" w:line="2"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3. Corporate Object. </w:t>
      </w:r>
      <w:r>
        <w:rPr>
          <w:rFonts w:ascii="Times New Roman" w:cs="Times New Roman" w:eastAsia="Times New Roman" w:hAnsi="Times New Roman"/>
          <w:sz w:val="21"/>
          <w:szCs w:val="21"/>
          <w:i w:val="1"/>
          <w:iCs w:val="1"/>
          <w:color w:val="auto"/>
        </w:rPr>
        <w:t>The object of the Company is the acquisition, the continuing management and the sale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2" w:lineRule="exact"/>
        <w:rPr>
          <w:sz w:val="20"/>
          <w:szCs w:val="20"/>
          <w:color w:val="auto"/>
        </w:rPr>
      </w:pPr>
    </w:p>
    <w:p>
      <w:pPr>
        <w:jc w:val="both"/>
        <w:ind w:firstLine="501"/>
        <w:spacing w:after="0" w:line="367" w:lineRule="auto"/>
        <w:rPr>
          <w:sz w:val="20"/>
          <w:szCs w:val="20"/>
          <w:color w:val="auto"/>
        </w:rPr>
      </w:pPr>
      <w:r>
        <w:rPr>
          <w:rFonts w:ascii="Times New Roman" w:cs="Times New Roman" w:eastAsia="Times New Roman" w:hAnsi="Times New Roman"/>
          <w:sz w:val="21"/>
          <w:szCs w:val="21"/>
          <w:i w:val="1"/>
          <w:iCs w:val="1"/>
          <w:color w:val="auto"/>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1"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The Company may also provide any financial assistance to the undertakings in which the Company has a participating interest or which form a part of the group of companies to which the Company belongs,</w:t>
      </w:r>
    </w:p>
    <w:p>
      <w:pPr>
        <w:sectPr>
          <w:pgSz w:w="11900" w:h="16838" w:orient="portrait"/>
          <w:cols w:equalWidth="0" w:num="1">
            <w:col w:w="10740"/>
          </w:cols>
          <w:pgMar w:left="8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1"/>
          <w:szCs w:val="21"/>
          <w:i w:val="1"/>
          <w:iCs w:val="1"/>
          <w:color w:val="auto"/>
        </w:rPr>
        <w:t>including, but not limited to, the granting of loans and the providing of guarantees or securities in any form. The Company may pledge, transfer, encumber or otherwise create security over some or all of its assets.</w:t>
      </w: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3"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Art. 4. Duration</w:t>
      </w:r>
      <w:r>
        <w:rPr>
          <w:rFonts w:ascii="Times New Roman" w:cs="Times New Roman" w:eastAsia="Times New Roman" w:hAnsi="Times New Roman"/>
          <w:sz w:val="21"/>
          <w:szCs w:val="21"/>
          <w:i w:val="1"/>
          <w:iCs w:val="1"/>
          <w:color w:val="auto"/>
        </w:rPr>
        <w:t>. The Company is formed for an unlimited duration.</w:t>
      </w:r>
    </w:p>
    <w:p>
      <w:pPr>
        <w:spacing w:after="0" w:line="1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i w:val="1"/>
          <w:iCs w:val="1"/>
          <w:color w:val="auto"/>
        </w:rPr>
        <w:t>Chapter II. Share Capital, Shares</w:t>
      </w:r>
    </w:p>
    <w:p>
      <w:pPr>
        <w:spacing w:after="0" w:line="116"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5. Share Capital. </w:t>
      </w:r>
      <w:r>
        <w:rPr>
          <w:rFonts w:ascii="Times New Roman" w:cs="Times New Roman" w:eastAsia="Times New Roman" w:hAnsi="Times New Roman"/>
          <w:sz w:val="21"/>
          <w:szCs w:val="21"/>
          <w:i w:val="1"/>
          <w:iCs w:val="1"/>
          <w:color w:val="auto"/>
        </w:rPr>
        <w:t>The share capital of the Company is set at one hundred eleven thousand one hundred and eighty-nine United States Dollars and ninety cents (USD 111,189.90), represented by eleven million one hundred and eighteen thousand nine hundred and ninety (11,118,990) shares of the Company’s common stock without designation of nominal value. As used in the present Articles, "Shares" means shares of the Company’s common stock without nominal value.</w:t>
      </w:r>
    </w:p>
    <w:p>
      <w:pPr>
        <w:spacing w:after="0" w:line="1"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In addition to the share capital, share premium accounts into which any premium paid on any Share in addition to its par value may be transferred and capital contribution accounts (compte 115 "Apport en capitaux propres non rémunéré par des titres") may be established. The Board of Directors is authorized to allocate all or part of the share premium accounts and capital</w:t>
      </w:r>
    </w:p>
    <w:p>
      <w:pPr>
        <w:sectPr>
          <w:pgSz w:w="11900" w:h="16838" w:orient="portrait"/>
          <w:cols w:equalWidth="0" w:num="1">
            <w:col w:w="10740"/>
          </w:cols>
          <w:pgMar w:left="8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362" w:lineRule="auto"/>
        <w:rPr>
          <w:sz w:val="20"/>
          <w:szCs w:val="20"/>
          <w:color w:val="auto"/>
        </w:rPr>
      </w:pPr>
      <w:r>
        <w:rPr>
          <w:rFonts w:ascii="Times New Roman" w:cs="Times New Roman" w:eastAsia="Times New Roman" w:hAnsi="Times New Roman"/>
          <w:sz w:val="21"/>
          <w:szCs w:val="21"/>
          <w:i w:val="1"/>
          <w:iCs w:val="1"/>
          <w:color w:val="auto"/>
        </w:rPr>
        <w:t>contribution accounts paid in on the Shares issued by the Company to one or both of the following from time to time as it deems appropriate:</w:t>
      </w:r>
    </w:p>
    <w:p>
      <w:pPr>
        <w:ind w:left="800" w:hanging="292"/>
        <w:spacing w:after="0"/>
        <w:tabs>
          <w:tab w:leader="none" w:pos="800" w:val="left"/>
        </w:tabs>
        <w:numPr>
          <w:ilvl w:val="0"/>
          <w:numId w:val="1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 distributable reserve to be used for distributions of any kind to be made by the Company;</w:t>
      </w:r>
    </w:p>
    <w:p>
      <w:pPr>
        <w:spacing w:after="0" w:line="129"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1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 special reserve as foreseen by Articles 430-18, 430-22 and 461-2 of the Law.</w:t>
      </w:r>
    </w:p>
    <w:p>
      <w:pPr>
        <w:spacing w:after="0" w:line="220"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6. Authorized Share Capital. </w:t>
      </w:r>
      <w:r>
        <w:rPr>
          <w:rFonts w:ascii="Times New Roman" w:cs="Times New Roman" w:eastAsia="Times New Roman" w:hAnsi="Times New Roman"/>
          <w:sz w:val="21"/>
          <w:szCs w:val="21"/>
          <w:i w:val="1"/>
          <w:iCs w:val="1"/>
          <w:color w:val="auto"/>
        </w:rPr>
        <w:t>The authorized share capital is set at one million nine hundred and eighteen thousand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three hundred and twenty-nine United States Dollars and eighty-two cents (USD 1,918,329.82) divided into one hundred and ninety-one million eight hundred and thirty-two thousand nine hundred and eighty-two (191,832,982) shares of the Company’s common stock without nominal value. The Board of Directors is authorized, during a period ending five (5) years after the date of publication of the minute of the extraordinary general meeting of 18 February 2025 in the electronic gazette RESA (Recueil Electronique des Sociétés et Associations) to:</w:t>
      </w:r>
    </w:p>
    <w:p>
      <w:pPr>
        <w:spacing w:after="0" w:line="42" w:lineRule="exact"/>
        <w:rPr>
          <w:sz w:val="20"/>
          <w:szCs w:val="20"/>
          <w:color w:val="auto"/>
        </w:rPr>
      </w:pPr>
    </w:p>
    <w:p>
      <w:pPr>
        <w:jc w:val="both"/>
        <w:ind w:firstLine="508"/>
        <w:spacing w:after="0" w:line="366" w:lineRule="auto"/>
        <w:tabs>
          <w:tab w:leader="none" w:pos="7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one million nine hundred and eighteen thousand three hundred and twenty-nine United States Dollars and eighty-two cents (USD 1,918,329.82).</w:t>
      </w:r>
    </w:p>
    <w:p>
      <w:pPr>
        <w:ind w:firstLine="508"/>
        <w:spacing w:after="0" w:line="368" w:lineRule="auto"/>
        <w:tabs>
          <w:tab w:leader="none" w:pos="7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Issue any warrants, options, or other similar instruments exercisable into shares, rights to subscribe for shares and set the terms and conditions of these instruments.</w:t>
      </w:r>
    </w:p>
    <w:p>
      <w:pPr>
        <w:spacing w:after="0" w:line="1" w:lineRule="exact"/>
        <w:rPr>
          <w:rFonts w:ascii="Times New Roman" w:cs="Times New Roman" w:eastAsia="Times New Roman" w:hAnsi="Times New Roman"/>
          <w:sz w:val="21"/>
          <w:szCs w:val="21"/>
          <w:color w:val="auto"/>
        </w:rPr>
      </w:pPr>
    </w:p>
    <w:p>
      <w:pPr>
        <w:jc w:val="both"/>
        <w:ind w:firstLine="508"/>
        <w:spacing w:after="0" w:line="387" w:lineRule="auto"/>
        <w:tabs>
          <w:tab w:leader="none" w:pos="7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w:t>
      </w:r>
    </w:p>
    <w:p>
      <w:pPr>
        <w:sectPr>
          <w:pgSz w:w="11900" w:h="16838" w:orient="portrait"/>
          <w:cols w:equalWidth="0" w:num="1">
            <w:col w:w="10740"/>
          </w:cols>
          <w:pgMar w:left="8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1"/>
          <w:szCs w:val="21"/>
          <w:i w:val="1"/>
          <w:iCs w:val="1"/>
          <w:color w:val="auto"/>
        </w:rPr>
        <w:t>issue premium and the terms and conditions of the subscription of and paying up of the new Shares (in cash or in kind or by incorporation of available reserves or funds available on the capital contribution account (compte 115 "Apport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jc w:val="both"/>
        <w:ind w:firstLine="508"/>
        <w:spacing w:after="0" w:line="365" w:lineRule="auto"/>
        <w:tabs>
          <w:tab w:leader="none" w:pos="7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1" w:lineRule="exact"/>
        <w:rPr>
          <w:rFonts w:ascii="Times New Roman" w:cs="Times New Roman" w:eastAsia="Times New Roman" w:hAnsi="Times New Roman"/>
          <w:sz w:val="21"/>
          <w:szCs w:val="21"/>
          <w:color w:val="auto"/>
        </w:rPr>
      </w:pPr>
    </w:p>
    <w:p>
      <w:pPr>
        <w:jc w:val="both"/>
        <w:ind w:firstLine="508"/>
        <w:spacing w:after="0" w:line="366" w:lineRule="auto"/>
        <w:tabs>
          <w:tab w:leader="none" w:pos="7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5" w:lineRule="exact"/>
        <w:rPr>
          <w:rFonts w:ascii="Times New Roman" w:cs="Times New Roman" w:eastAsia="Times New Roman" w:hAnsi="Times New Roman"/>
          <w:sz w:val="21"/>
          <w:szCs w:val="21"/>
          <w:color w:val="auto"/>
        </w:rPr>
      </w:pPr>
    </w:p>
    <w:p>
      <w:pPr>
        <w:ind w:firstLine="501"/>
        <w:spacing w:after="0" w:line="36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After each increase of the issued share capital according to the above, the present Articles shall be amended to reflect such increase without requiring further approval from the Company’s shareholders.</w:t>
      </w:r>
    </w:p>
    <w:p>
      <w:pPr>
        <w:spacing w:after="0" w:line="1" w:lineRule="exact"/>
        <w:rPr>
          <w:rFonts w:ascii="Times New Roman" w:cs="Times New Roman" w:eastAsia="Times New Roman" w:hAnsi="Times New Roman"/>
          <w:sz w:val="21"/>
          <w:szCs w:val="21"/>
          <w:color w:val="auto"/>
        </w:rPr>
      </w:pPr>
    </w:p>
    <w:p>
      <w:pPr>
        <w:ind w:firstLine="501"/>
        <w:spacing w:after="0" w:line="39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Art. 7. Shares. </w:t>
      </w:r>
      <w:r>
        <w:rPr>
          <w:rFonts w:ascii="Times New Roman" w:cs="Times New Roman" w:eastAsia="Times New Roman" w:hAnsi="Times New Roman"/>
          <w:sz w:val="21"/>
          <w:szCs w:val="21"/>
          <w:i w:val="1"/>
          <w:iCs w:val="1"/>
          <w:color w:val="auto"/>
        </w:rPr>
        <w:t>The Shares will take the form of registered shares. The shareholders shall not have the right to ask for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the conversion of Shares into bearer shares.</w:t>
      </w:r>
    </w:p>
    <w:p>
      <w:pPr>
        <w:sectPr>
          <w:pgSz w:w="11900" w:h="16838" w:orient="portrait"/>
          <w:cols w:equalWidth="0" w:num="1">
            <w:col w:w="10740"/>
          </w:cols>
          <w:pgMar w:left="82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A shareholders' register will be available for inspection by the Company’s shareholders at the Company’s registered office subject to the provisions of Article 430-3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Any transfer of Shares shall be recorded in the share register in accordance with applicable law. The Board of Directors may delegate its powers with respect to the recording of such transfers in the share register.</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Each Share is indivisible. In case of holding of a Share by more than one person, the Company has the right to suspend the rights attaching thereto (except for the information rights provided for by Article 461-6 of the Law) until one sole person has been designated as being the holder thereof towards the Company.</w:t>
      </w:r>
    </w:p>
    <w:p>
      <w:pPr>
        <w:spacing w:after="0" w:line="1"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Times New Roman" w:cs="Times New Roman" w:eastAsia="Times New Roman" w:hAnsi="Times New Roman"/>
          <w:sz w:val="21"/>
          <w:szCs w:val="21"/>
          <w:b w:val="1"/>
          <w:bCs w:val="1"/>
          <w:i w:val="1"/>
          <w:iCs w:val="1"/>
          <w:color w:val="auto"/>
        </w:rPr>
        <w:t>Depositories</w:t>
      </w:r>
      <w:r>
        <w:rPr>
          <w:rFonts w:ascii="Times New Roman" w:cs="Times New Roman" w:eastAsia="Times New Roman" w:hAnsi="Times New Roman"/>
          <w:sz w:val="21"/>
          <w:szCs w:val="21"/>
          <w:i w:val="1"/>
          <w:iCs w:val="1"/>
          <w:color w:val="auto"/>
        </w:rPr>
        <w:t>" and each a</w:t>
      </w:r>
    </w:p>
    <w:p>
      <w:pPr>
        <w:sectPr>
          <w:pgSz w:w="11900" w:h="16838" w:orient="portrait"/>
          <w:cols w:equalWidth="0" w:num="1">
            <w:col w:w="10740"/>
          </w:cols>
          <w:pgMar w:left="8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Depository</w:t>
      </w:r>
      <w:r>
        <w:rPr>
          <w:rFonts w:ascii="Times New Roman" w:cs="Times New Roman" w:eastAsia="Times New Roman" w:hAnsi="Times New Roman"/>
          <w:sz w:val="21"/>
          <w:szCs w:val="21"/>
          <w:i w:val="1"/>
          <w:iCs w:val="1"/>
          <w:color w:val="auto"/>
        </w:rPr>
        <w:t>") or of a sub-depository designated by one or more Depositories (the "</w:t>
      </w:r>
      <w:r>
        <w:rPr>
          <w:rFonts w:ascii="Times New Roman" w:cs="Times New Roman" w:eastAsia="Times New Roman" w:hAnsi="Times New Roman"/>
          <w:sz w:val="21"/>
          <w:szCs w:val="21"/>
          <w:b w:val="1"/>
          <w:bCs w:val="1"/>
          <w:i w:val="1"/>
          <w:iCs w:val="1"/>
          <w:color w:val="auto"/>
        </w:rPr>
        <w:t>Indirect Holders</w:t>
      </w:r>
      <w:r>
        <w:rPr>
          <w:rFonts w:ascii="Times New Roman" w:cs="Times New Roman" w:eastAsia="Times New Roman" w:hAnsi="Times New Roman"/>
          <w:sz w:val="21"/>
          <w:szCs w:val="21"/>
          <w:i w:val="1"/>
          <w:iCs w:val="1"/>
          <w:color w:val="auto"/>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2" w:lineRule="exact"/>
        <w:rPr>
          <w:sz w:val="20"/>
          <w:szCs w:val="20"/>
          <w:color w:val="auto"/>
        </w:rPr>
      </w:pPr>
    </w:p>
    <w:p>
      <w:pPr>
        <w:jc w:val="both"/>
        <w:ind w:firstLine="501"/>
        <w:spacing w:after="0" w:line="393" w:lineRule="auto"/>
        <w:rPr>
          <w:sz w:val="20"/>
          <w:szCs w:val="20"/>
          <w:color w:val="auto"/>
        </w:rPr>
      </w:pPr>
      <w:r>
        <w:rPr>
          <w:rFonts w:ascii="Times New Roman" w:cs="Times New Roman" w:eastAsia="Times New Roman" w:hAnsi="Times New Roman"/>
          <w:sz w:val="21"/>
          <w:szCs w:val="21"/>
          <w:i w:val="1"/>
          <w:iCs w:val="1"/>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282"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8. Payment of Shares. </w:t>
      </w:r>
      <w:r>
        <w:rPr>
          <w:rFonts w:ascii="Times New Roman" w:cs="Times New Roman" w:eastAsia="Times New Roman" w:hAnsi="Times New Roman"/>
          <w:sz w:val="21"/>
          <w:szCs w:val="21"/>
          <w:i w:val="1"/>
          <w:iCs w:val="1"/>
          <w:color w:val="auto"/>
        </w:rPr>
        <w:t>Payments on Shares not fully paid up at the time of subscription may be made at the time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and upon conditions which the Board of Directors shall from time to time determine subject to the Law. Any amount called up on Shares will be charged equally on all outstanding Shares which are not fully paid up.</w:t>
      </w:r>
    </w:p>
    <w:p>
      <w:pPr>
        <w:spacing w:after="0" w:line="2" w:lineRule="exact"/>
        <w:rPr>
          <w:sz w:val="20"/>
          <w:szCs w:val="20"/>
          <w:color w:val="auto"/>
        </w:rPr>
      </w:pPr>
    </w:p>
    <w:p>
      <w:pPr>
        <w:jc w:val="both"/>
        <w:ind w:firstLine="501"/>
        <w:spacing w:after="0" w:line="370"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9. Increase and Reduction of the Share Capital. </w:t>
      </w:r>
      <w:r>
        <w:rPr>
          <w:rFonts w:ascii="Times New Roman" w:cs="Times New Roman" w:eastAsia="Times New Roman" w:hAnsi="Times New Roman"/>
          <w:sz w:val="21"/>
          <w:szCs w:val="21"/>
          <w:i w:val="1"/>
          <w:iCs w:val="1"/>
          <w:color w:val="auto"/>
        </w:rPr>
        <w:t>The issued share capital and the authorized share capital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ectPr>
          <w:pgSz w:w="11900" w:h="16838" w:orient="portrait"/>
          <w:cols w:equalWidth="0" w:num="1">
            <w:col w:w="10740"/>
          </w:cols>
          <w:pgMar w:left="8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2" w:lineRule="exact"/>
        <w:rPr>
          <w:sz w:val="20"/>
          <w:szCs w:val="20"/>
          <w:color w:val="auto"/>
        </w:rPr>
      </w:pPr>
    </w:p>
    <w:p>
      <w:pPr>
        <w:jc w:val="right"/>
        <w:spacing w:after="0" w:line="364" w:lineRule="auto"/>
        <w:rPr>
          <w:sz w:val="20"/>
          <w:szCs w:val="20"/>
          <w:color w:val="auto"/>
        </w:rPr>
      </w:pPr>
      <w:r>
        <w:rPr>
          <w:rFonts w:ascii="Times New Roman" w:cs="Times New Roman" w:eastAsia="Times New Roman" w:hAnsi="Times New Roman"/>
          <w:sz w:val="21"/>
          <w:szCs w:val="21"/>
          <w:i w:val="1"/>
          <w:iCs w:val="1"/>
          <w:color w:val="auto"/>
        </w:rPr>
        <w:t xml:space="preserve">The preferred subscription right is not applicable when the share capital is increased by means of contributions in kind. </w:t>
      </w:r>
      <w:r>
        <w:rPr>
          <w:rFonts w:ascii="Times New Roman" w:cs="Times New Roman" w:eastAsia="Times New Roman" w:hAnsi="Times New Roman"/>
          <w:sz w:val="21"/>
          <w:szCs w:val="21"/>
          <w:b w:val="1"/>
          <w:bCs w:val="1"/>
          <w:i w:val="1"/>
          <w:iCs w:val="1"/>
          <w:color w:val="auto"/>
        </w:rPr>
        <w:t>Art. 10. Acquisition or Redemption of Own Shares</w:t>
      </w:r>
      <w:r>
        <w:rPr>
          <w:rFonts w:ascii="Times New Roman" w:cs="Times New Roman" w:eastAsia="Times New Roman" w:hAnsi="Times New Roman"/>
          <w:sz w:val="21"/>
          <w:szCs w:val="21"/>
          <w:i w:val="1"/>
          <w:iCs w:val="1"/>
          <w:color w:val="auto"/>
        </w:rPr>
        <w:t>. The Company may acquire or redeem its own Shares in accordance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with the provisions of the Law. It may hold the Shares so acquired or redeemed. As used in this Article 10, "Own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means Shares acquired or redeemed and held by the Company.</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430-18 of the Law.</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III. Directors, Board of Directors, Statutory Auditors</w:t>
      </w:r>
    </w:p>
    <w:p>
      <w:pPr>
        <w:spacing w:after="0" w:line="130"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11. Board of Directors. </w:t>
      </w:r>
      <w:r>
        <w:rPr>
          <w:rFonts w:ascii="Times New Roman" w:cs="Times New Roman" w:eastAsia="Times New Roman" w:hAnsi="Times New Roman"/>
          <w:sz w:val="21"/>
          <w:szCs w:val="21"/>
          <w:i w:val="1"/>
          <w:iCs w:val="1"/>
          <w:color w:val="auto"/>
        </w:rPr>
        <w:t>The Company is managed by a board of directors (the "</w:t>
      </w:r>
      <w:r>
        <w:rPr>
          <w:rFonts w:ascii="Times New Roman" w:cs="Times New Roman" w:eastAsia="Times New Roman" w:hAnsi="Times New Roman"/>
          <w:sz w:val="21"/>
          <w:szCs w:val="21"/>
          <w:b w:val="1"/>
          <w:bCs w:val="1"/>
          <w:i w:val="1"/>
          <w:iCs w:val="1"/>
          <w:color w:val="auto"/>
        </w:rPr>
        <w:t>Board of Directors</w:t>
      </w:r>
      <w:r>
        <w:rPr>
          <w:rFonts w:ascii="Times New Roman" w:cs="Times New Roman" w:eastAsia="Times New Roman" w:hAnsi="Times New Roman"/>
          <w:sz w:val="21"/>
          <w:szCs w:val="21"/>
          <w:i w:val="1"/>
          <w:iCs w:val="1"/>
          <w:color w:val="auto"/>
        </w:rPr>
        <w:t>") composed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at least three (3) and of maximum seven (7) members (each a "</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i w:val="1"/>
          <w:iCs w:val="1"/>
          <w:color w:val="auto"/>
        </w:rPr>
        <w:t>"), who need not be shareholders.</w:t>
      </w:r>
    </w:p>
    <w:p>
      <w:pPr>
        <w:spacing w:after="0" w:line="1"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The Director(s) shall be appointed by the general meeting of shareholders. The general meeting of shareholders will determine their number and the duration of their mandate for a term not exceeding six (6)</w:t>
      </w:r>
    </w:p>
    <w:p>
      <w:pPr>
        <w:sectPr>
          <w:pgSz w:w="11900" w:h="16838" w:orient="portrait"/>
          <w:cols w:equalWidth="0" w:num="1">
            <w:col w:w="10740"/>
          </w:cols>
          <w:pgMar w:left="8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1"/>
          <w:szCs w:val="21"/>
          <w:i w:val="1"/>
          <w:iCs w:val="1"/>
          <w:color w:val="auto"/>
        </w:rPr>
        <w:t>years, and they will hold office until their successors are elected. Director(s) may be re-elected for successive terms, and may be removed at any time, with or without cause, by a resolution of the general meeting of shareholders.</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If a corporate entity is appointed as Director, it shall designate a natural person as its permanent representative, who will represent the corporate entity as a member of the Board of Directors, in accordance with Article 441-3 of the Law. In the event of a vacancy on the Board of Directors, if applicable, the remaining Director(s) may meet and may elect a director to fill such vacancy on a provisional basis until the next meeting of shareholders.</w:t>
      </w:r>
    </w:p>
    <w:p>
      <w:pPr>
        <w:spacing w:after="0" w:line="1"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12. Meetings of the Board of Directors. </w:t>
      </w:r>
      <w:r>
        <w:rPr>
          <w:rFonts w:ascii="Times New Roman" w:cs="Times New Roman" w:eastAsia="Times New Roman" w:hAnsi="Times New Roman"/>
          <w:sz w:val="21"/>
          <w:szCs w:val="21"/>
          <w:i w:val="1"/>
          <w:iCs w:val="1"/>
          <w:color w:val="auto"/>
        </w:rPr>
        <w:t>The Board of Directors will appoint from among its members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chairperson (the "</w:t>
      </w:r>
      <w:r>
        <w:rPr>
          <w:rFonts w:ascii="Times New Roman" w:cs="Times New Roman" w:eastAsia="Times New Roman" w:hAnsi="Times New Roman"/>
          <w:sz w:val="21"/>
          <w:szCs w:val="21"/>
          <w:b w:val="1"/>
          <w:bCs w:val="1"/>
          <w:i w:val="1"/>
          <w:iCs w:val="1"/>
          <w:color w:val="auto"/>
        </w:rPr>
        <w:t>Chair</w:t>
      </w:r>
      <w:r>
        <w:rPr>
          <w:rFonts w:ascii="Times New Roman" w:cs="Times New Roman" w:eastAsia="Times New Roman" w:hAnsi="Times New Roman"/>
          <w:sz w:val="21"/>
          <w:szCs w:val="21"/>
          <w:i w:val="1"/>
          <w:iCs w:val="1"/>
          <w:color w:val="auto"/>
        </w:rPr>
        <w:t>"). It may also appoint a corporate secretary, who need not be a Director and who will be responsible for keeping the minutes of the meetings of the Board of Directors and the general meetings of shareholder(s) (the "</w:t>
      </w:r>
      <w:r>
        <w:rPr>
          <w:rFonts w:ascii="Times New Roman" w:cs="Times New Roman" w:eastAsia="Times New Roman" w:hAnsi="Times New Roman"/>
          <w:sz w:val="21"/>
          <w:szCs w:val="21"/>
          <w:b w:val="1"/>
          <w:bCs w:val="1"/>
          <w:i w:val="1"/>
          <w:iCs w:val="1"/>
          <w:color w:val="auto"/>
        </w:rPr>
        <w:t>Secretary</w:t>
      </w:r>
      <w:r>
        <w:rPr>
          <w:rFonts w:ascii="Times New Roman" w:cs="Times New Roman" w:eastAsia="Times New Roman" w:hAnsi="Times New Roman"/>
          <w:sz w:val="21"/>
          <w:szCs w:val="21"/>
          <w:i w:val="1"/>
          <w:iCs w:val="1"/>
          <w:color w:val="auto"/>
        </w:rPr>
        <w:t>"). If the Secretary is not a Director, such person shall observe the confidentiality provisions as set forth in Article 15 of these Articles, under the responsibility of the Board of Directors.</w:t>
      </w:r>
    </w:p>
    <w:p>
      <w:pPr>
        <w:spacing w:after="0" w:line="2"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The Board of Directors will meet upon call by the Chair. A meeting of the Board of Directors must be convened if any two Directors so require.</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Chair will preside at all meetings of the Board of Directors. except that in his or her absence the Board of Directors may appoint another Director to preside the meeting.</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Except in cases of urgency or with the prior consent of all those entitled to attend, at least twenty-four (24) hours written notice of board meetings shall be given. Any such notice shall specify the place, the date and time of the meeting as well as the agenda and the nature of the business to be transacted.</w:t>
      </w:r>
    </w:p>
    <w:p>
      <w:pPr>
        <w:spacing w:after="0" w:line="2"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The notice may be waived by unanimous written consent given at the meeting by all Directors. No separate notice is required for meetings held at</w:t>
      </w:r>
    </w:p>
    <w:p>
      <w:pPr>
        <w:sectPr>
          <w:pgSz w:w="11900" w:h="16838" w:orient="portrait"/>
          <w:cols w:equalWidth="0" w:num="1">
            <w:col w:w="10740"/>
          </w:cols>
          <w:pgMar w:left="8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times and places specified in a schedule previously adopted by resolution of the Board of Directors.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Meetings of the Board of Directors shall be held in the location indicated in the notice of meeting.</w:t>
      </w:r>
    </w:p>
    <w:p>
      <w:pPr>
        <w:spacing w:after="0" w:line="116"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Any Director may act at any meeting of the Board of Directors by appointing in writing another Director as his or her proxy.</w:t>
      </w:r>
    </w:p>
    <w:p>
      <w:pPr>
        <w:spacing w:after="0" w:line="1" w:lineRule="exact"/>
        <w:rPr>
          <w:sz w:val="20"/>
          <w:szCs w:val="20"/>
          <w:color w:val="auto"/>
        </w:rPr>
      </w:pPr>
    </w:p>
    <w:p>
      <w:pPr>
        <w:jc w:val="both"/>
        <w:ind w:firstLine="501"/>
        <w:spacing w:after="0" w:line="365" w:lineRule="auto"/>
        <w:rPr>
          <w:sz w:val="20"/>
          <w:szCs w:val="20"/>
          <w:color w:val="auto"/>
        </w:rPr>
      </w:pPr>
      <w:r>
        <w:rPr>
          <w:rFonts w:ascii="Times New Roman" w:cs="Times New Roman" w:eastAsia="Times New Roman" w:hAnsi="Times New Roman"/>
          <w:sz w:val="21"/>
          <w:szCs w:val="21"/>
          <w:i w:val="1"/>
          <w:iCs w:val="1"/>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 (2) members of the Board of Directors or Committee, as applicable, shall be required).</w:t>
      </w:r>
    </w:p>
    <w:p>
      <w:pPr>
        <w:spacing w:after="0" w:line="2" w:lineRule="exact"/>
        <w:rPr>
          <w:sz w:val="20"/>
          <w:szCs w:val="20"/>
          <w:color w:val="auto"/>
        </w:rPr>
      </w:pPr>
    </w:p>
    <w:p>
      <w:pPr>
        <w:jc w:val="both"/>
        <w:ind w:right="20"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Decisions will be taken by a majority of the votes of the Directors present or represented at such meeting. In case of a voting tie, the Chair, or when applicable, the pro tempore chair, shall cast the deciding vote.</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 written decision, signed by all the Directors, is proper and valid as if it had been adopted at a meeting of the Board of Directors which was duly convened and held. Such a decision can be documented in a single document, signed by all Directors, or in separate identical documents, each signed by a Director.</w:t>
      </w:r>
    </w:p>
    <w:p>
      <w:pPr>
        <w:spacing w:after="0" w:line="2" w:lineRule="exact"/>
        <w:rPr>
          <w:sz w:val="20"/>
          <w:szCs w:val="20"/>
          <w:color w:val="auto"/>
        </w:rPr>
      </w:pPr>
    </w:p>
    <w:p>
      <w:pPr>
        <w:jc w:val="both"/>
        <w:ind w:firstLine="501"/>
        <w:spacing w:after="0" w:line="367" w:lineRule="auto"/>
        <w:rPr>
          <w:sz w:val="20"/>
          <w:szCs w:val="20"/>
          <w:color w:val="auto"/>
        </w:rPr>
      </w:pPr>
      <w:r>
        <w:rPr>
          <w:rFonts w:ascii="Times New Roman" w:cs="Times New Roman" w:eastAsia="Times New Roman" w:hAnsi="Times New Roman"/>
          <w:sz w:val="21"/>
          <w:szCs w:val="21"/>
          <w:i w:val="1"/>
          <w:iCs w:val="1"/>
          <w:color w:val="auto"/>
        </w:rPr>
        <w:t>The Directors assume, pursuant to their mandate, no personal liability for any commitment validly made by them in the name of the Company.</w:t>
      </w:r>
    </w:p>
    <w:p>
      <w:pPr>
        <w:spacing w:after="0" w:line="1" w:lineRule="exact"/>
        <w:rPr>
          <w:sz w:val="20"/>
          <w:szCs w:val="20"/>
          <w:color w:val="auto"/>
        </w:rPr>
      </w:pPr>
    </w:p>
    <w:p>
      <w:pPr>
        <w:jc w:val="both"/>
        <w:ind w:right="20" w:firstLine="501"/>
        <w:spacing w:after="0" w:line="39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13. Minutes of Meetings of the Board of Directors. </w:t>
      </w:r>
      <w:r>
        <w:rPr>
          <w:rFonts w:ascii="Times New Roman" w:cs="Times New Roman" w:eastAsia="Times New Roman" w:hAnsi="Times New Roman"/>
          <w:sz w:val="21"/>
          <w:szCs w:val="21"/>
          <w:i w:val="1"/>
          <w:iCs w:val="1"/>
          <w:color w:val="auto"/>
        </w:rPr>
        <w:t>The minutes of any meeting of the Board of Directors shall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signed by the Chair or the Secretary.</w:t>
      </w:r>
    </w:p>
    <w:p>
      <w:pPr>
        <w:sectPr>
          <w:pgSz w:w="11900" w:h="16838" w:orient="portrait"/>
          <w:cols w:equalWidth="0" w:num="1">
            <w:col w:w="10740"/>
          </w:cols>
          <w:pgMar w:left="8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Copies or extracts thereof shall be certified by the Secretary appointed by the Board of Directors.</w:t>
      </w:r>
    </w:p>
    <w:p>
      <w:pPr>
        <w:spacing w:after="0" w:line="128" w:lineRule="exact"/>
        <w:rPr>
          <w:sz w:val="20"/>
          <w:szCs w:val="20"/>
          <w:color w:val="auto"/>
        </w:rPr>
      </w:pPr>
    </w:p>
    <w:p>
      <w:pPr>
        <w:jc w:val="both"/>
        <w:ind w:firstLine="501"/>
        <w:spacing w:after="0" w:line="36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14. General Powers of the Board of Directors. </w:t>
      </w:r>
      <w:r>
        <w:rPr>
          <w:rFonts w:ascii="Times New Roman" w:cs="Times New Roman" w:eastAsia="Times New Roman" w:hAnsi="Times New Roman"/>
          <w:sz w:val="21"/>
          <w:szCs w:val="21"/>
          <w:i w:val="1"/>
          <w:iCs w:val="1"/>
          <w:color w:val="auto"/>
        </w:rPr>
        <w:t>The Board of Directors is vested with the broadest powers to act 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behalf of the Company and to perform or authorize all acts of an admninistrative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4" w:lineRule="exact"/>
        <w:rPr>
          <w:sz w:val="20"/>
          <w:szCs w:val="20"/>
          <w:color w:val="auto"/>
        </w:rPr>
      </w:pPr>
    </w:p>
    <w:p>
      <w:pPr>
        <w:jc w:val="both"/>
        <w:ind w:firstLine="501"/>
        <w:spacing w:after="0" w:line="363" w:lineRule="auto"/>
        <w:rPr>
          <w:sz w:val="20"/>
          <w:szCs w:val="20"/>
          <w:color w:val="auto"/>
        </w:rPr>
      </w:pPr>
      <w:r>
        <w:rPr>
          <w:rFonts w:ascii="Times New Roman" w:cs="Times New Roman" w:eastAsia="Times New Roman" w:hAnsi="Times New Roman"/>
          <w:sz w:val="21"/>
          <w:szCs w:val="21"/>
          <w:i w:val="1"/>
          <w:iCs w:val="1"/>
          <w:color w:val="auto"/>
        </w:rPr>
        <w:t>The Board of Directors may freely decide to reimburse any share premium account or any available reserves or funds available on the capital contribution account (compte 115 "Apport en capitaux propres non rémunéré par des titres") of the Company to its shareholders, in accordance with the provisions of the Law.</w:t>
      </w:r>
    </w:p>
    <w:p>
      <w:pPr>
        <w:spacing w:after="0" w:line="2"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15. Confidentiality. </w:t>
      </w:r>
      <w:r>
        <w:rPr>
          <w:rFonts w:ascii="Times New Roman" w:cs="Times New Roman" w:eastAsia="Times New Roman" w:hAnsi="Times New Roman"/>
          <w:sz w:val="21"/>
          <w:szCs w:val="21"/>
          <w:i w:val="1"/>
          <w:iCs w:val="1"/>
          <w:color w:val="auto"/>
        </w:rPr>
        <w:t>Even after the end of their term of office, the Director(s) shall not disclose information about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the Company which could be detrimental to the Company's interests, except when disclosure is required by law, in accordance with and subject to the provisions of Article 444-6 of the Law.</w:t>
      </w:r>
    </w:p>
    <w:p>
      <w:pPr>
        <w:spacing w:after="0" w:line="2" w:lineRule="exact"/>
        <w:rPr>
          <w:sz w:val="20"/>
          <w:szCs w:val="20"/>
          <w:color w:val="auto"/>
        </w:rPr>
      </w:pPr>
    </w:p>
    <w:p>
      <w:pPr>
        <w:jc w:val="both"/>
        <w:ind w:firstLine="501"/>
        <w:spacing w:after="0" w:line="36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16. Committees, Delegation of Powers. </w:t>
      </w:r>
      <w:r>
        <w:rPr>
          <w:rFonts w:ascii="Times New Roman" w:cs="Times New Roman" w:eastAsia="Times New Roman" w:hAnsi="Times New Roman"/>
          <w:sz w:val="21"/>
          <w:szCs w:val="21"/>
          <w:i w:val="1"/>
          <w:iCs w:val="1"/>
          <w:color w:val="auto"/>
        </w:rPr>
        <w:t>The Board of Directors may appoint committees, including but not limited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to an Executive Committee, an Audit Committee, a Nomination and Governance Committee, a Compliance Committee and a Compensation Committee (each a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i w:val="1"/>
          <w:iCs w:val="1"/>
          <w:color w:val="auto"/>
        </w:rPr>
        <w:t>" and collectively, the "</w:t>
      </w:r>
      <w:r>
        <w:rPr>
          <w:rFonts w:ascii="Times New Roman" w:cs="Times New Roman" w:eastAsia="Times New Roman" w:hAnsi="Times New Roman"/>
          <w:sz w:val="21"/>
          <w:szCs w:val="21"/>
          <w:b w:val="1"/>
          <w:bCs w:val="1"/>
          <w:i w:val="1"/>
          <w:iCs w:val="1"/>
          <w:color w:val="auto"/>
        </w:rPr>
        <w:t>Committees</w:t>
      </w:r>
      <w:r>
        <w:rPr>
          <w:rFonts w:ascii="Times New Roman" w:cs="Times New Roman" w:eastAsia="Times New Roman" w:hAnsi="Times New Roman"/>
          <w:sz w:val="21"/>
          <w:szCs w:val="21"/>
          <w:i w:val="1"/>
          <w:iCs w:val="1"/>
          <w:color w:val="auto"/>
        </w:rPr>
        <w:t>"). The Board of Directors will determine each such committee’s composition and purpose in accordance with applicable law, rules and regulations.</w:t>
      </w:r>
    </w:p>
    <w:p>
      <w:pPr>
        <w:spacing w:after="0" w:line="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w:t>
      </w:r>
    </w:p>
    <w:p>
      <w:pPr>
        <w:sectPr>
          <w:pgSz w:w="11900" w:h="16838" w:orient="portrait"/>
          <w:cols w:equalWidth="0" w:num="1">
            <w:col w:w="10740"/>
          </w:cols>
          <w:pgMar w:left="8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Committee, under such terms and with such powers as the Board of Directors shall determine.</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 xml:space="preserve">The Board of Directors may also delegate its powers to conduct daily management to a management committee or a managing executive officer (directeur </w:t>
      </w:r>
      <w:r>
        <w:rPr>
          <w:rFonts w:ascii="Times New Roman" w:cs="Times New Roman" w:eastAsia="Times New Roman" w:hAnsi="Times New Roman"/>
          <w:sz w:val="21"/>
          <w:szCs w:val="21"/>
          <w:i w:val="1"/>
          <w:iCs w:val="1"/>
          <w:color w:val="222222"/>
        </w:rPr>
        <w:t>général</w:t>
      </w:r>
      <w:r>
        <w:rPr>
          <w:rFonts w:ascii="Times New Roman" w:cs="Times New Roman" w:eastAsia="Times New Roman" w:hAnsi="Times New Roman"/>
          <w:sz w:val="21"/>
          <w:szCs w:val="21"/>
          <w:i w:val="1"/>
          <w:iCs w:val="1"/>
          <w:color w:val="auto"/>
        </w:rPr>
        <w:t>) in accordance with and subject to the provisions of Article 441-11 of the Law. The Board of Directors is authorized to determine the conditions of their appointment, removal, remuneration (if any), duration of mandate and decision-making process. The Board of Directors shall supervise the management committee, if any, and the management director, if any. The members of the management committee and the management director, if any, shall comply with the conflicts of interest procedure provided for by Article 441-12 of the Law as well as with the confidentiality obligations provided for by Article 444-6 of the Law.</w:t>
      </w:r>
    </w:p>
    <w:p>
      <w:pPr>
        <w:spacing w:after="0" w:line="7"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2" w:lineRule="exact"/>
        <w:rPr>
          <w:sz w:val="20"/>
          <w:szCs w:val="20"/>
          <w:color w:val="auto"/>
        </w:rPr>
      </w:pPr>
    </w:p>
    <w:p>
      <w:pPr>
        <w:jc w:val="both"/>
        <w:ind w:firstLine="501"/>
        <w:spacing w:after="0" w:line="363" w:lineRule="auto"/>
        <w:rPr>
          <w:sz w:val="20"/>
          <w:szCs w:val="20"/>
          <w:color w:val="auto"/>
        </w:rPr>
      </w:pPr>
      <w:r>
        <w:rPr>
          <w:rFonts w:ascii="Times New Roman" w:cs="Times New Roman" w:eastAsia="Times New Roman" w:hAnsi="Times New Roman"/>
          <w:sz w:val="21"/>
          <w:szCs w:val="21"/>
          <w:i w:val="1"/>
          <w:iCs w:val="1"/>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Art. 17. Representation of the Company. </w:t>
      </w:r>
      <w:r>
        <w:rPr>
          <w:rFonts w:ascii="Times New Roman" w:cs="Times New Roman" w:eastAsia="Times New Roman" w:hAnsi="Times New Roman"/>
          <w:sz w:val="21"/>
          <w:szCs w:val="21"/>
          <w:i w:val="1"/>
          <w:iCs w:val="1"/>
          <w:color w:val="auto"/>
        </w:rPr>
        <w:t>The Company will be bound towards third parties by:</w:t>
      </w:r>
    </w:p>
    <w:p>
      <w:pPr>
        <w:spacing w:after="0" w:line="132" w:lineRule="exact"/>
        <w:rPr>
          <w:sz w:val="20"/>
          <w:szCs w:val="20"/>
          <w:color w:val="auto"/>
        </w:rPr>
      </w:pPr>
    </w:p>
    <w:p>
      <w:pPr>
        <w:ind w:left="760" w:hanging="252"/>
        <w:spacing w:after="0"/>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joint signature of any two Directors;</w:t>
      </w:r>
    </w:p>
    <w:p>
      <w:pPr>
        <w:spacing w:after="0" w:line="129" w:lineRule="exact"/>
        <w:rPr>
          <w:rFonts w:ascii="Times New Roman" w:cs="Times New Roman" w:eastAsia="Times New Roman" w:hAnsi="Times New Roman"/>
          <w:sz w:val="21"/>
          <w:szCs w:val="21"/>
          <w:color w:val="auto"/>
        </w:rPr>
      </w:pPr>
    </w:p>
    <w:p>
      <w:pPr>
        <w:ind w:firstLine="508"/>
        <w:spacing w:after="0" w:line="368"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individual signature of the member(s) of a management committee, if such committee has been formed by the Board of Directors; and</w:t>
      </w:r>
    </w:p>
    <w:p>
      <w:pPr>
        <w:spacing w:after="0" w:line="1" w:lineRule="exact"/>
        <w:rPr>
          <w:rFonts w:ascii="Times New Roman" w:cs="Times New Roman" w:eastAsia="Times New Roman" w:hAnsi="Times New Roman"/>
          <w:sz w:val="21"/>
          <w:szCs w:val="21"/>
          <w:color w:val="auto"/>
        </w:rPr>
      </w:pPr>
    </w:p>
    <w:p>
      <w:pPr>
        <w:ind w:left="760" w:hanging="252"/>
        <w:spacing w:after="0"/>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signature of a management director, if one has been appointed by the Board of Directors;</w:t>
      </w:r>
    </w:p>
    <w:p>
      <w:pPr>
        <w:spacing w:after="0" w:line="116" w:lineRule="exact"/>
        <w:rPr>
          <w:rFonts w:ascii="Times New Roman" w:cs="Times New Roman" w:eastAsia="Times New Roman" w:hAnsi="Times New Roman"/>
          <w:sz w:val="21"/>
          <w:szCs w:val="21"/>
          <w:color w:val="auto"/>
        </w:rPr>
      </w:pPr>
    </w:p>
    <w:p>
      <w:pPr>
        <w:ind w:firstLine="508"/>
        <w:spacing w:after="0" w:line="405"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individual signature of any other person to whom the Board has delegated the daily management of the Company in accordance with this Article, and then only within the scope of the daily management;</w:t>
      </w:r>
    </w:p>
    <w:p>
      <w:pPr>
        <w:sectPr>
          <w:pgSz w:w="11900" w:h="16838" w:orient="portrait"/>
          <w:cols w:equalWidth="0" w:num="1">
            <w:col w:w="10740"/>
          </w:cols>
          <w:pgMar w:left="8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firstLine="8"/>
        <w:spacing w:after="0" w:line="362" w:lineRule="auto"/>
        <w:tabs>
          <w:tab w:leader="none" w:pos="7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The individual signature of any person(s) to whom signing authority has been delegated by the Board of Directors. </w:t>
      </w:r>
      <w:r>
        <w:rPr>
          <w:rFonts w:ascii="Times New Roman" w:cs="Times New Roman" w:eastAsia="Times New Roman" w:hAnsi="Times New Roman"/>
          <w:sz w:val="21"/>
          <w:szCs w:val="21"/>
          <w:b w:val="1"/>
          <w:bCs w:val="1"/>
          <w:i w:val="1"/>
          <w:iCs w:val="1"/>
          <w:color w:val="auto"/>
        </w:rPr>
        <w:t xml:space="preserve">Art. 18. Conflict of Interests. </w:t>
      </w:r>
      <w:r>
        <w:rPr>
          <w:rFonts w:ascii="Times New Roman" w:cs="Times New Roman" w:eastAsia="Times New Roman" w:hAnsi="Times New Roman"/>
          <w:sz w:val="21"/>
          <w:szCs w:val="21"/>
          <w:i w:val="1"/>
          <w:iCs w:val="1"/>
          <w:color w:val="auto"/>
        </w:rPr>
        <w:t>No contract or other transaction between the Company and any other company or firm</w:t>
      </w:r>
    </w:p>
    <w:p>
      <w:pPr>
        <w:jc w:val="both"/>
        <w:spacing w:after="0" w:line="366" w:lineRule="auto"/>
        <w:rPr>
          <w:sz w:val="20"/>
          <w:szCs w:val="20"/>
          <w:color w:val="auto"/>
        </w:rPr>
      </w:pPr>
      <w:r>
        <w:rPr>
          <w:rFonts w:ascii="Times New Roman" w:cs="Times New Roman" w:eastAsia="Times New Roman" w:hAnsi="Times New Roman"/>
          <w:sz w:val="21"/>
          <w:szCs w:val="21"/>
          <w:i w:val="1"/>
          <w:iCs w:val="1"/>
          <w:color w:val="auto"/>
        </w:rPr>
        <w:t>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3"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 liable for gross negligence or wilful misconduct; in the event of a</w:t>
      </w:r>
    </w:p>
    <w:p>
      <w:pPr>
        <w:sectPr>
          <w:pgSz w:w="11900" w:h="16838" w:orient="portrait"/>
          <w:cols w:equalWidth="0" w:num="1">
            <w:col w:w="10740"/>
          </w:cols>
          <w:pgMar w:left="8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1"/>
          <w:szCs w:val="21"/>
          <w:i w:val="1"/>
          <w:iCs w:val="1"/>
          <w:color w:val="auto"/>
        </w:rPr>
        <w:t>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or she may be entitled.</w:t>
      </w:r>
    </w:p>
    <w:p>
      <w:pPr>
        <w:spacing w:after="0" w:line="2"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19. Auditors. </w:t>
      </w:r>
      <w:r>
        <w:rPr>
          <w:rFonts w:ascii="Times New Roman" w:cs="Times New Roman" w:eastAsia="Times New Roman" w:hAnsi="Times New Roman"/>
          <w:sz w:val="21"/>
          <w:szCs w:val="21"/>
          <w:i w:val="1"/>
          <w:iCs w:val="1"/>
          <w:color w:val="auto"/>
        </w:rPr>
        <w:t>The Company’s operations will be overseen by one or more supervisory auditors (commissaire(s) aux</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comptes) and, to the extent required by applicable law, rules and regulations, by one or more independent statutory auditors (réviseur(s) d'entreprises).</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IV. Meetings of Shareholders</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20. Annual General Meeting. </w:t>
      </w:r>
      <w:r>
        <w:rPr>
          <w:rFonts w:ascii="Times New Roman" w:cs="Times New Roman" w:eastAsia="Times New Roman" w:hAnsi="Times New Roman"/>
          <w:sz w:val="21"/>
          <w:szCs w:val="21"/>
          <w:i w:val="1"/>
          <w:iCs w:val="1"/>
          <w:color w:val="auto"/>
        </w:rPr>
        <w:t>The annual general meeting will be held in accordance with provisions of Article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450-8 of the Law at the registered office of the Company or at such other place as may be specified in the convening notice and at such time as specified in the convening notice of the meeting.</w:t>
      </w:r>
    </w:p>
    <w:p>
      <w:pPr>
        <w:spacing w:after="0" w:line="3"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If such day is a public holiday, the meeting will be held on the next following business day. Such meetings shall be validly held if at least 33 1/3% of the issued share capital of the Company is present or represented.</w:t>
      </w:r>
      <w:r>
        <w:rPr>
          <w:rFonts w:ascii="Times New Roman" w:cs="Times New Roman" w:eastAsia="Times New Roman" w:hAnsi="Times New Roman"/>
          <w:sz w:val="21"/>
          <w:szCs w:val="21"/>
          <w:b w:val="1"/>
          <w:bCs w:val="1"/>
          <w:i w:val="1"/>
          <w:iCs w:val="1"/>
          <w:color w:val="auto"/>
        </w:rPr>
        <w:t>Art. 21. Other General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 xml:space="preserve">Meetings of Shareholders. </w:t>
      </w:r>
      <w:r>
        <w:rPr>
          <w:rFonts w:ascii="Times New Roman" w:cs="Times New Roman" w:eastAsia="Times New Roman" w:hAnsi="Times New Roman"/>
          <w:sz w:val="21"/>
          <w:szCs w:val="21"/>
          <w:i w:val="1"/>
          <w:iCs w:val="1"/>
          <w:color w:val="auto"/>
        </w:rPr>
        <w:t>The Board of Directors may convene other general meetings. Such meetings must be convened if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w:t>
      </w:r>
    </w:p>
    <w:p>
      <w:pPr>
        <w:sectPr>
          <w:pgSz w:w="11900" w:h="16838" w:orient="portrait"/>
          <w:cols w:equalWidth="0" w:num="1">
            <w:col w:w="10740"/>
          </w:cols>
          <w:pgMar w:left="8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1"/>
          <w:szCs w:val="21"/>
          <w:i w:val="1"/>
          <w:iCs w:val="1"/>
          <w:color w:val="auto"/>
        </w:rPr>
        <w:t>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2"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22. Powers of the Meeting of Shareholders. </w:t>
      </w:r>
      <w:r>
        <w:rPr>
          <w:rFonts w:ascii="Times New Roman" w:cs="Times New Roman" w:eastAsia="Times New Roman" w:hAnsi="Times New Roman"/>
          <w:sz w:val="21"/>
          <w:szCs w:val="21"/>
          <w:i w:val="1"/>
          <w:iCs w:val="1"/>
          <w:color w:val="auto"/>
        </w:rPr>
        <w:t>Any regularly constituted general meeting of shareholders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Company represents the entire body of shareholders.</w:t>
      </w:r>
    </w:p>
    <w:p>
      <w:pPr>
        <w:spacing w:after="0" w:line="1"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Subject to all the other powers reserved to the Board of Directors or by the Law or the Articles, the general meeting of shareholders has the broadest powers to adopt, carry out or ratify any act relating to the operations of the Company.</w:t>
      </w:r>
    </w:p>
    <w:p>
      <w:pPr>
        <w:ind w:left="500"/>
        <w:spacing w:after="0"/>
        <w:rPr>
          <w:sz w:val="20"/>
          <w:szCs w:val="20"/>
          <w:color w:val="auto"/>
        </w:rPr>
      </w:pPr>
      <w:r>
        <w:rPr>
          <w:rFonts w:ascii="Times New Roman" w:cs="Times New Roman" w:eastAsia="Times New Roman" w:hAnsi="Times New Roman"/>
          <w:sz w:val="21"/>
          <w:szCs w:val="21"/>
          <w:i w:val="1"/>
          <w:iCs w:val="1"/>
          <w:color w:val="auto"/>
        </w:rPr>
        <w:t>The shareholders shall neither participate in nor interfere with the management of the Company.</w:t>
      </w:r>
    </w:p>
    <w:p>
      <w:pPr>
        <w:spacing w:after="0" w:line="130"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In accordance with the provisions of Article 450-1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jc w:val="both"/>
        <w:ind w:firstLine="501"/>
        <w:spacing w:after="0" w:line="36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23. Procedure, Vote. </w:t>
      </w:r>
      <w:r>
        <w:rPr>
          <w:rFonts w:ascii="Times New Roman" w:cs="Times New Roman" w:eastAsia="Times New Roman" w:hAnsi="Times New Roman"/>
          <w:sz w:val="21"/>
          <w:szCs w:val="21"/>
          <w:i w:val="1"/>
          <w:iCs w:val="1"/>
          <w:color w:val="auto"/>
        </w:rPr>
        <w:t>The general meeting of shareholders will meet upon call by the Board of Directors or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auditor(s) made in compliance with Luxembourg law and the present Articles.</w:t>
      </w:r>
    </w:p>
    <w:p>
      <w:pPr>
        <w:ind w:right="20"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record date for general meetings shall be set by the Board of Directors before the date of the general meeting (the "</w:t>
      </w:r>
      <w:r>
        <w:rPr>
          <w:rFonts w:ascii="Times New Roman" w:cs="Times New Roman" w:eastAsia="Times New Roman" w:hAnsi="Times New Roman"/>
          <w:sz w:val="21"/>
          <w:szCs w:val="21"/>
          <w:b w:val="1"/>
          <w:bCs w:val="1"/>
          <w:i w:val="1"/>
          <w:iCs w:val="1"/>
          <w:color w:val="auto"/>
        </w:rPr>
        <w:t>Record Date</w:t>
      </w:r>
      <w:r>
        <w:rPr>
          <w:rFonts w:ascii="Times New Roman" w:cs="Times New Roman" w:eastAsia="Times New Roman" w:hAnsi="Times New Roman"/>
          <w:sz w:val="21"/>
          <w:szCs w:val="21"/>
          <w:i w:val="1"/>
          <w:iCs w:val="1"/>
          <w:color w:val="auto"/>
        </w:rPr>
        <w:t>").</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2"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The documents required to be submitted to the shareholders in connection with the general meeting shall be posted on the Company's</w:t>
      </w:r>
    </w:p>
    <w:p>
      <w:pPr>
        <w:sectPr>
          <w:pgSz w:w="11900" w:h="16838" w:orient="portrait"/>
          <w:cols w:equalWidth="0" w:num="1">
            <w:col w:w="10740"/>
          </w:cols>
          <w:pgMar w:left="82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corporate website or available for inspection at the Company’s registered offices, as may be required by applicable law.</w:t>
      </w:r>
    </w:p>
    <w:p>
      <w:pPr>
        <w:spacing w:after="0" w:line="130"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The convening notice sent to the shareholders in accordance with the Law will specify the time and place of the meeting, as well as the agenda and the nature of the business to be transacted.</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2" w:lineRule="exact"/>
        <w:rPr>
          <w:sz w:val="20"/>
          <w:szCs w:val="20"/>
          <w:color w:val="auto"/>
        </w:rPr>
      </w:pPr>
    </w:p>
    <w:p>
      <w:pPr>
        <w:jc w:val="both"/>
        <w:ind w:firstLine="501"/>
        <w:spacing w:after="0" w:line="427" w:lineRule="auto"/>
        <w:rPr>
          <w:sz w:val="20"/>
          <w:szCs w:val="20"/>
          <w:color w:val="auto"/>
        </w:rPr>
      </w:pPr>
      <w:r>
        <w:rPr>
          <w:rFonts w:ascii="Times New Roman" w:cs="Times New Roman" w:eastAsia="Times New Roman" w:hAnsi="Times New Roman"/>
          <w:sz w:val="21"/>
          <w:szCs w:val="21"/>
          <w:i w:val="1"/>
          <w:iCs w:val="1"/>
          <w:color w:val="auto"/>
        </w:rPr>
        <w:t>The Board of Directors may determine all other conditions that must be fulfilled in order to take part in a general meeting of shareholders. The Chair or another person appointed by the Board shall chair the general meeting of shareholders.</w:t>
      </w:r>
    </w:p>
    <w:p>
      <w:pPr>
        <w:spacing w:after="0" w:line="240"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Resolutions to amend these Articles or change the Company's nationality and resolutions whose adoption is subject, pursuant to these Articles or the Law, to the quorum and majority required to amend the Articles must be approved by at least two thirds (2/3) of the votes cast in accordance with the provisions of Article 450-3 of the Law at a meeting at which at least half (½) the issued and outstanding shares are present or represented. If this quorum is not met at the first meeting, a second meeting, with the same agenda, may be called, in accordance with the provisions of the Act, for which a quorum of 33 1/3% shall be required.</w:t>
      </w:r>
    </w:p>
    <w:p>
      <w:pPr>
        <w:spacing w:after="0" w:line="3" w:lineRule="exact"/>
        <w:rPr>
          <w:sz w:val="20"/>
          <w:szCs w:val="20"/>
          <w:color w:val="auto"/>
        </w:rPr>
      </w:pPr>
    </w:p>
    <w:p>
      <w:pPr>
        <w:jc w:val="both"/>
        <w:ind w:right="20"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All other decisions must be approved by the general meeting of shareholders by a simple majority of the votes cast, and a quorum of 33 1/3% shall be required.</w:t>
      </w:r>
    </w:p>
    <w:p>
      <w:pPr>
        <w:spacing w:after="0" w:line="1"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When organizing a general meeting, the Board of Directors may in its sole discretion allow the following forms of participation by electronic means: (i) real time transmission of the general meeting; (ii) real time two-way communication enabling shareholders to address the general meeting from a remote location; or (iii) a mechanism for casting votes, whether before</w:t>
      </w:r>
    </w:p>
    <w:p>
      <w:pPr>
        <w:sectPr>
          <w:pgSz w:w="11900" w:h="16838" w:orient="portrait"/>
          <w:cols w:equalWidth="0" w:num="1">
            <w:col w:w="10740"/>
          </w:cols>
          <w:pgMar w:left="8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or during the general meeting, without the need to appoint a proxyholder physically present at the meeting.</w:t>
      </w:r>
    </w:p>
    <w:p>
      <w:pPr>
        <w:spacing w:after="0" w:line="130" w:lineRule="exact"/>
        <w:rPr>
          <w:sz w:val="20"/>
          <w:szCs w:val="20"/>
          <w:color w:val="auto"/>
        </w:rPr>
      </w:pPr>
    </w:p>
    <w:p>
      <w:pPr>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The Board of Directors may also determine that shareholders may vote from a remote location by correspondence, by completing a voting form provided by the Company which includes the following information:</w:t>
      </w:r>
    </w:p>
    <w:p>
      <w:pPr>
        <w:ind w:left="760" w:hanging="252"/>
        <w:spacing w:after="0"/>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name, address and any other pertinent information concerning the shareholder.</w:t>
      </w:r>
    </w:p>
    <w:p>
      <w:pPr>
        <w:spacing w:after="0" w:line="129" w:lineRule="exact"/>
        <w:rPr>
          <w:rFonts w:ascii="Times New Roman" w:cs="Times New Roman" w:eastAsia="Times New Roman" w:hAnsi="Times New Roman"/>
          <w:sz w:val="21"/>
          <w:szCs w:val="21"/>
          <w:color w:val="auto"/>
        </w:rPr>
      </w:pPr>
    </w:p>
    <w:p>
      <w:pPr>
        <w:ind w:left="760" w:hanging="252"/>
        <w:spacing w:after="0"/>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number of votes the shareholder wishes to cast, the direction of his or her votes, or his or her abstention.</w:t>
      </w:r>
    </w:p>
    <w:p>
      <w:pPr>
        <w:spacing w:after="0" w:line="129" w:lineRule="exact"/>
        <w:rPr>
          <w:rFonts w:ascii="Times New Roman" w:cs="Times New Roman" w:eastAsia="Times New Roman" w:hAnsi="Times New Roman"/>
          <w:sz w:val="21"/>
          <w:szCs w:val="21"/>
          <w:color w:val="auto"/>
        </w:rPr>
      </w:pPr>
    </w:p>
    <w:p>
      <w:pPr>
        <w:ind w:left="760" w:hanging="252"/>
        <w:spacing w:after="0"/>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agenda of the meeting including the draft of resolutions.</w:t>
      </w:r>
    </w:p>
    <w:p>
      <w:pPr>
        <w:spacing w:after="0" w:line="129" w:lineRule="exact"/>
        <w:rPr>
          <w:rFonts w:ascii="Times New Roman" w:cs="Times New Roman" w:eastAsia="Times New Roman" w:hAnsi="Times New Roman"/>
          <w:sz w:val="21"/>
          <w:szCs w:val="21"/>
          <w:color w:val="auto"/>
        </w:rPr>
      </w:pPr>
    </w:p>
    <w:p>
      <w:pPr>
        <w:ind w:firstLine="508"/>
        <w:spacing w:after="0" w:line="362" w:lineRule="auto"/>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option to vote by proxy for any new resolution or any modification of the resolutions properly submitted to the general meeting between the date the shareholder submits his or her form through the meeting date.</w:t>
      </w:r>
    </w:p>
    <w:p>
      <w:pPr>
        <w:ind w:left="760" w:hanging="252"/>
        <w:spacing w:after="0"/>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signature of the shareholder.</w:t>
      </w:r>
    </w:p>
    <w:p>
      <w:pPr>
        <w:spacing w:after="0" w:line="130"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3"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1"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The Board of Directors may adopt any regulations and rules concerning the participation of shareholders at general meetings in accordance with the Law, including with respect to ensuring the identification</w:t>
      </w:r>
    </w:p>
    <w:p>
      <w:pPr>
        <w:sectPr>
          <w:pgSz w:w="11900" w:h="16838" w:orient="portrait"/>
          <w:cols w:equalWidth="0" w:num="1">
            <w:col w:w="10740"/>
          </w:cols>
          <w:pgMar w:left="8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of shareholders and proxyholders and the safety of electronic communications.</w:t>
      </w:r>
    </w:p>
    <w:p>
      <w:pPr>
        <w:spacing w:after="0" w:line="130" w:lineRule="exact"/>
        <w:rPr>
          <w:sz w:val="20"/>
          <w:szCs w:val="20"/>
          <w:color w:val="auto"/>
        </w:rPr>
      </w:pPr>
    </w:p>
    <w:p>
      <w:pPr>
        <w:ind w:left="500"/>
        <w:spacing w:after="0" w:line="362" w:lineRule="auto"/>
        <w:rPr>
          <w:sz w:val="20"/>
          <w:szCs w:val="20"/>
          <w:color w:val="auto"/>
        </w:rPr>
      </w:pPr>
      <w:r>
        <w:rPr>
          <w:rFonts w:ascii="Times New Roman" w:cs="Times New Roman" w:eastAsia="Times New Roman" w:hAnsi="Times New Roman"/>
          <w:sz w:val="21"/>
          <w:szCs w:val="21"/>
          <w:i w:val="1"/>
          <w:iCs w:val="1"/>
          <w:color w:val="auto"/>
        </w:rPr>
        <w:t>The commitments of the shareholders may be increased only with the unanimous consent of the shareholders. Shareholders representing at least ten percent (10%) of the Company's share capital may request in writing that</w:t>
      </w:r>
    </w:p>
    <w:p>
      <w:pPr>
        <w:jc w:val="both"/>
        <w:ind w:right="20"/>
        <w:spacing w:after="0" w:line="368" w:lineRule="auto"/>
        <w:rPr>
          <w:sz w:val="20"/>
          <w:szCs w:val="20"/>
          <w:color w:val="auto"/>
        </w:rPr>
      </w:pPr>
      <w:r>
        <w:rPr>
          <w:rFonts w:ascii="Times New Roman" w:cs="Times New Roman" w:eastAsia="Times New Roman" w:hAnsi="Times New Roman"/>
          <w:sz w:val="21"/>
          <w:szCs w:val="21"/>
          <w:i w:val="1"/>
          <w:iCs w:val="1"/>
          <w:color w:val="auto"/>
        </w:rPr>
        <w:t>additional items be included on the agenda of any general meeting. Such request shall be addressed to the registered office of the Company by registered letter at least five (5) days before the date on which the general meeting shall be held.</w:t>
      </w:r>
    </w:p>
    <w:p>
      <w:pPr>
        <w:spacing w:after="0" w:line="1"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If all the shareholders are present or represented at a general meeting of shareholders and if they state that they have been informed of the agenda of the meeting, the meeting may be held without prior notice.</w:t>
      </w:r>
    </w:p>
    <w:p>
      <w:pPr>
        <w:ind w:left="500"/>
        <w:spacing w:after="0"/>
        <w:rPr>
          <w:sz w:val="20"/>
          <w:szCs w:val="20"/>
          <w:color w:val="auto"/>
        </w:rPr>
      </w:pPr>
      <w:r>
        <w:rPr>
          <w:rFonts w:ascii="Times New Roman" w:cs="Times New Roman" w:eastAsia="Times New Roman" w:hAnsi="Times New Roman"/>
          <w:sz w:val="21"/>
          <w:szCs w:val="21"/>
          <w:i w:val="1"/>
          <w:iCs w:val="1"/>
          <w:color w:val="auto"/>
        </w:rPr>
        <w:t>One vote is attached to each Share.</w:t>
      </w:r>
    </w:p>
    <w:p>
      <w:pPr>
        <w:spacing w:after="0" w:line="130" w:lineRule="exact"/>
        <w:rPr>
          <w:sz w:val="20"/>
          <w:szCs w:val="20"/>
          <w:color w:val="auto"/>
        </w:rPr>
      </w:pPr>
    </w:p>
    <w:p>
      <w:pPr>
        <w:jc w:val="both"/>
        <w:ind w:firstLine="501"/>
        <w:spacing w:after="0" w:line="367" w:lineRule="auto"/>
        <w:rPr>
          <w:sz w:val="20"/>
          <w:szCs w:val="20"/>
          <w:color w:val="auto"/>
        </w:rPr>
      </w:pPr>
      <w:r>
        <w:rPr>
          <w:rFonts w:ascii="Times New Roman" w:cs="Times New Roman" w:eastAsia="Times New Roman" w:hAnsi="Times New Roman"/>
          <w:sz w:val="21"/>
          <w:szCs w:val="21"/>
          <w:i w:val="1"/>
          <w:iCs w:val="1"/>
          <w:color w:val="auto"/>
        </w:rPr>
        <w:t>Copies or extracts of the minutes of the resolutions passed by the general meeting of shareholders shall be certified by the Chair or by the Secretary.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V. Financial Year, Distribution of Profits</w:t>
      </w:r>
    </w:p>
    <w:p>
      <w:pPr>
        <w:spacing w:after="0" w:line="130"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24. Financial Year. </w:t>
      </w:r>
      <w:r>
        <w:rPr>
          <w:rFonts w:ascii="Times New Roman" w:cs="Times New Roman" w:eastAsia="Times New Roman" w:hAnsi="Times New Roman"/>
          <w:sz w:val="21"/>
          <w:szCs w:val="21"/>
          <w:i w:val="1"/>
          <w:iCs w:val="1"/>
          <w:color w:val="auto"/>
        </w:rPr>
        <w:t>The Company's financial year begins on the first day of the month of January and ends on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last day of the month of December every year.</w:t>
      </w: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25. Adoption of Financial Statements. </w:t>
      </w:r>
      <w:r>
        <w:rPr>
          <w:rFonts w:ascii="Times New Roman" w:cs="Times New Roman" w:eastAsia="Times New Roman" w:hAnsi="Times New Roman"/>
          <w:sz w:val="21"/>
          <w:szCs w:val="21"/>
          <w:i w:val="1"/>
          <w:iCs w:val="1"/>
          <w:color w:val="auto"/>
        </w:rPr>
        <w:t>At the end of each financial year, the accounts are closed and the Board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Directors draws up an inventory of assets and liabilities, the balance sheet and the profit and loss account, in accordance with the Law.</w:t>
      </w:r>
    </w:p>
    <w:p>
      <w:pPr>
        <w:spacing w:after="0" w:line="1" w:lineRule="exact"/>
        <w:rPr>
          <w:sz w:val="20"/>
          <w:szCs w:val="20"/>
          <w:color w:val="auto"/>
        </w:rPr>
      </w:pPr>
    </w:p>
    <w:p>
      <w:pPr>
        <w:ind w:left="500"/>
        <w:spacing w:after="0" w:line="368" w:lineRule="auto"/>
        <w:rPr>
          <w:sz w:val="20"/>
          <w:szCs w:val="20"/>
          <w:color w:val="auto"/>
        </w:rPr>
      </w:pPr>
      <w:r>
        <w:rPr>
          <w:rFonts w:ascii="Times New Roman" w:cs="Times New Roman" w:eastAsia="Times New Roman" w:hAnsi="Times New Roman"/>
          <w:sz w:val="21"/>
          <w:szCs w:val="21"/>
          <w:i w:val="1"/>
          <w:iCs w:val="1"/>
          <w:color w:val="auto"/>
        </w:rPr>
        <w:t xml:space="preserve">The balance sheet and the profit and loss account are submitted to the general meeting of shareholders for approval. </w:t>
      </w:r>
      <w:r>
        <w:rPr>
          <w:rFonts w:ascii="Times New Roman" w:cs="Times New Roman" w:eastAsia="Times New Roman" w:hAnsi="Times New Roman"/>
          <w:sz w:val="21"/>
          <w:szCs w:val="21"/>
          <w:b w:val="1"/>
          <w:bCs w:val="1"/>
          <w:i w:val="1"/>
          <w:iCs w:val="1"/>
          <w:color w:val="auto"/>
        </w:rPr>
        <w:t xml:space="preserve">Art. 26. Appropriation of Profits. </w:t>
      </w:r>
      <w:r>
        <w:rPr>
          <w:rFonts w:ascii="Times New Roman" w:cs="Times New Roman" w:eastAsia="Times New Roman" w:hAnsi="Times New Roman"/>
          <w:sz w:val="21"/>
          <w:szCs w:val="21"/>
          <w:i w:val="1"/>
          <w:iCs w:val="1"/>
          <w:color w:val="auto"/>
        </w:rPr>
        <w:t>From the annual net profits of the Company, five percent (5%) shall be allocated to</w:t>
      </w:r>
    </w:p>
    <w:p>
      <w:pPr>
        <w:spacing w:after="0" w:line="1" w:lineRule="exact"/>
        <w:rPr>
          <w:sz w:val="20"/>
          <w:szCs w:val="20"/>
          <w:color w:val="auto"/>
        </w:rPr>
      </w:pPr>
    </w:p>
    <w:p>
      <w:pPr>
        <w:spacing w:after="0" w:line="392" w:lineRule="auto"/>
        <w:rPr>
          <w:sz w:val="20"/>
          <w:szCs w:val="20"/>
          <w:color w:val="auto"/>
        </w:rPr>
      </w:pPr>
      <w:r>
        <w:rPr>
          <w:rFonts w:ascii="Times New Roman" w:cs="Times New Roman" w:eastAsia="Times New Roman" w:hAnsi="Times New Roman"/>
          <w:sz w:val="21"/>
          <w:szCs w:val="21"/>
          <w:i w:val="1"/>
          <w:iCs w:val="1"/>
          <w:color w:val="auto"/>
        </w:rPr>
        <w:t>the reserve required by the Law. That allocation will cease to be required as soon and as long as such reserve amounts to ten percent (10%) of the issued share capital of the Company.</w:t>
      </w:r>
    </w:p>
    <w:p>
      <w:pPr>
        <w:sectPr>
          <w:pgSz w:w="11900" w:h="16838" w:orient="portrait"/>
          <w:cols w:equalWidth="0" w:num="1">
            <w:col w:w="10740"/>
          </w:cols>
          <w:pgMar w:left="8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501"/>
        <w:spacing w:after="0" w:line="393" w:lineRule="auto"/>
        <w:rPr>
          <w:sz w:val="20"/>
          <w:szCs w:val="20"/>
          <w:color w:val="auto"/>
        </w:rPr>
      </w:pPr>
      <w:r>
        <w:rPr>
          <w:rFonts w:ascii="Times New Roman" w:cs="Times New Roman" w:eastAsia="Times New Roman" w:hAnsi="Times New Roman"/>
          <w:sz w:val="21"/>
          <w:szCs w:val="21"/>
          <w:i w:val="1"/>
          <w:iCs w:val="1"/>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284"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VI. Dissolution, Liquidation of the Company</w:t>
      </w:r>
    </w:p>
    <w:p>
      <w:pPr>
        <w:spacing w:after="0" w:line="130"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27. Dissolution, Liquidation. </w:t>
      </w:r>
      <w:r>
        <w:rPr>
          <w:rFonts w:ascii="Times New Roman" w:cs="Times New Roman" w:eastAsia="Times New Roman" w:hAnsi="Times New Roman"/>
          <w:sz w:val="21"/>
          <w:szCs w:val="21"/>
          <w:i w:val="1"/>
          <w:iCs w:val="1"/>
          <w:color w:val="auto"/>
        </w:rPr>
        <w:t>Upon the affirmative proposal of the Board of Directors, the Company may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dissolved by a decision of the general meeting of shareholders voting with the same quorum and majority as for the amendment of these Articles, unless otherwise provided by the Law.</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After payment of all the debts of and charges against the Company and of the expenses of liquidation, the net assets shall be distributed equally to the shareholders pro rata to the number of the Shares held by them.</w:t>
      </w:r>
    </w:p>
    <w:p>
      <w:pPr>
        <w:spacing w:after="0" w:line="1" w:lineRule="exact"/>
        <w:rPr>
          <w:sz w:val="20"/>
          <w:szCs w:val="20"/>
          <w:color w:val="auto"/>
        </w:rPr>
      </w:pPr>
    </w:p>
    <w:p>
      <w:pPr>
        <w:jc w:val="both"/>
        <w:ind w:firstLine="501"/>
        <w:spacing w:after="0" w:line="363" w:lineRule="auto"/>
        <w:rPr>
          <w:sz w:val="20"/>
          <w:szCs w:val="20"/>
          <w:color w:val="auto"/>
        </w:rPr>
      </w:pPr>
      <w:r>
        <w:rPr>
          <w:rFonts w:ascii="Times New Roman" w:cs="Times New Roman" w:eastAsia="Times New Roman" w:hAnsi="Times New Roman"/>
          <w:sz w:val="21"/>
          <w:szCs w:val="21"/>
          <w:i w:val="1"/>
          <w:iCs w:val="1"/>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VII. Applicable Law</w:t>
      </w:r>
    </w:p>
    <w:p>
      <w:pPr>
        <w:spacing w:after="0" w:line="130"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28. Applicable Law. </w:t>
      </w:r>
      <w:r>
        <w:rPr>
          <w:rFonts w:ascii="Times New Roman" w:cs="Times New Roman" w:eastAsia="Times New Roman" w:hAnsi="Times New Roman"/>
          <w:sz w:val="21"/>
          <w:szCs w:val="21"/>
          <w:i w:val="1"/>
          <w:iCs w:val="1"/>
          <w:color w:val="auto"/>
        </w:rPr>
        <w:t>All matters not governed by these Articles shall be determined in accordance with applicable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Luxembourg Law.</w:t>
      </w:r>
    </w:p>
    <w:p>
      <w:pPr>
        <w:sectPr>
          <w:pgSz w:w="11900" w:h="16838" w:orient="portrait"/>
          <w:cols w:equalWidth="0" w:num="1">
            <w:col w:w="10740"/>
          </w:cols>
          <w:pgMar w:left="82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SUIT LA TRADUCTION FRANÇAISE DU TEXTE QUI PRÉCÈDE :</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 er . Forme, Dénomination Sociale, Siège, Objet, Durée</w:t>
      </w:r>
    </w:p>
    <w:p>
      <w:pPr>
        <w:spacing w:after="0" w:line="209" w:lineRule="exact"/>
        <w:rPr>
          <w:sz w:val="20"/>
          <w:szCs w:val="20"/>
          <w:color w:val="auto"/>
        </w:rPr>
      </w:pPr>
    </w:p>
    <w:p>
      <w:pPr>
        <w:jc w:val="both"/>
        <w:ind w:firstLine="501"/>
        <w:spacing w:after="0" w:line="37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 Forme, Dénomination Sociale. </w:t>
      </w:r>
      <w:r>
        <w:rPr>
          <w:rFonts w:ascii="Times New Roman" w:cs="Times New Roman" w:eastAsia="Times New Roman" w:hAnsi="Times New Roman"/>
          <w:sz w:val="21"/>
          <w:szCs w:val="21"/>
          <w:i w:val="1"/>
          <w:iCs w:val="1"/>
          <w:color w:val="auto"/>
        </w:rPr>
        <w:t>Il est formé par le(s) souscripteur(s) et toutes les personnes qui pourraient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devenir détenteurs des actions de la société émises ci-après, une société sous la forme d'une société anonyme (la "</w:t>
      </w:r>
      <w:r>
        <w:rPr>
          <w:rFonts w:ascii="Times New Roman" w:cs="Times New Roman" w:eastAsia="Times New Roman" w:hAnsi="Times New Roman"/>
          <w:sz w:val="21"/>
          <w:szCs w:val="21"/>
          <w:b w:val="1"/>
          <w:bCs w:val="1"/>
          <w:i w:val="1"/>
          <w:iCs w:val="1"/>
          <w:color w:val="auto"/>
        </w:rPr>
        <w:t>Société</w:t>
      </w:r>
      <w:r>
        <w:rPr>
          <w:rFonts w:ascii="Times New Roman" w:cs="Times New Roman" w:eastAsia="Times New Roman" w:hAnsi="Times New Roman"/>
          <w:sz w:val="21"/>
          <w:szCs w:val="21"/>
          <w:i w:val="1"/>
          <w:iCs w:val="1"/>
          <w:color w:val="auto"/>
        </w:rPr>
        <w:t>") régie par les lois du Grand-Duché de Luxembourg, notamment par la loi du 10 août 1915 concernant les sociétés commerciales, telle que modifiée (la "</w:t>
      </w:r>
      <w:r>
        <w:rPr>
          <w:rFonts w:ascii="Times New Roman" w:cs="Times New Roman" w:eastAsia="Times New Roman" w:hAnsi="Times New Roman"/>
          <w:sz w:val="21"/>
          <w:szCs w:val="21"/>
          <w:b w:val="1"/>
          <w:bCs w:val="1"/>
          <w:i w:val="1"/>
          <w:iCs w:val="1"/>
          <w:color w:val="auto"/>
        </w:rPr>
        <w:t>Loi</w:t>
      </w:r>
      <w:r>
        <w:rPr>
          <w:rFonts w:ascii="Times New Roman" w:cs="Times New Roman" w:eastAsia="Times New Roman" w:hAnsi="Times New Roman"/>
          <w:sz w:val="21"/>
          <w:szCs w:val="21"/>
          <w:i w:val="1"/>
          <w:iCs w:val="1"/>
          <w:color w:val="auto"/>
        </w:rPr>
        <w:t>"), par l'article 1832 du Code Civil luxembourgeois, tel que modifié (le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Civil</w:t>
      </w:r>
      <w:r>
        <w:rPr>
          <w:rFonts w:ascii="Times New Roman" w:cs="Times New Roman" w:eastAsia="Times New Roman" w:hAnsi="Times New Roman"/>
          <w:sz w:val="21"/>
          <w:szCs w:val="21"/>
          <w:i w:val="1"/>
          <w:iCs w:val="1"/>
          <w:color w:val="auto"/>
        </w:rPr>
        <w:t>"), ainsi que par les présents statuts (les "</w:t>
      </w:r>
      <w:r>
        <w:rPr>
          <w:rFonts w:ascii="Times New Roman" w:cs="Times New Roman" w:eastAsia="Times New Roman" w:hAnsi="Times New Roman"/>
          <w:sz w:val="21"/>
          <w:szCs w:val="21"/>
          <w:b w:val="1"/>
          <w:bCs w:val="1"/>
          <w:i w:val="1"/>
          <w:iCs w:val="1"/>
          <w:color w:val="auto"/>
        </w:rPr>
        <w:t>Statuts</w:t>
      </w:r>
      <w:r>
        <w:rPr>
          <w:rFonts w:ascii="Times New Roman" w:cs="Times New Roman" w:eastAsia="Times New Roman" w:hAnsi="Times New Roman"/>
          <w:sz w:val="21"/>
          <w:szCs w:val="21"/>
          <w:i w:val="1"/>
          <w:iCs w:val="1"/>
          <w:color w:val="auto"/>
        </w:rPr>
        <w:t>").</w:t>
      </w:r>
    </w:p>
    <w:p>
      <w:pPr>
        <w:spacing w:after="0" w:line="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La Société existe sous la dénomination "</w:t>
      </w:r>
      <w:r>
        <w:rPr>
          <w:rFonts w:ascii="Times New Roman" w:cs="Times New Roman" w:eastAsia="Times New Roman" w:hAnsi="Times New Roman"/>
          <w:sz w:val="21"/>
          <w:szCs w:val="21"/>
          <w:b w:val="1"/>
          <w:bCs w:val="1"/>
          <w:i w:val="1"/>
          <w:iCs w:val="1"/>
          <w:color w:val="auto"/>
        </w:rPr>
        <w:t>Altisource Portfolio Solutions S.A.</w:t>
      </w:r>
      <w:r>
        <w:rPr>
          <w:rFonts w:ascii="Times New Roman" w:cs="Times New Roman" w:eastAsia="Times New Roman" w:hAnsi="Times New Roman"/>
          <w:sz w:val="21"/>
          <w:szCs w:val="21"/>
          <w:i w:val="1"/>
          <w:iCs w:val="1"/>
          <w:color w:val="auto"/>
        </w:rPr>
        <w:t>"</w:t>
      </w:r>
    </w:p>
    <w:p>
      <w:pPr>
        <w:spacing w:after="0" w:line="222"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 Siège Social. </w:t>
      </w:r>
      <w:r>
        <w:rPr>
          <w:rFonts w:ascii="Times New Roman" w:cs="Times New Roman" w:eastAsia="Times New Roman" w:hAnsi="Times New Roman"/>
          <w:sz w:val="21"/>
          <w:szCs w:val="21"/>
          <w:i w:val="1"/>
          <w:iCs w:val="1"/>
          <w:color w:val="auto"/>
        </w:rPr>
        <w:t>Le siège social est établi à la ville de Luxembourg. Le Conseil d'Administration (tel que défini à</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l'article 11), est autorisé à changer l'adresse du siège social de la Société au sein du Grand-Duché de Luxembourg et à modifier ces Statuts en conséquence.</w:t>
      </w:r>
    </w:p>
    <w:p>
      <w:pPr>
        <w:spacing w:after="0" w:line="44"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Des succursales ou autres bureaux peuvent être établis soit au Grand-Duché de Luxembourg, soit à l'étranger par une décision du Conseil d'Administration. Si le Conseil d'Administration détermine que des événements extraordinaires d'ordre politique, économique ou social sont de nature à compromettre l'activité normale de la société au siège social ou la communication aisée avec ce siège ou entre ce siège et des personnes à l'étranger ou que de tels événements sont imminents, il pourra transférer temporairement le siège social à l'étranger jusqu'à cessation complète de ces circonstances anormales. Ces mesures provisoires n'auront aucun effet sur la nationalité de la Société, laquelle, nonobstant ce transfert provisoire du siège, restera régie par la loi du Grand-Duché de Luxembourg. Ces mesures temporaires seront prises et notifiées aux parties intéressées par un des organes ou personnes en charge de la gestion journalière de la Société.</w:t>
      </w:r>
    </w:p>
    <w:p>
      <w:pPr>
        <w:sectPr>
          <w:pgSz w:w="11900" w:h="16838" w:orient="portrait"/>
          <w:cols w:equalWidth="0" w:num="1">
            <w:col w:w="10740"/>
          </w:cols>
          <w:pgMar w:left="8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3. Objet. </w:t>
      </w:r>
      <w:r>
        <w:rPr>
          <w:rFonts w:ascii="Times New Roman" w:cs="Times New Roman" w:eastAsia="Times New Roman" w:hAnsi="Times New Roman"/>
          <w:sz w:val="21"/>
          <w:szCs w:val="21"/>
          <w:i w:val="1"/>
          <w:iCs w:val="1"/>
          <w:color w:val="auto"/>
        </w:rPr>
        <w:t>La Société a pour objet la prise de participations directes ou indirectes, la gestion continue et la vente de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ces participations, sous n'importe quelle forme, dans toutes entreprises luxembourgeoises et étrangères, en particulier dans les domaines de l'outsourcing, la gestion de relation clientèle et les services de technologie dans l'immobilier, les hypothèques et les industries des services financiers au consommateur ainsi que l'administration, la gestion et la mise en valeur de ces participations. La Société peut aussi détenir, gérer et exploiter les droits de propriété intellectuelle et prester des services à d'autres sociétés du groupe et à des tiers.</w:t>
      </w:r>
    </w:p>
    <w:p>
      <w:pPr>
        <w:spacing w:after="0" w:line="56"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i w:val="1"/>
          <w:iCs w:val="1"/>
          <w:color w:val="auto"/>
        </w:rPr>
        <w:t>La Société peut (i) investir, acquérir, vendre, octroyer ou émettre des prêts, des obligations ou autres instruments de dettes, des actions, des bons de souscription et autres instruments de capital incluant sans s'y limiter des actions, prêts, obligations, reconnaissances de dettes et autres formes de dettes, actions de capital-actions, participations dans une association (limited partnership), participations dans une société à responsabilité limitée (limited liability company), effets, débentures, actions préférentielles, valeurs mobilières et swaps et toute combinaison de ce qui précède, qu'ils soient facilement réalisables ou non, ainsi que des engagements (incluant mais non limité à des engagements relatives à des valeurs synthétiques) de sociétés, entités ou autres personnes juridiques de tout type; (ii) s'engager dans d'autres activités que la Société juge nécessaires, souhaitables, utiles, accessoires à ou non incompatibles avec ce qui précède; et (iii) accorder des gages, des garanties et des contrats d'indemnisation, de toute nature, à des entités luxembourgeoises ou aux entités étrangères en ce qui concerne ses propres obligations et dettes ou des obligations et dettes de toute autre personne.</w:t>
      </w:r>
    </w:p>
    <w:p>
      <w:pPr>
        <w:spacing w:after="0" w:line="6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La Société peut aussi utiliser ses fonds pour investir dans l'immobilier, les droits de propriété intellectuelle ou dans tout autre actif mobilier ou immobilier de toute sorte ou toute forme. De manière générale, la Société</w:t>
      </w:r>
    </w:p>
    <w:p>
      <w:pPr>
        <w:sectPr>
          <w:pgSz w:w="11900" w:h="16838" w:orient="portrait"/>
          <w:cols w:equalWidth="0" w:num="1">
            <w:col w:w="10740"/>
          </w:cols>
          <w:pgMar w:left="8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peut effectuer toute opération commerciale, industrielle ou financière qu'elle jugera utile dans l'accomplissement et le développement de son objet.</w:t>
      </w:r>
    </w:p>
    <w:p>
      <w:pPr>
        <w:spacing w:after="0" w:line="2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La Société peut également accorder toute forme d'assistance financière aux entreprises dans lesquelles la Société a une participation ou qui font partie du groupe de sociétés auxquelles appartient la Société, y compris, mais sans s'y limiter, l'octroi de prêts et la fourniture de garanties ou de titres sous quelque forme que ce soit. La Société peut mettre en garantie, transférer, grever ou créer autrement une sûreté sur certains actifs ou sur l'ensemble de ses actifs.</w:t>
      </w:r>
    </w:p>
    <w:p>
      <w:pPr>
        <w:spacing w:after="0" w:line="50"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i w:val="1"/>
          <w:iCs w:val="1"/>
          <w:color w:val="auto"/>
        </w:rPr>
        <w:t>De plus, la Société peut accorder occasionnellement une assistance sous quelque forme que ce soit (y compris, mais sans s'y limiter à l'octroi d'avances, des prêts, des crédits, des garanties ou de sûretés) à des tiers autres que le groupe de sociétés auxquels appartient la Société, sous réserve que cette assistance relève de l'intérêt de la Société et sous réserve que cette assistance ne déclenche aucune exigence d'une autorisation de la part de la Société. La Société peut participer à la création, au développement, à la gestion et au contrôle de toutes sociétés ou entreprises, directement ou indirectement, qui ont des objets similaires ou dont les objets sont étroitement liés à son propre objet.</w:t>
      </w:r>
    </w:p>
    <w:p>
      <w:pPr>
        <w:spacing w:after="0" w:line="40"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D'une manière générale, la Société peut effectuer toute opération commerciale, industrielle ou financière et s'engager dans toute autre activité qu'elle jugera nécessaire, conseillée, appropriée, incidente à, ou non contradictoire avec l'accomplissement et le développement de ce qui précède.</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Art. 4. Durée. </w:t>
      </w:r>
      <w:r>
        <w:rPr>
          <w:rFonts w:ascii="Times New Roman" w:cs="Times New Roman" w:eastAsia="Times New Roman" w:hAnsi="Times New Roman"/>
          <w:sz w:val="21"/>
          <w:szCs w:val="21"/>
          <w:i w:val="1"/>
          <w:iCs w:val="1"/>
          <w:color w:val="auto"/>
        </w:rPr>
        <w:t>La Société est constituée pour une durée illimitée.</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II. Capital Social, Actions</w:t>
      </w:r>
    </w:p>
    <w:p>
      <w:pPr>
        <w:spacing w:after="0" w:line="209"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5. Capital Social. </w:t>
      </w:r>
      <w:r>
        <w:rPr>
          <w:rFonts w:ascii="Times New Roman" w:cs="Times New Roman" w:eastAsia="Times New Roman" w:hAnsi="Times New Roman"/>
          <w:sz w:val="21"/>
          <w:szCs w:val="21"/>
          <w:i w:val="1"/>
          <w:iCs w:val="1"/>
          <w:color w:val="auto"/>
        </w:rPr>
        <w:t>Le capital social de la Société est fixé à cent onze mille cent quatre-vingt-neuf dollars américains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et quatre-vingt-dix centimes (111.189,90 USD) représenté par onze millions cent dix-huit mille neuf cent quatre-vingt-dix (11,118,990) actions ordinaires sans valeur nominale. Dans</w:t>
      </w:r>
    </w:p>
    <w:p>
      <w:pPr>
        <w:sectPr>
          <w:pgSz w:w="11900" w:h="16838" w:orient="portrait"/>
          <w:cols w:equalWidth="0" w:num="1">
            <w:col w:w="10740"/>
          </w:cols>
          <w:pgMar w:left="8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les présents Statuts, "Actions" désigne les actions ordinaires de la Société sans valeur nominale.</w:t>
      </w:r>
    </w:p>
    <w:p>
      <w:pPr>
        <w:spacing w:after="0" w:line="222"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En plus du capital social, un compte de prime d'émission et/ou un compte d'apport en capital (compte 115 "Apport en capitaux propres non rémunéré par des titres") peut être établi. Le Conseil d'Administration est autorisé à affecter la totalité ou une partie des comptes de primes d'émission et des comptes d'apport en capital aux Actions émises par la Société, de temps à autre, comme il le juge approprié à l'un ou à l'autre des éléments suivants:</w:t>
      </w:r>
    </w:p>
    <w:p>
      <w:pPr>
        <w:spacing w:after="0" w:line="50" w:lineRule="exact"/>
        <w:rPr>
          <w:sz w:val="20"/>
          <w:szCs w:val="20"/>
          <w:color w:val="auto"/>
        </w:rPr>
      </w:pPr>
    </w:p>
    <w:p>
      <w:pPr>
        <w:ind w:left="800" w:hanging="292"/>
        <w:spacing w:after="0"/>
        <w:tabs>
          <w:tab w:leader="none" w:pos="800" w:val="left"/>
        </w:tabs>
        <w:numPr>
          <w:ilvl w:val="0"/>
          <w:numId w:val="2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une réserve distribuable à utiliser pour les distributions de toute nature à effectuer par la Société;</w:t>
      </w:r>
    </w:p>
    <w:p>
      <w:pPr>
        <w:spacing w:after="0" w:line="209"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2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une réserve spéciale prévue par les articles 430-18, 430-22 et 461-2 de la Loi.</w:t>
      </w:r>
    </w:p>
    <w:p>
      <w:pPr>
        <w:spacing w:after="0" w:line="220" w:lineRule="exact"/>
        <w:rPr>
          <w:sz w:val="20"/>
          <w:szCs w:val="20"/>
          <w:color w:val="auto"/>
        </w:rPr>
      </w:pPr>
    </w:p>
    <w:p>
      <w:pPr>
        <w:jc w:val="both"/>
        <w:ind w:firstLine="501"/>
        <w:spacing w:after="0" w:line="3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6. Capital Social Autorisé. </w:t>
      </w:r>
      <w:r>
        <w:rPr>
          <w:rFonts w:ascii="Times New Roman" w:cs="Times New Roman" w:eastAsia="Times New Roman" w:hAnsi="Times New Roman"/>
          <w:sz w:val="21"/>
          <w:szCs w:val="21"/>
          <w:i w:val="1"/>
          <w:iCs w:val="1"/>
          <w:color w:val="auto"/>
        </w:rPr>
        <w:t>Le capital social autorisé de la Société est fixé à un million neuf cent dix-huit mille trois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cent vingt-neuf dollars américains et quatre-vingt-deux centimes (1.918.329,82 USD) divisé en cent quatre-vingt-onze millions huit cent trente-deux mille neuf cent quatre-vingt-deux (191.832.982) Actions sans valeur nominale. Le Conseil d'Administration, est autorisé, pendant une période se terminant cinq (5) ans après la date de publication du procès-verbal d’assemblée générale extraordinaire du 18 février 2025, au Recueil Electronique des Sociétés et Associations de:</w:t>
      </w:r>
    </w:p>
    <w:p>
      <w:pPr>
        <w:spacing w:after="0" w:line="50" w:lineRule="exact"/>
        <w:rPr>
          <w:sz w:val="20"/>
          <w:szCs w:val="20"/>
          <w:color w:val="auto"/>
        </w:rPr>
      </w:pPr>
    </w:p>
    <w:p>
      <w:pPr>
        <w:jc w:val="both"/>
        <w:ind w:firstLine="508"/>
        <w:spacing w:after="0" w:line="374" w:lineRule="auto"/>
        <w:tabs>
          <w:tab w:leader="none" w:pos="792" w:val="left"/>
        </w:tabs>
        <w:numPr>
          <w:ilvl w:val="0"/>
          <w:numId w:val="2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réaliser toute augmentation du capital social émis dans les limites du capital social autorisé en une seule fois ou par tranches successives, par émission d'Actions, l'octroi d'options, de bons de souscription ou d'autres instruments similaires exerçables en Actions, de droits de souscrire à des Actions à libérer par voie de versements en espèces ou d'apports en nature, par transformation de créances, par l'augmentation du pair comptable des actions existantes ou de toute autre manière à décider par le Conseil d'Administration jusqu'à concurrence de un million neuf cent</w:t>
      </w:r>
    </w:p>
    <w:p>
      <w:pPr>
        <w:sectPr>
          <w:pgSz w:w="11900" w:h="16838" w:orient="portrait"/>
          <w:cols w:equalWidth="0" w:num="1">
            <w:col w:w="10740"/>
          </w:cols>
          <w:pgMar w:left="8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dix-huit mille trois cent vingt-neuf dollars américains et quatre-vingt-deux centimes (1.918.329,82 USD).</w:t>
      </w:r>
    </w:p>
    <w:p>
      <w:pPr>
        <w:spacing w:after="0" w:line="222" w:lineRule="exact"/>
        <w:rPr>
          <w:sz w:val="20"/>
          <w:szCs w:val="20"/>
          <w:color w:val="auto"/>
        </w:rPr>
      </w:pPr>
    </w:p>
    <w:p>
      <w:pPr>
        <w:ind w:firstLine="508"/>
        <w:spacing w:after="0" w:line="405" w:lineRule="auto"/>
        <w:tabs>
          <w:tab w:leader="none" w:pos="861" w:val="left"/>
        </w:tabs>
        <w:numPr>
          <w:ilvl w:val="0"/>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Emettre tout warrant, option ou tout autre instrument similaire exerçable en actions, droits de souscription à des actions et définir les termes et conditions de ces instruments.</w:t>
      </w:r>
    </w:p>
    <w:p>
      <w:pPr>
        <w:spacing w:after="0" w:line="6" w:lineRule="exact"/>
        <w:rPr>
          <w:rFonts w:ascii="Times New Roman" w:cs="Times New Roman" w:eastAsia="Times New Roman" w:hAnsi="Times New Roman"/>
          <w:sz w:val="21"/>
          <w:szCs w:val="21"/>
          <w:i w:val="1"/>
          <w:iCs w:val="1"/>
          <w:color w:val="auto"/>
        </w:rPr>
      </w:pPr>
    </w:p>
    <w:p>
      <w:pPr>
        <w:jc w:val="both"/>
        <w:ind w:firstLine="508"/>
        <w:spacing w:after="0" w:line="374" w:lineRule="auto"/>
        <w:tabs>
          <w:tab w:leader="none" w:pos="793" w:val="left"/>
        </w:tabs>
        <w:numPr>
          <w:ilvl w:val="0"/>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déterminer les modalités et les conditions d'une augmentation du capital social émis, incluant, mais pas uniquement, le lieu et la date de l'émission ou des émissions successives, le prix d'émission, le nombre d'Actions nouvelles à émettre, que les nouvelles Actions soient à émettre ou souscrire, avec ou sans prime d'émission et les conditions et modalités de souscription et de libération des Actions nouvelles (en espèce ou en nature ou par incorporation de réserves disponibles sur le compte d'apport en capital (compte 115 "Apport en capitaux propres non rémunéré par des titres"), sur le compte de prime d'émission ou les bénéfices non distribués). Si la contrepartie payable à la Société pour les Actions nouvellement émises excède le pair comptable de ces Actions, l'excès est à traiter comme de la prime d'émission relatives aux Actions dans les livres de la Société;</w:t>
      </w:r>
    </w:p>
    <w:p>
      <w:pPr>
        <w:spacing w:after="0" w:line="200" w:lineRule="exact"/>
        <w:rPr>
          <w:rFonts w:ascii="Times New Roman" w:cs="Times New Roman" w:eastAsia="Times New Roman" w:hAnsi="Times New Roman"/>
          <w:sz w:val="21"/>
          <w:szCs w:val="21"/>
          <w:i w:val="1"/>
          <w:iCs w:val="1"/>
          <w:color w:val="auto"/>
        </w:rPr>
      </w:pPr>
    </w:p>
    <w:p>
      <w:pPr>
        <w:spacing w:after="0" w:line="200" w:lineRule="exact"/>
        <w:rPr>
          <w:rFonts w:ascii="Times New Roman" w:cs="Times New Roman" w:eastAsia="Times New Roman" w:hAnsi="Times New Roman"/>
          <w:sz w:val="21"/>
          <w:szCs w:val="21"/>
          <w:i w:val="1"/>
          <w:iCs w:val="1"/>
          <w:color w:val="auto"/>
        </w:rPr>
      </w:pPr>
    </w:p>
    <w:p>
      <w:pPr>
        <w:jc w:val="both"/>
        <w:ind w:firstLine="508"/>
        <w:spacing w:after="0" w:line="381" w:lineRule="auto"/>
        <w:tabs>
          <w:tab w:leader="none" w:pos="849" w:val="left"/>
        </w:tabs>
        <w:numPr>
          <w:ilvl w:val="0"/>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supprimer ou limiter le droit de souscription préférentiel des actionnaires réservé aux seuls actionnaires existants dans le cas d'émission d'Actions contre paiement en numéraire, par émission d'Actions jusqu'à concurrence d'un montant ne dépassant pas le capital social autorisé et en annulant ou en limitant le droit préférentiel de souscription des actionnaires existants aux Actions relatives au programme d'options d'achat d'actions des salariés de la Société.</w:t>
      </w:r>
    </w:p>
    <w:p>
      <w:pPr>
        <w:spacing w:after="0" w:line="30" w:lineRule="exact"/>
        <w:rPr>
          <w:rFonts w:ascii="Times New Roman" w:cs="Times New Roman" w:eastAsia="Times New Roman" w:hAnsi="Times New Roman"/>
          <w:sz w:val="21"/>
          <w:szCs w:val="21"/>
          <w:i w:val="1"/>
          <w:iCs w:val="1"/>
          <w:color w:val="auto"/>
        </w:rPr>
      </w:pPr>
    </w:p>
    <w:p>
      <w:pPr>
        <w:jc w:val="both"/>
        <w:ind w:firstLine="508"/>
        <w:spacing w:after="0" w:line="378" w:lineRule="auto"/>
        <w:tabs>
          <w:tab w:leader="none" w:pos="819" w:val="left"/>
        </w:tabs>
        <w:numPr>
          <w:ilvl w:val="0"/>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faire tout ce qu'il sera nécessaire pour modifier l'article 5 et l'article 6 des Statuts afin de constater la modification du capital social émis et du capital social autorisé à la suite d'une augmentation de capital réalisée sur base du présent article. Le Conseil d'Administration est autorisé à faire ou à autoriser tous les actes requis pour l'exécution et la publication d'une telle modification en accord avec la Loi. Par ailleurs le Conseil d'Administration peut déléguer à n'importe quel Administrateur (tel que défini</w:t>
      </w:r>
    </w:p>
    <w:p>
      <w:pPr>
        <w:sectPr>
          <w:pgSz w:w="11900" w:h="16838" w:orient="portrait"/>
          <w:cols w:equalWidth="0" w:num="1">
            <w:col w:w="10740"/>
          </w:cols>
          <w:pgMar w:left="8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7"/>
        <w:spacing w:after="0" w:line="381" w:lineRule="auto"/>
        <w:tabs>
          <w:tab w:leader="none" w:pos="193" w:val="left"/>
        </w:tabs>
        <w:numPr>
          <w:ilvl w:val="0"/>
          <w:numId w:val="2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l'article 11) ou dirigeant de la Société, à un comité dûment mandaté ou à toute personne dûment autorisé, le pouvoir d'accepter les souscriptions et de recevoir paiement pour les Actions ou de faire tout ce qu'il sera nécessaire pour modifier l'article 5 et 6 des Statuts afin de constater la modification des Statuts à la suite d'une augmentation de capital réalisée conformément au présent article.</w:t>
      </w:r>
    </w:p>
    <w:p>
      <w:pPr>
        <w:spacing w:after="0" w:line="3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Après chaque augmentation du capital social émis comme décrit ci-dessus, les présents Statuts devront être modifiés pour refléter une telle augmentation, sans nécessiter l'approbation additionnelle des actionnaires de la Société.</w:t>
      </w:r>
    </w:p>
    <w:p>
      <w:pPr>
        <w:spacing w:after="0" w:line="18" w:lineRule="exact"/>
        <w:rPr>
          <w:sz w:val="20"/>
          <w:szCs w:val="20"/>
          <w:color w:val="auto"/>
        </w:rPr>
      </w:pPr>
    </w:p>
    <w:p>
      <w:pPr>
        <w:jc w:val="both"/>
        <w:ind w:firstLine="501"/>
        <w:spacing w:after="0" w:line="39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7. Actions. </w:t>
      </w:r>
      <w:r>
        <w:rPr>
          <w:rFonts w:ascii="Times New Roman" w:cs="Times New Roman" w:eastAsia="Times New Roman" w:hAnsi="Times New Roman"/>
          <w:sz w:val="21"/>
          <w:szCs w:val="21"/>
          <w:i w:val="1"/>
          <w:iCs w:val="1"/>
          <w:color w:val="auto"/>
        </w:rPr>
        <w:t>Chaque Action sera et restera sous forme nominale. Les actionnaires n'auront pas le droit de demander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la conversion des actions en Actions au porteur.</w:t>
      </w:r>
    </w:p>
    <w:p>
      <w:pPr>
        <w:spacing w:after="0" w:line="31"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Un registre des actions sera disponible pour consultation par les actionnaires de la Société au siège social de la Société conformément aux dispositions de l'Article 430-3 de la Loi et moyennant un préavis raisonnable. Chaque actionnaire a le droit de consulter le registre pendant les heures ouvrables normales conformément aux dispositions de la Loi.</w:t>
      </w:r>
    </w:p>
    <w:p>
      <w:pPr>
        <w:spacing w:after="0" w:line="24" w:lineRule="exact"/>
        <w:rPr>
          <w:sz w:val="20"/>
          <w:szCs w:val="20"/>
          <w:color w:val="auto"/>
        </w:rPr>
      </w:pPr>
    </w:p>
    <w:p>
      <w:pPr>
        <w:jc w:val="both"/>
        <w:ind w:right="20"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Chaque actionnaire notifiera à la Société tout changement d'adresse par voie de lettre recommandée. La Société pourra se prévaloir de la dernière adresse ainsi communiquée.</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La propriété des Actions résultera des inscriptions contenues dans ledit registre.</w:t>
      </w:r>
    </w:p>
    <w:p>
      <w:pPr>
        <w:spacing w:after="0" w:line="222"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Toute personne qui est tenue de déclarer la propriété des Actions sur l'Annexe 13D ou 13G conformément à la Règle 13d-1 ou les changements dans cette propriété conformément à la Règle 13d-2, chacune telle qu'elle a été promulguée par la Securities and Exchange Commission des États-Unis en vertu du Securities Exchange Act de 1934, tel que modifié, doit notifier au Conseil d'Administration de la Société immédiatement après une acquisition ou une disposition à des fins déclarables et, en aucun cas plus tard que la</w:t>
      </w:r>
    </w:p>
    <w:p>
      <w:pPr>
        <w:sectPr>
          <w:pgSz w:w="11900" w:h="16838" w:orient="portrait"/>
          <w:cols w:equalWidth="0" w:num="1">
            <w:col w:w="10740"/>
          </w:cols>
          <w:pgMar w:left="820" w:top="1440" w:right="33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date de dépôt de cette annexe 13D ou 13G, la proportion d'Actions détenue par la personne concernée suite à l'acquisition ou la disposition.</w:t>
      </w:r>
    </w:p>
    <w:p>
      <w:pPr>
        <w:spacing w:after="0" w:line="2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Tout transfert d'Actions devra être inscrit au registre des actions conformément à la loi applicable. Le Conseil d'Administration de la Société peut déléguer ses pouvoirs en ce qui concerne l'inscription de ces transferts dans le registre des actions.</w:t>
      </w:r>
    </w:p>
    <w:p>
      <w:pPr>
        <w:spacing w:after="0" w:line="45"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Chaque Action est indivisible. En cas de détention d'une Action par plus d'une personne, la Société a le droit de suspendre les droits attachés (à l'exception des droits d'information prévus par l'article 461-6 de la Loi) jusqu'à ce qu'une seule personne ait été désignée comme son détenteur envers la Société.</w:t>
      </w:r>
    </w:p>
    <w:p>
      <w:pPr>
        <w:spacing w:after="0" w:line="45" w:lineRule="exact"/>
        <w:rPr>
          <w:sz w:val="20"/>
          <w:szCs w:val="20"/>
          <w:color w:val="auto"/>
        </w:rPr>
      </w:pPr>
    </w:p>
    <w:p>
      <w:pPr>
        <w:jc w:val="both"/>
        <w:ind w:firstLine="501"/>
        <w:spacing w:after="0" w:line="371" w:lineRule="auto"/>
        <w:rPr>
          <w:sz w:val="20"/>
          <w:szCs w:val="20"/>
          <w:color w:val="auto"/>
        </w:rPr>
      </w:pPr>
      <w:r>
        <w:rPr>
          <w:rFonts w:ascii="Times New Roman" w:cs="Times New Roman" w:eastAsia="Times New Roman" w:hAnsi="Times New Roman"/>
          <w:sz w:val="21"/>
          <w:szCs w:val="21"/>
          <w:i w:val="1"/>
          <w:iCs w:val="1"/>
          <w:color w:val="auto"/>
        </w:rPr>
        <w:t>Lorsque les Actions sont enregistrées dans le registre des actionnaires au nom d'une ou plusieurs personnes sous le nom d'un système de règlement des titres ou d'un opérateur d'un tel système de règlement des titres ou d'un opérateur d'un tel système ou au nom d'un dépositaire professionnel de titres ou de tout autre dépositaire (ces systèmes, professionnels et autres dépositaires étant ci-après définis comme étant des "</w:t>
      </w:r>
      <w:r>
        <w:rPr>
          <w:rFonts w:ascii="Times New Roman" w:cs="Times New Roman" w:eastAsia="Times New Roman" w:hAnsi="Times New Roman"/>
          <w:sz w:val="21"/>
          <w:szCs w:val="21"/>
          <w:b w:val="1"/>
          <w:bCs w:val="1"/>
          <w:i w:val="1"/>
          <w:iCs w:val="1"/>
          <w:color w:val="auto"/>
        </w:rPr>
        <w:t>Dépositaires</w:t>
      </w:r>
      <w:r>
        <w:rPr>
          <w:rFonts w:ascii="Times New Roman" w:cs="Times New Roman" w:eastAsia="Times New Roman" w:hAnsi="Times New Roman"/>
          <w:sz w:val="21"/>
          <w:szCs w:val="21"/>
          <w:i w:val="1"/>
          <w:iCs w:val="1"/>
          <w:color w:val="auto"/>
        </w:rPr>
        <w:t>" et individuellement un "</w:t>
      </w:r>
      <w:r>
        <w:rPr>
          <w:rFonts w:ascii="Times New Roman" w:cs="Times New Roman" w:eastAsia="Times New Roman" w:hAnsi="Times New Roman"/>
          <w:sz w:val="21"/>
          <w:szCs w:val="21"/>
          <w:b w:val="1"/>
          <w:bCs w:val="1"/>
          <w:i w:val="1"/>
          <w:iCs w:val="1"/>
          <w:color w:val="auto"/>
        </w:rPr>
        <w:t>Dépositaire</w:t>
      </w:r>
      <w:r>
        <w:rPr>
          <w:rFonts w:ascii="Times New Roman" w:cs="Times New Roman" w:eastAsia="Times New Roman" w:hAnsi="Times New Roman"/>
          <w:sz w:val="21"/>
          <w:szCs w:val="21"/>
          <w:i w:val="1"/>
          <w:iCs w:val="1"/>
          <w:color w:val="auto"/>
        </w:rPr>
        <w:t>") ou d'un sous-dépositaire désigné par un ou plusieurs Dépositaires(les "</w:t>
      </w:r>
      <w:r>
        <w:rPr>
          <w:rFonts w:ascii="Times New Roman" w:cs="Times New Roman" w:eastAsia="Times New Roman" w:hAnsi="Times New Roman"/>
          <w:sz w:val="21"/>
          <w:szCs w:val="21"/>
          <w:b w:val="1"/>
          <w:bCs w:val="1"/>
          <w:i w:val="1"/>
          <w:iCs w:val="1"/>
          <w:color w:val="auto"/>
        </w:rPr>
        <w:t>Détenteurs Indirects</w:t>
      </w:r>
      <w:r>
        <w:rPr>
          <w:rFonts w:ascii="Times New Roman" w:cs="Times New Roman" w:eastAsia="Times New Roman" w:hAnsi="Times New Roman"/>
          <w:sz w:val="21"/>
          <w:szCs w:val="21"/>
          <w:i w:val="1"/>
          <w:iCs w:val="1"/>
          <w:color w:val="auto"/>
        </w:rPr>
        <w:t>"), la Société, à condition d'avoir reçu un certificat en bonne et due forme du Dépositaire qui garde les Actions, permettra aux Détenteurs Indirects d'exercer les droits attachés à ces Actions, y compris l'admission et le vote aux assemblées générales, et considérera ces personnes comme étant des actionnaires pour les besoins de l'article 9. Le Conseil d'Administration peut déterminer les conditions formelles auxquelles ces certificats doivent se conformer.</w:t>
      </w:r>
    </w:p>
    <w:p>
      <w:pPr>
        <w:spacing w:after="0" w:line="46"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Nonobstant ce qui précède, la Société fera des paiements, sous forme de dividendes ou autrement, en espèces, actions ou tout autre actif, uniquement dans les mains du Dépositaire ou du sous-dépositaire inscrit au registre des actions de la Société ou conformément à leurs instructions, et ce paiement libérera la Société de toutes ses obligations relatives à celui-ci.</w:t>
      </w:r>
    </w:p>
    <w:p>
      <w:pPr>
        <w:sectPr>
          <w:pgSz w:w="11900" w:h="16838" w:orient="portrait"/>
          <w:cols w:equalWidth="0" w:num="1">
            <w:col w:w="10740"/>
          </w:cols>
          <w:pgMar w:left="8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8. Paiement des Actions. </w:t>
      </w:r>
      <w:r>
        <w:rPr>
          <w:rFonts w:ascii="Times New Roman" w:cs="Times New Roman" w:eastAsia="Times New Roman" w:hAnsi="Times New Roman"/>
          <w:sz w:val="21"/>
          <w:szCs w:val="21"/>
          <w:i w:val="1"/>
          <w:iCs w:val="1"/>
          <w:color w:val="auto"/>
        </w:rPr>
        <w:t>Les paiements sur les Actions non entièrement libérés à la date de la souscription devront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être effectués au moment et selon les conditions qui seront fixées de périodiquement par le Conseil d’Administration, conformément à la Loi. Toute somme appelée sur les Actions sera prélevée également sur toutes les Actions non encore libérées.</w:t>
      </w:r>
    </w:p>
    <w:p>
      <w:pPr>
        <w:spacing w:after="0" w:line="30"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9. Augmentation et Réduction du Capital Social. </w:t>
      </w:r>
      <w:r>
        <w:rPr>
          <w:rFonts w:ascii="Times New Roman" w:cs="Times New Roman" w:eastAsia="Times New Roman" w:hAnsi="Times New Roman"/>
          <w:sz w:val="21"/>
          <w:szCs w:val="21"/>
          <w:i w:val="1"/>
          <w:iCs w:val="1"/>
          <w:color w:val="auto"/>
        </w:rPr>
        <w:t>Le capital social émis et le capital social autorisé de la Société</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peut être augmenté ou réduit, en une ou en plusieurs fois, par résolution de l'assemblée générale des actionnaires votant aux conditions de quorum et de majorité déterminées par ces Statuts ou, le cas échéant, par la Loi pour toute modification des statuts. À moins d'être émises en vertu d'une décision du Conseil d'Administration ou d'un représentant dûment autorisé de celui-ci, suite aux pouvoirs conférés au Conseil d'Administration, des articles 5 et 6, les nouvelles Actions devant être souscrites par un apport en numéraire seront proposées par préférence aux actionnaires existants, au prorata de la part du capital social détenue par ces actionnaires. Le Conseil d'Administration, déterminera le délai dans lequel le droit préférentiel de souscription devra être exercé. Ce délai ne pourra pas être inférieur à trente (30) jours.</w:t>
      </w:r>
    </w:p>
    <w:p>
      <w:pPr>
        <w:spacing w:after="0" w:line="55"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Nonobstant ce qui précède, l'assemblée générale des actionnaires, votant aux conditions de quorum et de majorité requises pour toute modification des Statuts pourra limiter ou révoquer le droit préférentiel de souscription, ou autoriser le Conseil d'Administration à agir ainsi en cas d'augmentation du capital social dans le cadre du capital autorisé.</w:t>
      </w:r>
    </w:p>
    <w:p>
      <w:pPr>
        <w:spacing w:after="0" w:line="45"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droit préférentiel de souscription pourra aussi être révoqué individuellement par les actionnaires, ou par l'assemblée générale, votant aux conditions de quorum et de majorité requises pour les modifications des Statuts et à la condition que la suppression du droit de souscription préférentiel soit expressément mentionnée dans la liste des actionnaires présents.</w:t>
      </w:r>
    </w:p>
    <w:p>
      <w:pPr>
        <w:sectPr>
          <w:pgSz w:w="11900" w:h="16838" w:orient="portrait"/>
          <w:cols w:equalWidth="0" w:num="1">
            <w:col w:w="10740"/>
          </w:cols>
          <w:pgMar w:left="8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 droit de souscription préférentiel n'est pas applicable lorsque le capital social est augmenté par apports en nature.</w:t>
      </w:r>
    </w:p>
    <w:p>
      <w:pPr>
        <w:spacing w:after="0" w:line="220"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10. Acquisition ou Rachat d'Actions Propres. </w:t>
      </w:r>
      <w:r>
        <w:rPr>
          <w:rFonts w:ascii="Times New Roman" w:cs="Times New Roman" w:eastAsia="Times New Roman" w:hAnsi="Times New Roman"/>
          <w:sz w:val="21"/>
          <w:szCs w:val="21"/>
          <w:i w:val="1"/>
          <w:iCs w:val="1"/>
          <w:color w:val="auto"/>
        </w:rPr>
        <w:t>La Société peut acquérir ou racheter ses propres Actions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conformément à la Loi Elle peut détenir les Actions ainsi acquises ou rachetées. Dans le présent article 10, les "Actions propres" correspondent aux Actions acquises ou rachetées et détenues par la Société.</w:t>
      </w:r>
    </w:p>
    <w:p>
      <w:pPr>
        <w:spacing w:after="0" w:line="44"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Les droits de vote attachés aux Actions Propres sont suspendus et ne sont pas pris en compte dans la détermination du quorum et de la majorité aux assemblées générales des actionnaires. Le Conseil d'Administration est autorisé à suspendre le droit au dividende attaché aux Actions Propres. Dans ce cas, le Conseil d'Administration peut décider sur le bénéfice distribuable conformément à l'article 430-18 de la Loi.</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III. Administrateurs, Conseil d’Administrtion, Commissaires aux comptes</w:t>
      </w:r>
    </w:p>
    <w:p>
      <w:pPr>
        <w:spacing w:after="0" w:line="209"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11. Conseil d'Administration. </w:t>
      </w:r>
      <w:r>
        <w:rPr>
          <w:rFonts w:ascii="Times New Roman" w:cs="Times New Roman" w:eastAsia="Times New Roman" w:hAnsi="Times New Roman"/>
          <w:sz w:val="21"/>
          <w:szCs w:val="21"/>
          <w:i w:val="1"/>
          <w:iCs w:val="1"/>
          <w:color w:val="auto"/>
        </w:rPr>
        <w:t>La Société est dirigée par un conseil d'administration (le "</w:t>
      </w:r>
      <w:r>
        <w:rPr>
          <w:rFonts w:ascii="Times New Roman" w:cs="Times New Roman" w:eastAsia="Times New Roman" w:hAnsi="Times New Roman"/>
          <w:sz w:val="21"/>
          <w:szCs w:val="21"/>
          <w:b w:val="1"/>
          <w:bCs w:val="1"/>
          <w:i w:val="1"/>
          <w:iCs w:val="1"/>
          <w:color w:val="auto"/>
        </w:rPr>
        <w:t>Conseil d'Administration</w:t>
      </w:r>
      <w:r>
        <w:rPr>
          <w:rFonts w:ascii="Times New Roman" w:cs="Times New Roman" w:eastAsia="Times New Roman" w:hAnsi="Times New Roman"/>
          <w:sz w:val="21"/>
          <w:szCs w:val="21"/>
          <w:i w:val="1"/>
          <w:iCs w:val="1"/>
          <w:color w:val="auto"/>
        </w:rPr>
        <w:t>") composé d'au moins trois (3) membres et au maximum de sept (7) membres (chacun d'entre eux désigné</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comme un "</w:t>
      </w:r>
      <w:r>
        <w:rPr>
          <w:rFonts w:ascii="Times New Roman" w:cs="Times New Roman" w:eastAsia="Times New Roman" w:hAnsi="Times New Roman"/>
          <w:sz w:val="21"/>
          <w:szCs w:val="21"/>
          <w:b w:val="1"/>
          <w:bCs w:val="1"/>
          <w:i w:val="1"/>
          <w:iCs w:val="1"/>
          <w:color w:val="auto"/>
        </w:rPr>
        <w:t>Administrateur</w:t>
      </w:r>
      <w:r>
        <w:rPr>
          <w:rFonts w:ascii="Times New Roman" w:cs="Times New Roman" w:eastAsia="Times New Roman" w:hAnsi="Times New Roman"/>
          <w:sz w:val="21"/>
          <w:szCs w:val="21"/>
          <w:i w:val="1"/>
          <w:iCs w:val="1"/>
          <w:color w:val="auto"/>
        </w:rPr>
        <w:t>") qui ne devront pas être des actionnaires.</w:t>
      </w:r>
    </w:p>
    <w:p>
      <w:pPr>
        <w:spacing w:after="0" w:line="37"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L'/Les Administrateur(s) est/sont nommé(s) par l'assemblée générale des actionnaires, qui fixe leur nombre et la durée de leur mandat, qui n'excédera pas six (6) ans et ils resteront en fonction jusqu'à ce que leurs successeurs soient élus. L'/Les Administrateur(s) peuvent être réélus pour des mandats successifs et peuvent être révoqués à tout moment, avec ou sans motif, par une résolution de l'assemblée générale des actionnaires.</w:t>
      </w:r>
    </w:p>
    <w:p>
      <w:pPr>
        <w:spacing w:after="0" w:line="5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Si une personne morale est nommée aux fonctions d'Administrateur, il devra désigner une personne physique en qualité de représentant permanent, qui représentera la personne morale en tant que membre du Conseil d'Administration, conformément à l'article 441-3 de la Loi. En cas de vacance au Conseil d'Administration, si applicable, l'/les Administrateur(s) restant(s)</w:t>
      </w:r>
    </w:p>
    <w:p>
      <w:pPr>
        <w:sectPr>
          <w:pgSz w:w="11900" w:h="16838" w:orient="portrait"/>
          <w:cols w:equalWidth="0" w:num="1">
            <w:col w:w="10740"/>
          </w:cols>
          <w:pgMar w:left="8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pourra/pourront se réunir et élire un administrateur pour remplir ce poste vacant à titre provisoire jusqu'à la prochaine assemblée générale des actionnaires.</w:t>
      </w:r>
    </w:p>
    <w:p>
      <w:pPr>
        <w:spacing w:after="0" w:line="18" w:lineRule="exact"/>
        <w:rPr>
          <w:sz w:val="20"/>
          <w:szCs w:val="20"/>
          <w:color w:val="auto"/>
        </w:rPr>
      </w:pPr>
    </w:p>
    <w:p>
      <w:pPr>
        <w:jc w:val="both"/>
        <w:ind w:firstLine="501"/>
        <w:spacing w:after="0" w:line="3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12. Réunions du Conseil d'Administration. </w:t>
      </w:r>
      <w:r>
        <w:rPr>
          <w:rFonts w:ascii="Times New Roman" w:cs="Times New Roman" w:eastAsia="Times New Roman" w:hAnsi="Times New Roman"/>
          <w:sz w:val="21"/>
          <w:szCs w:val="21"/>
          <w:i w:val="1"/>
          <w:iCs w:val="1"/>
          <w:color w:val="auto"/>
        </w:rPr>
        <w:t>Le Conseil d'Administration choisira parmi ses membres un président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(le "</w:t>
      </w:r>
      <w:r>
        <w:rPr>
          <w:rFonts w:ascii="Times New Roman" w:cs="Times New Roman" w:eastAsia="Times New Roman" w:hAnsi="Times New Roman"/>
          <w:sz w:val="21"/>
          <w:szCs w:val="21"/>
          <w:b w:val="1"/>
          <w:bCs w:val="1"/>
          <w:i w:val="1"/>
          <w:iCs w:val="1"/>
          <w:color w:val="auto"/>
        </w:rPr>
        <w:t>Président</w:t>
      </w:r>
      <w:r>
        <w:rPr>
          <w:rFonts w:ascii="Times New Roman" w:cs="Times New Roman" w:eastAsia="Times New Roman" w:hAnsi="Times New Roman"/>
          <w:sz w:val="21"/>
          <w:szCs w:val="21"/>
          <w:i w:val="1"/>
          <w:iCs w:val="1"/>
          <w:color w:val="auto"/>
        </w:rPr>
        <w:t>"). Il pourra également choisir un secrétaire qui n'a pas besoin d'être Administrateur et qui sera responsable des procès-verbaux des réunions du Conseil d'Administration et des assemblées générales des actionnaires (le "</w:t>
      </w:r>
      <w:r>
        <w:rPr>
          <w:rFonts w:ascii="Times New Roman" w:cs="Times New Roman" w:eastAsia="Times New Roman" w:hAnsi="Times New Roman"/>
          <w:sz w:val="21"/>
          <w:szCs w:val="21"/>
          <w:b w:val="1"/>
          <w:bCs w:val="1"/>
          <w:i w:val="1"/>
          <w:iCs w:val="1"/>
          <w:color w:val="auto"/>
        </w:rPr>
        <w:t>Secrétaire</w:t>
      </w:r>
      <w:r>
        <w:rPr>
          <w:rFonts w:ascii="Times New Roman" w:cs="Times New Roman" w:eastAsia="Times New Roman" w:hAnsi="Times New Roman"/>
          <w:sz w:val="21"/>
          <w:szCs w:val="21"/>
          <w:i w:val="1"/>
          <w:iCs w:val="1"/>
          <w:color w:val="auto"/>
        </w:rPr>
        <w:t>"). Si le Secrétaire n'est pas un Administrateur, une telle personne devra observer les dispositions relatives à la confidentialité telles qu'énoncées à l'article 15 des présents Statuts sous la responsabilité du Conseil d'Administration.</w:t>
      </w:r>
    </w:p>
    <w:p>
      <w:pPr>
        <w:spacing w:after="0" w:line="37"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 Conseil d'Administration se réunira sur convocation du Président. Une réunion du Conseil d'Administration devra être convoquée si deux Administrateurs le requièrent.</w:t>
      </w:r>
    </w:p>
    <w:p>
      <w:pPr>
        <w:spacing w:after="0" w:line="2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 Président présidera toutes les réunions du Conseil d'Administration, sauf qu'en son absence, le Conseil d'Administration pourra désigner un autre Administrateur pour présider la réunion.</w:t>
      </w:r>
    </w:p>
    <w:p>
      <w:pPr>
        <w:spacing w:after="0" w:line="6"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Sauf en cas d'urgence ou avec l'accord préalable de toutes les personnes autorisées à participer, une convocation écrite de toute réunion du Conseil d'administration sera donnée avec un préavis d'au moins vingt-quatre (24) heures. La convocation indiquera le lieu, la date et l'heure de la réunion, ainsi que l'ordre du jour et la nature des questions à traiter.</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Il pourra être passé outre cette convocation avec l'accord écrit unanime de tous les Administrateurs. Une convocation spéciale ne sera pas requise pour les réunions se tenant à une date et à un endroit déterminés dans un calendrier préalablement adopté par le Conseil d'Administration.</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réunions du Conseil d'administration se tiendront à l'endroit indiqué dans la convocation à la réunion.</w:t>
      </w:r>
    </w:p>
    <w:p>
      <w:pPr>
        <w:sectPr>
          <w:pgSz w:w="11900" w:h="16838" w:orient="portrait"/>
          <w:cols w:equalWidth="0" w:num="1">
            <w:col w:w="10740"/>
          </w:cols>
          <w:pgMar w:left="820" w:top="1440" w:right="3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Tout Administrateur pourra se faire représenter aux réunions du Conseil d'Administration en désignant par écrit un autre Administrateur comme son mandataire.</w:t>
      </w:r>
    </w:p>
    <w:p>
      <w:pPr>
        <w:spacing w:after="0" w:line="2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Le quorum du Conseil d'Administration ou de l'un de ses Comités (tel que défini à l'article 16) correspond à la présence ou la représentation d'au moins cinquante pour cent (50%) des Administrateurs ou des membres du Comité, le cas échéant, en fonction (étant entendu que la présence ou la représentation d'au moins deux (2) membres du Conseil d'administration ou du Comité, le cas échéant, est requise).</w:t>
      </w:r>
    </w:p>
    <w:p>
      <w:pPr>
        <w:spacing w:after="0" w:line="50"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Les décisions sont prises à la majorité des votes des Administrateurs présents ou représentés à la réunion. En cas d'égalité des voix, le Président, ou, le cas échéant, le président pro tempore, aura voix prépondérante.</w:t>
      </w:r>
    </w:p>
    <w:p>
      <w:pPr>
        <w:spacing w:after="0" w:line="33"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Un ou plusieurs Administrateurs peuvent participer à une réunion par conférence téléphonique, vidéoconférence ou tout moyen de télécommunication similaire permettant à plusieurs personnes y participant de communiquer simultanément l'une avec l'autre. De telles participations doivent être considérées comme équivalentes à une présence physique à une réunion tenue au siège social de la Société.</w:t>
      </w:r>
    </w:p>
    <w:p>
      <w:pPr>
        <w:spacing w:after="0" w:line="5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Une décision écrite, signée par tous les Administrateurs, est correcte et valable comme si elle avait été adoptée lors d'une réunion du Conseil d'Administration dûment convoquée et tenue. Une telle décision peut être consignée dans un document unique, signée par tous les Administrateurs, ou dans documents identiques séparés, chacun d’eux signé par un Administrateur.</w:t>
      </w:r>
    </w:p>
    <w:p>
      <w:pPr>
        <w:spacing w:after="0" w:line="5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Les Administrateurs assument, en vertu de leur mandat, aucune responsabilité personnelle pour un engagement valablement pris par eux au nom de la Société.</w:t>
      </w:r>
    </w:p>
    <w:p>
      <w:pPr>
        <w:spacing w:after="0" w:line="5"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13. Procès-verbaux du Conseil d'Administration. </w:t>
      </w:r>
      <w:r>
        <w:rPr>
          <w:rFonts w:ascii="Times New Roman" w:cs="Times New Roman" w:eastAsia="Times New Roman" w:hAnsi="Times New Roman"/>
          <w:sz w:val="21"/>
          <w:szCs w:val="21"/>
          <w:i w:val="1"/>
          <w:iCs w:val="1"/>
          <w:color w:val="auto"/>
        </w:rPr>
        <w:t>Les procès-verbaux de la réunion du Conseil d'Administration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doivent être signés par le Président ou le Secrétaire.</w:t>
      </w:r>
    </w:p>
    <w:p>
      <w:pPr>
        <w:sectPr>
          <w:pgSz w:w="11900" w:h="16838" w:orient="portrait"/>
          <w:cols w:equalWidth="0" w:num="1">
            <w:col w:w="10740"/>
          </w:cols>
          <w:pgMar w:left="8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copies ou les extraits de ceux-ci doivent être certifiées par le Secrétaire du Conseil d'Administration.</w:t>
      </w:r>
    </w:p>
    <w:p>
      <w:pPr>
        <w:spacing w:after="0" w:line="220" w:lineRule="exact"/>
        <w:rPr>
          <w:sz w:val="20"/>
          <w:szCs w:val="20"/>
          <w:color w:val="auto"/>
        </w:rPr>
      </w:pPr>
    </w:p>
    <w:p>
      <w:pPr>
        <w:jc w:val="both"/>
        <w:ind w:firstLine="501"/>
        <w:spacing w:after="0" w:line="3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14. Pouvoirs Généraux des Administrateurs. </w:t>
      </w:r>
      <w:r>
        <w:rPr>
          <w:rFonts w:ascii="Times New Roman" w:cs="Times New Roman" w:eastAsia="Times New Roman" w:hAnsi="Times New Roman"/>
          <w:sz w:val="21"/>
          <w:szCs w:val="21"/>
          <w:i w:val="1"/>
          <w:iCs w:val="1"/>
          <w:color w:val="auto"/>
        </w:rPr>
        <w:t>Le Conseil d'Administration est investi des pouvoirs les plus étendus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pour agir au nom et pour le compte de la Société et pour accomplir et autoriser tous les actes d'administration ou de disposition qui sont nécessaires ou utiles pour la réalisation de l'objet social de la Société. Tous les pouvoirs qui ne sont pas expressément réservés par la Loi ou par les présents Statuts à l'assemblée générale des actionnaires sont de la compétence du Conseil d'Administration.</w:t>
      </w:r>
    </w:p>
    <w:p>
      <w:pPr>
        <w:spacing w:after="0" w:line="5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Conseil d'Administration, peut librement décider de rembourser tout compte de prime d'émission ou les réserves disponibles ou les fonds disponibles sur le compte d'apport en capital (compte 115 "Apport en capitaux propres non rémunéré par des titres") de la Société à ses actionnaires, conformément aux dispositions de la Loi.</w:t>
      </w:r>
    </w:p>
    <w:p>
      <w:pPr>
        <w:spacing w:after="0" w:line="43" w:lineRule="exact"/>
        <w:rPr>
          <w:sz w:val="20"/>
          <w:szCs w:val="20"/>
          <w:color w:val="auto"/>
        </w:rPr>
      </w:pPr>
    </w:p>
    <w:p>
      <w:pPr>
        <w:jc w:val="both"/>
        <w:ind w:firstLine="501"/>
        <w:spacing w:after="0" w:line="37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15. Confidentialité. </w:t>
      </w:r>
      <w:r>
        <w:rPr>
          <w:rFonts w:ascii="Times New Roman" w:cs="Times New Roman" w:eastAsia="Times New Roman" w:hAnsi="Times New Roman"/>
          <w:sz w:val="21"/>
          <w:szCs w:val="21"/>
          <w:i w:val="1"/>
          <w:iCs w:val="1"/>
          <w:color w:val="auto"/>
        </w:rPr>
        <w:t>Après le terme de leur mandat, le(s) Administrateur(s) resteront tenus de ne pas révéler les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informations relatives à la Société qui pourraient contrevenir aux intérêts de cette dernière, sauf si la révélation de ces informations est requise par la loi ou l'intérêt public, conformément à et sous réserve des dispositions de l'Article 444-6 de la Loi.</w:t>
      </w:r>
    </w:p>
    <w:p>
      <w:pPr>
        <w:spacing w:after="0" w:line="46" w:lineRule="exact"/>
        <w:rPr>
          <w:sz w:val="20"/>
          <w:szCs w:val="20"/>
          <w:color w:val="auto"/>
        </w:rPr>
      </w:pPr>
    </w:p>
    <w:p>
      <w:pPr>
        <w:jc w:val="both"/>
        <w:ind w:firstLine="501"/>
        <w:spacing w:after="0" w:line="37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Art.16. Comités, Délégation de Pouvoir. </w:t>
      </w:r>
      <w:r>
        <w:rPr>
          <w:rFonts w:ascii="Times New Roman" w:cs="Times New Roman" w:eastAsia="Times New Roman" w:hAnsi="Times New Roman"/>
          <w:sz w:val="21"/>
          <w:szCs w:val="21"/>
          <w:i w:val="1"/>
          <w:iCs w:val="1"/>
          <w:color w:val="auto"/>
        </w:rPr>
        <w:t>Le Conseil d'Administration peut nommer des comités, incluant sans s'y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limiter, un Comité Exécutif, un Comité d'Audit, un Comité de Nomination et de Gouvernance et un Comité de Compensation (un "</w:t>
      </w:r>
      <w:r>
        <w:rPr>
          <w:rFonts w:ascii="Times New Roman" w:cs="Times New Roman" w:eastAsia="Times New Roman" w:hAnsi="Times New Roman"/>
          <w:sz w:val="21"/>
          <w:szCs w:val="21"/>
          <w:b w:val="1"/>
          <w:bCs w:val="1"/>
          <w:i w:val="1"/>
          <w:iCs w:val="1"/>
          <w:color w:val="auto"/>
        </w:rPr>
        <w:t>Comité</w:t>
      </w:r>
      <w:r>
        <w:rPr>
          <w:rFonts w:ascii="Times New Roman" w:cs="Times New Roman" w:eastAsia="Times New Roman" w:hAnsi="Times New Roman"/>
          <w:sz w:val="21"/>
          <w:szCs w:val="21"/>
          <w:i w:val="1"/>
          <w:iCs w:val="1"/>
          <w:color w:val="auto"/>
        </w:rPr>
        <w:t>" et collectivement des "</w:t>
      </w:r>
      <w:r>
        <w:rPr>
          <w:rFonts w:ascii="Times New Roman" w:cs="Times New Roman" w:eastAsia="Times New Roman" w:hAnsi="Times New Roman"/>
          <w:sz w:val="21"/>
          <w:szCs w:val="21"/>
          <w:b w:val="1"/>
          <w:bCs w:val="1"/>
          <w:i w:val="1"/>
          <w:iCs w:val="1"/>
          <w:color w:val="auto"/>
        </w:rPr>
        <w:t>Comités</w:t>
      </w:r>
      <w:r>
        <w:rPr>
          <w:rFonts w:ascii="Times New Roman" w:cs="Times New Roman" w:eastAsia="Times New Roman" w:hAnsi="Times New Roman"/>
          <w:sz w:val="21"/>
          <w:szCs w:val="21"/>
          <w:i w:val="1"/>
          <w:iCs w:val="1"/>
          <w:color w:val="auto"/>
        </w:rPr>
        <w:t>"). Le Conseil d'Administration déterminera la composition et l'objet de chacun de ces Comités.</w:t>
      </w:r>
    </w:p>
    <w:p>
      <w:pPr>
        <w:spacing w:after="0" w:line="48"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Conseil d'Administration peut déléguer ses pouvoirs relatifs à la conduite de la gestion et des affaires journalières de la Société à un ou plusieurs membres du Conseil d'Administration, gérants ou autre dirigeant qui n'ont pas besoin d'être actionnaire de la Société Actionnaire de la Société,</w:t>
      </w:r>
    </w:p>
    <w:p>
      <w:pPr>
        <w:sectPr>
          <w:pgSz w:w="11900" w:h="16838" w:orient="portrait"/>
          <w:cols w:equalWidth="0" w:num="1">
            <w:col w:w="10740"/>
          </w:cols>
          <w:pgMar w:left="8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y compris sous la forme d'un Comité Exécutif, selon les termes et les pouvoirs que le Conseil d'Administration déterminera.</w:t>
      </w:r>
    </w:p>
    <w:p>
      <w:pPr>
        <w:spacing w:after="0" w:line="222"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Le Conseil d'Administration pourra également déléguer ses pouvoirs de direction à un comité de direction ou à un directeur général, conformément aux et sous réserves des dispositions de l'Article 441-11 de la Loi. Le Conseil d'Administration sera autorisé à déterminer les conditions de leur nomination, révocation, rémunérations (le cas échéant), durée de mandat et procédure décisionnelle. Le Conseil d'Administration supervisera le comité de direction et le directeur général, le cas échéant. Les membres du comité de direction et le directeur général, le cas échéant, devront se conformer à la procédure de conflits d'intérêts prévue à l'Article 441-12 de la Loi, ainsi qu'aux obligations de confidentialité prévues à l'Article 444-6 de la Loi.</w:t>
      </w:r>
    </w:p>
    <w:p>
      <w:pPr>
        <w:spacing w:after="0" w:line="43"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 Conseil d'Administration peut aussi conférer certains pouvoirs et/ou mandats spéciaux à un ou plusieurs membres du Conseil d'Administration ou à toute autre personne, qui n'a pas besoin d'être Administrateur ou actionnaire de la Société, agissant seul ou conjointement, selon les termes et avec les pouvoirs tels que déterminés par le Conseil d'Administration.</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Lorsque le Conseil d'Administration délègue son pouvoir pour assurer la gestion journalière comme l'autorise les présents Statuts, alors le Conseil d'Administration doit reporter chaque année à l'assemblée générale annuelle des actionnaires le salaire, les honoraires, et tout avantage accordé au/aux délégué(s).</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Art. 17. Représentation de la Société. </w:t>
      </w:r>
      <w:r>
        <w:rPr>
          <w:rFonts w:ascii="Times New Roman" w:cs="Times New Roman" w:eastAsia="Times New Roman" w:hAnsi="Times New Roman"/>
          <w:sz w:val="21"/>
          <w:szCs w:val="21"/>
          <w:i w:val="1"/>
          <w:iCs w:val="1"/>
          <w:color w:val="auto"/>
        </w:rPr>
        <w:t>La Société sera engagée à l'égard des tiers par:</w:t>
      </w:r>
    </w:p>
    <w:p>
      <w:pPr>
        <w:spacing w:after="0" w:line="211" w:lineRule="exact"/>
        <w:rPr>
          <w:sz w:val="20"/>
          <w:szCs w:val="20"/>
          <w:color w:val="auto"/>
        </w:rPr>
      </w:pPr>
    </w:p>
    <w:p>
      <w:pPr>
        <w:ind w:left="800" w:hanging="292"/>
        <w:spacing w:after="0"/>
        <w:tabs>
          <w:tab w:leader="none" w:pos="800"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conjointe de deux administrateurs;</w:t>
      </w:r>
    </w:p>
    <w:p>
      <w:pPr>
        <w:spacing w:after="0" w:line="222" w:lineRule="exact"/>
        <w:rPr>
          <w:rFonts w:ascii="Times New Roman" w:cs="Times New Roman" w:eastAsia="Times New Roman" w:hAnsi="Times New Roman"/>
          <w:sz w:val="21"/>
          <w:szCs w:val="21"/>
          <w:i w:val="1"/>
          <w:iCs w:val="1"/>
          <w:color w:val="auto"/>
        </w:rPr>
      </w:pPr>
    </w:p>
    <w:p>
      <w:pPr>
        <w:ind w:firstLine="508"/>
        <w:spacing w:after="0" w:line="392" w:lineRule="auto"/>
        <w:tabs>
          <w:tab w:leader="none" w:pos="830"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individuelle du/des membre(s) d'un comité de direction, si un tel comité a été constitué par le Conseil d'Administration; et</w:t>
      </w:r>
    </w:p>
    <w:p>
      <w:pPr>
        <w:spacing w:after="0" w:line="32"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du directeur général, si un directeur général a été nommé par le Conseil d'Administration;</w:t>
      </w:r>
    </w:p>
    <w:p>
      <w:pPr>
        <w:sectPr>
          <w:pgSz w:w="11900" w:h="16838" w:orient="portrait"/>
          <w:cols w:equalWidth="0" w:num="1">
            <w:col w:w="10740"/>
          </w:cols>
          <w:pgMar w:left="82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508"/>
        <w:spacing w:after="0" w:line="405" w:lineRule="auto"/>
        <w:tabs>
          <w:tab w:leader="none" w:pos="816" w:val="left"/>
        </w:tabs>
        <w:numPr>
          <w:ilvl w:val="0"/>
          <w:numId w:val="3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individuelle de toute autre personne à qui le Conseil d'Administration a délégué la gestion journalière de la Société conformément au présent article, et seulement dans le cadre de la gestion journalière;</w:t>
      </w:r>
    </w:p>
    <w:p>
      <w:pPr>
        <w:spacing w:after="0" w:line="19" w:lineRule="exact"/>
        <w:rPr>
          <w:rFonts w:ascii="Times New Roman" w:cs="Times New Roman" w:eastAsia="Times New Roman" w:hAnsi="Times New Roman"/>
          <w:sz w:val="21"/>
          <w:szCs w:val="21"/>
          <w:i w:val="1"/>
          <w:iCs w:val="1"/>
          <w:color w:val="auto"/>
        </w:rPr>
      </w:pPr>
    </w:p>
    <w:p>
      <w:pPr>
        <w:ind w:firstLine="508"/>
        <w:spacing w:after="0" w:line="392" w:lineRule="auto"/>
        <w:tabs>
          <w:tab w:leader="none" w:pos="970" w:val="left"/>
        </w:tabs>
        <w:numPr>
          <w:ilvl w:val="0"/>
          <w:numId w:val="3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individuelle de toute personne à laquelle l'autorité de signature a été déléguée par le Conseil d'Administration.</w:t>
      </w:r>
    </w:p>
    <w:p>
      <w:pPr>
        <w:spacing w:after="0" w:line="31"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18. Conflit d'Intérêts. </w:t>
      </w:r>
      <w:r>
        <w:rPr>
          <w:rFonts w:ascii="Times New Roman" w:cs="Times New Roman" w:eastAsia="Times New Roman" w:hAnsi="Times New Roman"/>
          <w:sz w:val="21"/>
          <w:szCs w:val="21"/>
          <w:i w:val="1"/>
          <w:iCs w:val="1"/>
          <w:color w:val="auto"/>
        </w:rPr>
        <w:t>Aucun contrat ou autre transaction entre la Société et toute autre société ou entreprise ne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sera affecté ou invalidé du fait qu'un ou plusieurs Administrateurs, gérants, associés, membres, fondés de pouvoir ou employés de la Société ont un intérêt personnel ou en sont un administrateur, gérant, associé, membre, fondé de pouvoir ou employé d'une telle autre société ou entreprise. Sauf dispositions contraires ci-dessous, tout Administrateur, gérants, associés, membres, employés ou fondé de pouvoir valablement autorisé de la Société, en ce compris tout Administrateur qui remplira en même temps des fonctions de représentant valablement autorisé pour le compte d'une autre société ou firme avec laquelle la Société contractera ou entrera en toute relation d'affaire, ne sera pas, pour ce seul motif, automatiquement empêché de donner son avis ou d'agir quant à toutes opérations relatives à un tel contrat ou opération.</w:t>
      </w:r>
    </w:p>
    <w:p>
      <w:pPr>
        <w:spacing w:after="0" w:line="42" w:lineRule="exact"/>
        <w:rPr>
          <w:sz w:val="20"/>
          <w:szCs w:val="20"/>
          <w:color w:val="auto"/>
        </w:rPr>
      </w:pPr>
    </w:p>
    <w:p>
      <w:pPr>
        <w:jc w:val="both"/>
        <w:ind w:firstLine="501"/>
        <w:spacing w:after="0" w:line="378" w:lineRule="auto"/>
        <w:rPr>
          <w:sz w:val="20"/>
          <w:szCs w:val="20"/>
          <w:color w:val="auto"/>
        </w:rPr>
      </w:pPr>
      <w:r>
        <w:rPr>
          <w:rFonts w:ascii="Times New Roman" w:cs="Times New Roman" w:eastAsia="Times New Roman" w:hAnsi="Times New Roman"/>
          <w:sz w:val="21"/>
          <w:szCs w:val="21"/>
          <w:i w:val="1"/>
          <w:iCs w:val="1"/>
          <w:color w:val="auto"/>
        </w:rPr>
        <w:t>Nonobstant ce qui précède, au cas où un Administrateur ou un dirigent de la Société aurait un intérêt personnel dans une transaction de la Société, autre que les transactions conclues dans des conditions normales et entrant dans le cadre de la gestion quotidienne de la Société, il/elle devra faire connaitre au Conseil d'Administration (s'il en existe un) cet intérêt personnel et ne devra pas examiner ou voter une telle transaction, et cette transaction et l'intérêt de cet transaction et l'intérêt de cet administrateur ou dirigent de la Société devront être rapportés à la prochaine assemblée générale des actionnaires.</w:t>
      </w:r>
    </w:p>
    <w:p>
      <w:pPr>
        <w:spacing w:after="0" w:line="3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La Société doit indemniser (ou, le cas échéant, avancer à) tout Administrateur et ses héritiers, exécuteurs et administrateurs testamentaires, de ses dépenses raisonnables en relation avec toute action, procès ou</w:t>
      </w:r>
    </w:p>
    <w:p>
      <w:pPr>
        <w:sectPr>
          <w:pgSz w:w="11900" w:h="16838" w:orient="portrait"/>
          <w:cols w:equalWidth="0" w:num="1">
            <w:col w:w="10740"/>
          </w:cols>
          <w:pgMar w:left="82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68" w:lineRule="auto"/>
        <w:rPr>
          <w:sz w:val="20"/>
          <w:szCs w:val="20"/>
          <w:color w:val="auto"/>
        </w:rPr>
      </w:pPr>
      <w:r>
        <w:rPr>
          <w:rFonts w:ascii="Times New Roman" w:cs="Times New Roman" w:eastAsia="Times New Roman" w:hAnsi="Times New Roman"/>
          <w:sz w:val="21"/>
          <w:szCs w:val="21"/>
          <w:i w:val="1"/>
          <w:iCs w:val="1"/>
          <w:color w:val="auto"/>
        </w:rPr>
        <w:t>procédure à laquelle il/elle a pu être partie en raison de sa fonction passée ou actuelle de Administrateur, ou, à la demande de la Société, de toute autre société dans laquelle la Société est Actionnaire ou créancière et par laquelle il/elle n'est pas autorisé</w:t>
      </w:r>
    </w:p>
    <w:p>
      <w:pPr>
        <w:spacing w:after="0" w:line="1" w:lineRule="exact"/>
        <w:rPr>
          <w:sz w:val="20"/>
          <w:szCs w:val="20"/>
          <w:color w:val="auto"/>
        </w:rPr>
      </w:pPr>
    </w:p>
    <w:p>
      <w:pPr>
        <w:jc w:val="both"/>
        <w:ind w:firstLine="7"/>
        <w:spacing w:after="0" w:line="374" w:lineRule="auto"/>
        <w:tabs>
          <w:tab w:leader="none" w:pos="172" w:val="left"/>
        </w:tabs>
        <w:numPr>
          <w:ilvl w:val="0"/>
          <w:numId w:val="3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être indemnisé, excepté en relation avec les affaires pour lesquelles il/elle est finalement déclaré(e) dans de telles actions, procès et procédures responsable d'une grosse négligence ou d'une faute grave. En cas de règlement amiable d'un conflit, des indemnités doivent être accordées uniquement dans les matières en relation avec le règlement amiable du conflit pour lesquelles, selon le conseiller juridique de la Société, la personne indemnisée n'a pas commis une telle violation de ses obligations. Le droit à indemnité ci-avant n'exclut pas d'autres droits que la personne concernée pourrait revendiquer.</w:t>
      </w:r>
    </w:p>
    <w:p>
      <w:pPr>
        <w:spacing w:after="0" w:line="51"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19. Commissaires aux Comptes. </w:t>
      </w:r>
      <w:r>
        <w:rPr>
          <w:rFonts w:ascii="Times New Roman" w:cs="Times New Roman" w:eastAsia="Times New Roman" w:hAnsi="Times New Roman"/>
          <w:sz w:val="21"/>
          <w:szCs w:val="21"/>
          <w:i w:val="1"/>
          <w:iCs w:val="1"/>
          <w:color w:val="auto"/>
        </w:rPr>
        <w:t>Les comptes annuels de la Société seront audités par un ou plusieurs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commissaires aux comptes, et, dans la mesure requise par la Loi, les règles et les règlements applicables, par un ou plusieurs réviseur(s) d'entreprises.</w:t>
      </w:r>
    </w:p>
    <w:p>
      <w:pPr>
        <w:spacing w:after="0" w:line="44"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Les commissaires aux comptes ou, le cas échéant, le réviseur d'entreprises indépendant seront nommés par décision de l'assemblée générale des actionnaires, selon le cas, qui déterminera la rémunération du commissaire aux comptes ou du réviseur d'entreprises indépendant et la durée de leur mandat. Les commissaires aux comptes resteront en fonction jusqu'à ce que leurs successeurs soient élus. Ils sont rééligibles à la fin de leur mandat et ils peuvent être révoqués à tout moment, avec ou sans motif, par décision de l'assemblée générale des actionnaires.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IV. Assemblée Générale des Actionnaires</w:t>
      </w:r>
    </w:p>
    <w:p>
      <w:pPr>
        <w:spacing w:after="0" w:line="209"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20. Assemblée Générale des Actionnaires. </w:t>
      </w:r>
      <w:r>
        <w:rPr>
          <w:rFonts w:ascii="Times New Roman" w:cs="Times New Roman" w:eastAsia="Times New Roman" w:hAnsi="Times New Roman"/>
          <w:sz w:val="21"/>
          <w:szCs w:val="21"/>
          <w:i w:val="1"/>
          <w:iCs w:val="1"/>
          <w:color w:val="auto"/>
        </w:rPr>
        <w:t>L'assemblée générale annuelle sera tenue conformément aux</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dispositions de l'article 450-8 de la Loi au siège social de la Société ou à un autre endroit tel qu'indiqué dans la convocation et à l'heure indiquée dans la convocation de l'assemblée.</w:t>
      </w:r>
    </w:p>
    <w:p>
      <w:pPr>
        <w:sectPr>
          <w:pgSz w:w="11900" w:h="16838" w:orient="portrait"/>
          <w:cols w:equalWidth="0" w:num="1">
            <w:col w:w="10740"/>
          </w:cols>
          <w:pgMar w:left="8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Si ce jour est un jour férié au Luxembourg, l'assemblée se tiendra le premier jour ouvrable suivant. Ces réunions seront valablement tenues si au moins 33 1/3 % du capital social émis de la Société est présent ou représenté.</w:t>
      </w:r>
    </w:p>
    <w:p>
      <w:pPr>
        <w:spacing w:after="0" w:line="18" w:lineRule="exact"/>
        <w:rPr>
          <w:sz w:val="20"/>
          <w:szCs w:val="20"/>
          <w:color w:val="auto"/>
        </w:rPr>
      </w:pPr>
    </w:p>
    <w:p>
      <w:pPr>
        <w:jc w:val="both"/>
        <w:ind w:firstLine="501"/>
        <w:spacing w:after="0" w:line="370"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21. Autres Assemblées Générales des Actionnaires. </w:t>
      </w:r>
      <w:r>
        <w:rPr>
          <w:rFonts w:ascii="Times New Roman" w:cs="Times New Roman" w:eastAsia="Times New Roman" w:hAnsi="Times New Roman"/>
          <w:sz w:val="21"/>
          <w:szCs w:val="21"/>
          <w:i w:val="1"/>
          <w:iCs w:val="1"/>
          <w:color w:val="auto"/>
        </w:rPr>
        <w:t>Le Conseil d'Administration peut convoquer d'autres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assemblées générales. De telles assemblées doivent être convoquées si les actionnaires représentant au moins dix (10) pour cent du capital social de la Société le requièrent par écrit avec indication de l'ordre du jour de la réunion prévue. Si l'assemblée générale n'est pas tenue dans le mois suivant la date prévue, elle peut être convoquée par un agent désigné par le juge-président le Tribunal d'Arrondissement, section des affaires commerciales et statuant en référé, et ce à la requête d'un ou plusieurs actionnaires représentant le quota des dix pour cent (10%). Les assemblées générales des actionnaires, y compris l'assemblée générale annuelle, peuvent se tenir à l'étranger chaque fois que se produiront des circonstances de force majeure qui seront appréciées souverainement par le Conseil d'Administration.</w:t>
      </w:r>
    </w:p>
    <w:p>
      <w:pPr>
        <w:spacing w:after="0" w:line="56"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22. Pouvoirs de l'Assemblée Générale. </w:t>
      </w:r>
      <w:r>
        <w:rPr>
          <w:rFonts w:ascii="Times New Roman" w:cs="Times New Roman" w:eastAsia="Times New Roman" w:hAnsi="Times New Roman"/>
          <w:sz w:val="21"/>
          <w:szCs w:val="21"/>
          <w:i w:val="1"/>
          <w:iCs w:val="1"/>
          <w:color w:val="auto"/>
        </w:rPr>
        <w:t>Toute assemblée générale des actionnaires de la Société régulièrement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constituée représente l'ensemble des actionnaires.</w:t>
      </w:r>
    </w:p>
    <w:p>
      <w:pPr>
        <w:spacing w:after="0" w:line="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Sous réserve de tous les autres pouvoirs réservés au Conseil d'Administration ou par la Loi ou les Statuts, l'assemblée générale des actionnaires a le plus large pouvoir d'adopter, d'exécuter ou de ratifier tout acte relatif aux opérations de la Société.</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actionnaires ne doivent ni participer à ni interférer avec la direction de la Société.</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Conformément aux dispositions du paragraphe 1 de l'article 450-1 (8)de la Loi, le Conseil d'Administration est autorisé</w:t>
      </w:r>
    </w:p>
    <w:p>
      <w:pPr>
        <w:spacing w:after="0" w:line="130" w:lineRule="exact"/>
        <w:rPr>
          <w:sz w:val="20"/>
          <w:szCs w:val="20"/>
          <w:color w:val="auto"/>
        </w:rPr>
      </w:pPr>
    </w:p>
    <w:p>
      <w:pPr>
        <w:ind w:firstLine="7"/>
        <w:spacing w:after="0" w:line="405" w:lineRule="auto"/>
        <w:tabs>
          <w:tab w:leader="none" w:pos="179" w:val="left"/>
        </w:tabs>
        <w:numPr>
          <w:ilvl w:val="0"/>
          <w:numId w:val="3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suspendre les droits de vote des actionnaires qui ne respectent pas leurs obligations en vertu des présents Statuts ou des dispositions de tout accord qui peut être conclu de temps à autre entre les actionnaires.</w:t>
      </w:r>
    </w:p>
    <w:p>
      <w:pPr>
        <w:sectPr>
          <w:pgSz w:w="11900" w:h="16838" w:orient="portrait"/>
          <w:cols w:equalWidth="0" w:num="1">
            <w:col w:w="10740"/>
          </w:cols>
          <w:pgMar w:left="82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23. Procédure, Vote. </w:t>
      </w:r>
      <w:r>
        <w:rPr>
          <w:rFonts w:ascii="Times New Roman" w:cs="Times New Roman" w:eastAsia="Times New Roman" w:hAnsi="Times New Roman"/>
          <w:sz w:val="21"/>
          <w:szCs w:val="21"/>
          <w:i w:val="1"/>
          <w:iCs w:val="1"/>
          <w:color w:val="auto"/>
        </w:rPr>
        <w:t>L'assemblée générale des actionnaires se réunit sur convocation du Conseil d'Administration,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ou du commissaire aux comptes en conformité avec le droit luxembourgeois et les présents Statuts.</w:t>
      </w:r>
    </w:p>
    <w:p>
      <w:pPr>
        <w:spacing w:after="0" w:line="18"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La date d'enregistrement des assemblées générales est fixée par le Conseil d'Administration avant la date de l'assemblée générale (la "</w:t>
      </w:r>
      <w:r>
        <w:rPr>
          <w:rFonts w:ascii="Times New Roman" w:cs="Times New Roman" w:eastAsia="Times New Roman" w:hAnsi="Times New Roman"/>
          <w:sz w:val="21"/>
          <w:szCs w:val="21"/>
          <w:b w:val="1"/>
          <w:bCs w:val="1"/>
          <w:i w:val="1"/>
          <w:iCs w:val="1"/>
          <w:color w:val="auto"/>
        </w:rPr>
        <w:t>Date d'Enregistrement</w:t>
      </w:r>
      <w:r>
        <w:rPr>
          <w:rFonts w:ascii="Times New Roman" w:cs="Times New Roman" w:eastAsia="Times New Roman" w:hAnsi="Times New Roman"/>
          <w:sz w:val="21"/>
          <w:szCs w:val="21"/>
          <w:i w:val="1"/>
          <w:iCs w:val="1"/>
          <w:color w:val="auto"/>
        </w:rPr>
        <w:t>").</w:t>
      </w:r>
    </w:p>
    <w:p>
      <w:pPr>
        <w:spacing w:after="0" w:line="33"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Les actionnaires doivent notifier à la Société leur intention de participer à l'assemblée générale par voie postale ou par tout moyen électronique à l'adresse postale ou électronique indiquée dans la convocation, au plus tard le jour fixé par le Conseil d'Administration, qui ne doit pas intervenir avant la Date d'Enregistrement, indiquée dans la convocation.</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Les documents devant être soumis aux actionnaires dans le cadre de l'assemblée générale seront publiés sur le site web de la Société ou mis à disposition, à la demande d’un Actionnaire, pour consultation au siège social de la Société, conformément aux exigences de la législation en vigueur.</w:t>
      </w:r>
    </w:p>
    <w:p>
      <w:pPr>
        <w:spacing w:after="0" w:line="24"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La convocation envoyée aux actionnaires en conformité avec la Loi, spécifiera la date, l'heure, l'endroit ainsi que l'ordre du jour et la nature des questions devant être traitées lors de l'assemblée.</w:t>
      </w:r>
    </w:p>
    <w:p>
      <w:pPr>
        <w:spacing w:after="0" w:line="2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Un actionnaire peut agir à toute assemblée des actionnaires en désignant par écrit, en original ou par voie électronique (valable selon la loi Luxembourgeoise), en tant que son mandataire, une autre personne qui n'a pas besoin d'être actionnaire et en notifiant cette désignation par voie postale ou par tout moyen électronique à l'adresse postale ou électronique indiquée dans la convocation.</w:t>
      </w:r>
    </w:p>
    <w:p>
      <w:pPr>
        <w:spacing w:after="0" w:line="5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Conseil d'Administration peut déterminer toutes autres conditions qui doivent être remplies pour participer à une assemblée générale des actionnaires. Le Président ou toute autre personne désignée par le Conseil d’Administration présidera l'assemblée générale des actionnaires.</w:t>
      </w:r>
    </w:p>
    <w:p>
      <w:pPr>
        <w:sectPr>
          <w:pgSz w:w="11900" w:h="16838" w:orient="portrait"/>
          <w:cols w:equalWidth="0" w:num="1">
            <w:col w:w="10740"/>
          </w:cols>
          <w:pgMar w:left="8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Les résolutions visant à modifier les présents Statuts ou à changer la nationalité de la Société, ainsi que les résolutions dont l'adoption est soumise, en vertu des présents Statuts ou de la Loi, au quorum et à la majorité requis pour modifier les Statuts, doivent être approuvées par au moins les deux tiers (2/3) des voix exprimées, conformément aux dispositions de l'article 450-3 de la Loi, lors d'une assemblée à laquelle au moins la moitié (½) des actions émises et en circulation est présente ou représentée. Si ce quorum n'est pas atteint lors de la première assemblée, une seconde assemblée, avec le même ordre du jour, peut être convoquée conformément aux dispositions de la Loi, pour laquelle un quorum de 33 1/3 % sera requis.</w:t>
      </w:r>
    </w:p>
    <w:p>
      <w:pPr>
        <w:spacing w:after="0" w:line="200" w:lineRule="exact"/>
        <w:rPr>
          <w:sz w:val="20"/>
          <w:szCs w:val="20"/>
          <w:color w:val="auto"/>
        </w:rPr>
      </w:pPr>
    </w:p>
    <w:p>
      <w:pPr>
        <w:spacing w:after="0" w:line="207"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Toutes les autres décisions doivent être approuvées par l'assemblée générale des actionnaires à la majorité simple des voix exprimées, et un quorum de 33 1/3 % sera requis.</w:t>
      </w:r>
    </w:p>
    <w:p>
      <w:pPr>
        <w:spacing w:after="0" w:line="7"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Lors de l'organisation d'une assemblée générale, le Conseil d'Administration peut, à son entière discrétion, permettre la participation par voie électronique selon les suivantes: (i) transmission en temps réel de l'assemblée générale; (ii) communication dans les deux sens en temps réel permettant aux actionnaires de s'adresser à l'assemblée générale à distance; ou (iii) mécanisme permettant de voter, avant ou pendant l'assemblée générale, sans qu'il soit nécessaire de nommer un mandataire physiquement présent à l'assemblée.</w:t>
      </w:r>
    </w:p>
    <w:p>
      <w:pPr>
        <w:spacing w:after="0" w:line="5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 Conseil d'Administration peut également déterminer que les actionnaires peuvent voter à distance par correspondance en remplissant un formulaire de vote fourni par la Société qui comprend les informations suivantes:</w:t>
      </w:r>
    </w:p>
    <w:p>
      <w:pPr>
        <w:spacing w:after="0" w:line="6" w:lineRule="exact"/>
        <w:rPr>
          <w:sz w:val="20"/>
          <w:szCs w:val="20"/>
          <w:color w:val="auto"/>
        </w:rPr>
      </w:pPr>
    </w:p>
    <w:p>
      <w:pPr>
        <w:ind w:left="800" w:hanging="292"/>
        <w:spacing w:after="0"/>
        <w:tabs>
          <w:tab w:leader="none" w:pos="800" w:val="left"/>
        </w:tabs>
        <w:numPr>
          <w:ilvl w:val="0"/>
          <w:numId w:val="3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Le nom, l'adresse et toute autre information pertinente concernant l'actionnaire.</w:t>
      </w:r>
    </w:p>
    <w:p>
      <w:pPr>
        <w:spacing w:after="0" w:line="222"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3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Le nombre de votes que l'actionnaire souhaite émettre, le sens de ses votes ou son abstention.</w:t>
      </w:r>
    </w:p>
    <w:p>
      <w:pPr>
        <w:sectPr>
          <w:pgSz w:w="11900" w:h="16838" w:orient="portrait"/>
          <w:cols w:equalWidth="0" w:num="1">
            <w:col w:w="10740"/>
          </w:cols>
          <w:pgMar w:left="8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0" w:hanging="292"/>
        <w:spacing w:after="0"/>
        <w:tabs>
          <w:tab w:leader="none" w:pos="800" w:val="left"/>
        </w:tabs>
        <w:numPr>
          <w:ilvl w:val="0"/>
          <w:numId w:val="3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L'ordre du jour de l'assemblée contenant le projet de résolutions.</w:t>
      </w:r>
    </w:p>
    <w:p>
      <w:pPr>
        <w:spacing w:after="0" w:line="222" w:lineRule="exact"/>
        <w:rPr>
          <w:rFonts w:ascii="Times New Roman" w:cs="Times New Roman" w:eastAsia="Times New Roman" w:hAnsi="Times New Roman"/>
          <w:sz w:val="21"/>
          <w:szCs w:val="21"/>
          <w:i w:val="1"/>
          <w:iCs w:val="1"/>
          <w:color w:val="auto"/>
        </w:rPr>
      </w:pPr>
    </w:p>
    <w:p>
      <w:pPr>
        <w:ind w:firstLine="508"/>
        <w:spacing w:after="0" w:line="405" w:lineRule="auto"/>
        <w:tabs>
          <w:tab w:leader="none" w:pos="920" w:val="left"/>
        </w:tabs>
        <w:numPr>
          <w:ilvl w:val="0"/>
          <w:numId w:val="3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L'option de voter par procuration pour toute nouvelle résolution ou toute modification des résolutions dûment soumises à l'assemblée générale entre la date à laquelle l'actionnaire soumet son formulaire et la date de l'assemblée.</w:t>
      </w:r>
    </w:p>
    <w:p>
      <w:pPr>
        <w:spacing w:after="0" w:line="6"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3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de l'actionnaire.</w:t>
      </w:r>
    </w:p>
    <w:p>
      <w:pPr>
        <w:spacing w:after="0" w:line="222"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i w:val="1"/>
          <w:iCs w:val="1"/>
          <w:color w:val="auto"/>
        </w:rPr>
        <w:t>Un actionnaire utilisant un formulaire de vote et qui n'est pas directement inscrit dans le registre des actionnaires doit annexer au formulaire de vote une confirmation de sa détention à compter de la Date d'Enregistrement conformément aux présents Statuts. Une fois soumis à la Société, les formulaires de vote ne peuvent ni être récupérés ni annulés, sauf si un actionnaire a inclu une procuration pour voter dans les circonstances envisagées dans le quatrième point ci-dessus, alors l'actionnaire peut annuler cette procuration ou donner de nouvelles instructions de vote en tenant compte des éléments pertinents par notification écrite telle que décrite dans la convocation, avant la date spécifiée dans le formulaire de vote.</w:t>
      </w:r>
    </w:p>
    <w:p>
      <w:pPr>
        <w:spacing w:after="0" w:line="40"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Tout actionnaire qui participe à une assemblée générale de la Société par les moyens qui précèdent est réputé présent, sera pris en compte lors de la détermination du quorum et aura le droit de voter sur tous les points de l'ordre du jour de l'assemblée générale.</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 Conseil d'Administration peut adopter tout règlement et règle concernant la participation des actionnaires aux assemblées générales conformément à la Loi, y compris en ce qui concerne l'identification des actionnaires, les mandataires et la sécurité des communications électroniques.</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engagements des actionnaires ne peuvent être augmentés qu'avec le consentement unanime des actionnaires.</w:t>
      </w:r>
    </w:p>
    <w:p>
      <w:pPr>
        <w:spacing w:after="0" w:line="209"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Les actionnaires représentant un minimum de dix pour cent (10%) du capital social de la société peuvent demander par écrit que des points</w:t>
      </w:r>
    </w:p>
    <w:p>
      <w:pPr>
        <w:sectPr>
          <w:pgSz w:w="11900" w:h="16838" w:orient="portrait"/>
          <w:cols w:equalWidth="0" w:num="1">
            <w:col w:w="10740"/>
          </w:cols>
          <w:pgMar w:left="8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87" w:lineRule="auto"/>
        <w:rPr>
          <w:sz w:val="20"/>
          <w:szCs w:val="20"/>
          <w:color w:val="auto"/>
        </w:rPr>
      </w:pPr>
      <w:r>
        <w:rPr>
          <w:rFonts w:ascii="Times New Roman" w:cs="Times New Roman" w:eastAsia="Times New Roman" w:hAnsi="Times New Roman"/>
          <w:sz w:val="21"/>
          <w:szCs w:val="21"/>
          <w:i w:val="1"/>
          <w:iCs w:val="1"/>
          <w:color w:val="auto"/>
        </w:rPr>
        <w:t>supplémentaires soient ajoutés à l'ordre du jour de toute assemblée générale. Une telle requête doit être adressée au siège social de la Société par courrier recommandé au moins cinq (5) jours avant la date à laquelle l'assemblée générale doit être tenue.</w:t>
      </w:r>
    </w:p>
    <w:p>
      <w:pPr>
        <w:spacing w:after="0" w:line="24"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Si tous les actionnaires sont présents ou représentés à l'assemblée générale des actionnaires et déclarent avoir eu connaissance de l'ordre du jour de l'assemblée, l'assemblée pourra être tenue sans convocation préalable.</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Un vote est attaché à chaque action.</w:t>
      </w:r>
    </w:p>
    <w:p>
      <w:pPr>
        <w:spacing w:after="0" w:line="209"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Les copies ou les extraits des procès-verbaux de l'assemblée générale des actionnaires doivent être certifiées par le Président ou par le Secrétaire.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V. Année Sociale, Répartition des Bénéfices</w:t>
      </w:r>
    </w:p>
    <w:p>
      <w:pPr>
        <w:spacing w:after="0" w:line="209"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24. Année Sociale. </w:t>
      </w:r>
      <w:r>
        <w:rPr>
          <w:rFonts w:ascii="Times New Roman" w:cs="Times New Roman" w:eastAsia="Times New Roman" w:hAnsi="Times New Roman"/>
          <w:sz w:val="21"/>
          <w:szCs w:val="21"/>
          <w:i w:val="1"/>
          <w:iCs w:val="1"/>
          <w:color w:val="auto"/>
        </w:rPr>
        <w:t>L'année sociale de la Société commence le premier jour du mois de Janvier et finit le dernier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jour du mois de Décembre de chaque année.</w:t>
      </w:r>
    </w:p>
    <w:p>
      <w:pPr>
        <w:spacing w:after="0" w:line="2"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25. Approbation des Comptes Annuels. </w:t>
      </w:r>
      <w:r>
        <w:rPr>
          <w:rFonts w:ascii="Times New Roman" w:cs="Times New Roman" w:eastAsia="Times New Roman" w:hAnsi="Times New Roman"/>
          <w:sz w:val="21"/>
          <w:szCs w:val="21"/>
          <w:i w:val="1"/>
          <w:iCs w:val="1"/>
          <w:color w:val="auto"/>
        </w:rPr>
        <w:t>A la fin de chaque année sociale, les comptes sont clôturés et le Conseil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d'Administration dresse un inventaire des actifs et des passifs, le bilan et le compte de résultat conformément à la Loi.</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 bilan et le compte de résultat sont soumis à l'assemblée générale des actionnaires pour approbation.</w:t>
      </w:r>
    </w:p>
    <w:p>
      <w:pPr>
        <w:spacing w:after="0" w:line="207"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26. </w:t>
      </w:r>
      <w:r>
        <w:rPr>
          <w:rFonts w:ascii="Times New Roman" w:cs="Times New Roman" w:eastAsia="Times New Roman" w:hAnsi="Times New Roman"/>
          <w:sz w:val="21"/>
          <w:szCs w:val="21"/>
          <w:i w:val="1"/>
          <w:iCs w:val="1"/>
          <w:color w:val="auto"/>
        </w:rPr>
        <w:t>Affectation des Bénéfices. Sur les bénéfices nets de la Société il sera prélevé cinq pour cent (5 %) pour la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formation d'un fonds de réserve légale. Ce prélèvement cesse d'être obligatoire lorsque et aussi longtemps que la réserve légale atteindra dix pour cent (10%) du capital social émis de la Société.</w:t>
      </w:r>
    </w:p>
    <w:p>
      <w:pPr>
        <w:spacing w:after="0" w:line="2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Sur recommandation du Conseil d'Administration, l'assemblée générale des actionnaires décide de l'affectation du solde des bénéfices annuels nets. Elle peut décider de verser la totalité ou une part du solde à un compte de</w:t>
      </w:r>
    </w:p>
    <w:p>
      <w:pPr>
        <w:sectPr>
          <w:pgSz w:w="11900" w:h="16838" w:orient="portrait"/>
          <w:cols w:equalWidth="0" w:num="1">
            <w:col w:w="10740"/>
          </w:cols>
          <w:pgMar w:left="8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réserve ou de provision, de le reporter à nouveau sur l'année financière suivante ou de le distribuer à l'/aux actionnaire(s) comme dividendes.</w:t>
      </w:r>
    </w:p>
    <w:p>
      <w:pPr>
        <w:spacing w:after="0" w:line="20"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Sous réserve des conditions fixées par la Loi et les présents Statuts, le Conseil d'Administration est autorisé à verser des acomptes sur dividendes. Le Conseil d'Administration, fixe le montant et la date du versement de ces acomptes sur dividendes. Toute prime d'émission, primes assimilées et autres réserves distribuables peuvent être distribuées librement aux actionnaires (également par acompte sur dividendes) par une résolution des actionnaires ou du Conseil d'Administration, sous réserve des dispositions de la Loi et des présents Statuts.</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VI. Dissolution, Liquidation</w:t>
      </w:r>
    </w:p>
    <w:p>
      <w:pPr>
        <w:spacing w:after="0" w:line="222"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27. Dissolution, Liquidation. </w:t>
      </w:r>
      <w:r>
        <w:rPr>
          <w:rFonts w:ascii="Times New Roman" w:cs="Times New Roman" w:eastAsia="Times New Roman" w:hAnsi="Times New Roman"/>
          <w:sz w:val="21"/>
          <w:szCs w:val="21"/>
          <w:i w:val="1"/>
          <w:iCs w:val="1"/>
          <w:color w:val="auto"/>
        </w:rPr>
        <w:t>Sur approbation affirmative du Conseil d'Administration, la Société peut être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dissoute par une décision de l'assemblée générale des actionnaires délibérant aux mêmes conditions de quorum et de majorité que celles exigées pour la modification des Statuts, sauf dispositions contraires de la Loi.</w:t>
      </w:r>
    </w:p>
    <w:p>
      <w:pPr>
        <w:spacing w:after="0" w:line="23"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En cas de dissolution de la Société, la liquidation s'effectuera par les soins d'un ou de plusieurs liquidateurs (personnes physiques ou morales), nommés par l'assemblée générale des actionnaires qui déterminera leurs pouvoirs et leurs rémunérations.</w:t>
      </w:r>
    </w:p>
    <w:p>
      <w:pPr>
        <w:spacing w:after="0" w:line="24"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Après paiement de toutes les dettes et charges de la Société, tous les taxes et frais de liquidation compris, l'actif net restant sera reparti équitablement entre tous les actionnaires au prorata du nombre d'Actions qu'ils détiennent.</w:t>
      </w:r>
    </w:p>
    <w:p>
      <w:pPr>
        <w:spacing w:after="0" w:line="2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La demande de dissolution de la Société pour une juste cause peut toutefois être faite devant le tribunal. Sauf en cas de dissolution par ordonnance du tribunal, la dissolution de la Société ne peut avoir lieu qu'en vertu d'une résolution adoptée par l'assemblée générale conformément aux articles 22 et 23.</w:t>
      </w:r>
    </w:p>
    <w:p>
      <w:pPr>
        <w:sectPr>
          <w:pgSz w:w="11900" w:h="16838" w:orient="portrait"/>
          <w:cols w:equalWidth="0" w:num="1">
            <w:col w:w="10740"/>
          </w:cols>
          <w:pgMar w:left="8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b w:val="1"/>
          <w:bCs w:val="1"/>
          <w:i w:val="1"/>
          <w:iCs w:val="1"/>
          <w:color w:val="auto"/>
        </w:rPr>
        <w:t>Chapitre VII. Loi applicable</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Art. 28. Loi applicable. </w:t>
      </w:r>
      <w:r>
        <w:rPr>
          <w:rFonts w:ascii="Times New Roman" w:cs="Times New Roman" w:eastAsia="Times New Roman" w:hAnsi="Times New Roman"/>
          <w:sz w:val="21"/>
          <w:szCs w:val="21"/>
          <w:i w:val="1"/>
          <w:iCs w:val="1"/>
          <w:color w:val="auto"/>
        </w:rPr>
        <w:t>Toutes les matières qui ne sont pas régies par les présents Statuts seront réglées conformément</w:t>
      </w:r>
    </w:p>
    <w:p>
      <w:pPr>
        <w:sectPr>
          <w:pgSz w:w="11900" w:h="16838" w:orient="portrait"/>
          <w:cols w:equalWidth="0" w:num="1">
            <w:col w:w="11240"/>
          </w:cols>
          <w:pgMar w:left="320" w:top="1440" w:right="339" w:bottom="1440" w:gutter="0" w:footer="0" w:header="0"/>
        </w:sectPr>
      </w:pP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au droit du Luxembourg.</w:t>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POUR STATUTS COORDONNES,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Ettelbruck, le 28 mai 2025</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Le notaire (s) : Marc ELVINGER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[SEAL AND SIGNATURE OF NOTARY]</w:t>
      </w:r>
    </w:p>
    <w:p>
      <w:pPr>
        <w:spacing w:after="0" w:line="1015"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case of discrepancies between the English and the French text, </w:t>
      </w:r>
      <w:r>
        <w:rPr>
          <w:rFonts w:ascii="Times New Roman" w:cs="Times New Roman" w:eastAsia="Times New Roman" w:hAnsi="Times New Roman"/>
          <w:sz w:val="21"/>
          <w:szCs w:val="21"/>
          <w:b w:val="1"/>
          <w:bCs w:val="1"/>
          <w:color w:val="auto"/>
        </w:rPr>
        <w:t>the English version will prevail.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 case de divergences entre le texte anglais et le texte francais, le texte anglais prevaudra.</w:t>
      </w:r>
    </w:p>
    <w:p>
      <w:pPr>
        <w:sectPr>
          <w:pgSz w:w="11900" w:h="16838" w:orient="portrait"/>
          <w:cols w:equalWidth="0" w:num="1">
            <w:col w:w="11240"/>
          </w:cols>
          <w:pgMar w:left="320" w:top="1440"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3"/>
        </w:trPr>
        <w:tc>
          <w:tcPr>
            <w:tcW w:w="3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5"/>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1"/>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3"/>
        </w:trPr>
        <w:tc>
          <w:tcPr>
            <w:tcW w:w="3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7"/>
        </w:trPr>
        <w:tc>
          <w:tcPr>
            <w:tcW w:w="37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1"/>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7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2026</w:t>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March 31, 2026,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06" w:lineRule="exact"/>
        <w:rPr>
          <w:sz w:val="20"/>
          <w:szCs w:val="20"/>
          <w:color w:val="auto"/>
        </w:rPr>
      </w:pPr>
    </w:p>
    <w:p>
      <w:pPr>
        <w:ind w:left="700" w:hanging="376"/>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3"/>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1"/>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23, 2026</w:t>
            </w:r>
          </w:p>
        </w:tc>
        <w:tc>
          <w:tcPr>
            <w:tcW w:w="1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23, 2026</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lowerRoman"/>
      <w:start w:val="3"/>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1)"/>
      <w:numFmt w:val="lowerRoman"/>
      <w:start w:val="14"/>
    </w:lvl>
  </w:abstractNum>
  <w:abstractNum w:abstractNumId="6">
    <w:nsid w:val="721DA317"/>
    <w:multiLevelType w:val="hybridMultilevel"/>
    <w:lvl w:ilvl="0">
      <w:lvlJc w:val="left"/>
      <w:lvlText w:val="(%1)"/>
      <w:numFmt w:val="lowerRoman"/>
      <w:start w:val="3"/>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49"/>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à"/>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à"/>
      <w:numFmt w:val="bullet"/>
      <w:start w:val="1"/>
    </w:lvl>
  </w:abstractNum>
  <w:abstractNum w:abstractNumId="31">
    <w:nsid w:val="419AC241"/>
    <w:multiLevelType w:val="hybridMultilevel"/>
    <w:lvl w:ilvl="0">
      <w:lvlJc w:val="left"/>
      <w:lvlText w:val="à"/>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2026-04-23T06:07:51Z</dcterms:created>
  <dcterms:modified xsi:type="dcterms:W3CDTF">2026-04-23T06:07:51Z</dcterms:modified>
</cp:coreProperties>
</file>