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97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100965</wp:posOffset>
            </wp:positionV>
            <wp:extent cx="199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09" w:lineRule="exact"/>
        <w:rPr>
          <w:sz w:val="24"/>
          <w:szCs w:val="24"/>
          <w:color w:val="auto"/>
        </w:rPr>
      </w:pPr>
    </w:p>
    <w:p>
      <w:pPr>
        <w:ind w:left="160"/>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p>
    <w:p>
      <w:pPr>
        <w:ind w:left="1020" w:hanging="614"/>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 the quarterly period ended March 31, 2022</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6" w:lineRule="exact"/>
        <w:rPr>
          <w:sz w:val="24"/>
          <w:szCs w:val="24"/>
          <w:color w:val="auto"/>
        </w:rPr>
      </w:pPr>
    </w:p>
    <w:p>
      <w:pPr>
        <w:ind w:left="1020" w:hanging="614"/>
        <w:spacing w:after="0"/>
        <w:tabs>
          <w:tab w:leader="none" w:pos="1020"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rFonts w:ascii="MS PGothic" w:cs="MS PGothic" w:eastAsia="MS PGothic" w:hAnsi="MS PGothic"/>
          <w:sz w:val="22"/>
          <w:szCs w:val="22"/>
          <w:color w:val="auto"/>
        </w:rPr>
      </w:pPr>
    </w:p>
    <w:p>
      <w:pPr>
        <w:ind w:left="43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154305</wp:posOffset>
            </wp:positionV>
            <wp:extent cx="1997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ALTISOURCE PORTFOLIO SOLUTIONS S.A.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116205</wp:posOffset>
            </wp:positionV>
            <wp:extent cx="1997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jc w:val="center"/>
              <w:ind w:left="1804"/>
              <w:spacing w:after="0"/>
              <w:rPr>
                <w:sz w:val="20"/>
                <w:szCs w:val="20"/>
                <w:color w:val="auto"/>
              </w:rPr>
            </w:pPr>
            <w:r>
              <w:rPr>
                <w:rFonts w:ascii="Arial" w:cs="Arial" w:eastAsia="Arial" w:hAnsi="Arial"/>
                <w:sz w:val="18"/>
                <w:szCs w:val="18"/>
                <w:b w:val="1"/>
                <w:bCs w:val="1"/>
                <w:color w:val="auto"/>
                <w:w w:val="91"/>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980" w:type="dxa"/>
            <w:vAlign w:val="bottom"/>
          </w:tcPr>
          <w:p>
            <w:pPr>
              <w:jc w:val="right"/>
              <w:ind w:right="2324"/>
              <w:spacing w:after="0"/>
              <w:rPr>
                <w:sz w:val="20"/>
                <w:szCs w:val="20"/>
                <w:color w:val="auto"/>
              </w:rPr>
            </w:pPr>
            <w:r>
              <w:rPr>
                <w:rFonts w:ascii="Arial" w:cs="Arial" w:eastAsia="Arial" w:hAnsi="Arial"/>
                <w:sz w:val="18"/>
                <w:szCs w:val="18"/>
                <w:b w:val="1"/>
                <w:bCs w:val="1"/>
                <w:color w:val="auto"/>
              </w:rPr>
              <w:t>98-0554932</w:t>
            </w:r>
          </w:p>
        </w:tc>
      </w:tr>
      <w:tr>
        <w:trPr>
          <w:trHeight w:val="182"/>
        </w:trPr>
        <w:tc>
          <w:tcPr>
            <w:tcW w:w="7260" w:type="dxa"/>
            <w:vAlign w:val="bottom"/>
            <w:gridSpan w:val="6"/>
          </w:tcPr>
          <w:p>
            <w:pPr>
              <w:jc w:val="center"/>
              <w:ind w:right="166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80" w:type="dxa"/>
            <w:vAlign w:val="bottom"/>
          </w:tcPr>
          <w:p>
            <w:pPr>
              <w:jc w:val="center"/>
              <w:ind w:right="1624"/>
              <w:spacing w:after="0"/>
              <w:rPr>
                <w:sz w:val="20"/>
                <w:szCs w:val="20"/>
                <w:color w:val="auto"/>
              </w:rPr>
            </w:pPr>
            <w:r>
              <w:rPr>
                <w:rFonts w:ascii="Arial" w:cs="Arial" w:eastAsia="Arial" w:hAnsi="Arial"/>
                <w:sz w:val="14"/>
                <w:szCs w:val="14"/>
                <w:color w:val="auto"/>
                <w:w w:val="96"/>
              </w:rPr>
              <w:t>(I.R.S. Employer Identification No.)</w:t>
            </w:r>
          </w:p>
        </w:tc>
      </w:tr>
      <w:tr>
        <w:trPr>
          <w:trHeight w:val="358"/>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33, Boulevard Prince Henri</w:t>
            </w:r>
          </w:p>
        </w:tc>
        <w:tc>
          <w:tcPr>
            <w:tcW w:w="39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L-1724 Luxembourg</w:t>
            </w:r>
          </w:p>
        </w:tc>
        <w:tc>
          <w:tcPr>
            <w:tcW w:w="398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2"/>
              </w:rPr>
              <w:t>Grand Duchy of Luxembourg</w:t>
            </w:r>
          </w:p>
        </w:tc>
        <w:tc>
          <w:tcPr>
            <w:tcW w:w="3980" w:type="dxa"/>
            <w:vAlign w:val="bottom"/>
          </w:tcPr>
          <w:p>
            <w:pPr>
              <w:spacing w:after="0"/>
              <w:rPr>
                <w:sz w:val="18"/>
                <w:szCs w:val="18"/>
                <w:color w:val="auto"/>
              </w:rPr>
            </w:pPr>
          </w:p>
        </w:tc>
      </w:tr>
      <w:tr>
        <w:trPr>
          <w:trHeight w:val="182"/>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3"/>
          </w:tcPr>
          <w:p>
            <w:pPr>
              <w:jc w:val="center"/>
              <w:ind w:right="480"/>
              <w:spacing w:after="0"/>
              <w:rPr>
                <w:sz w:val="20"/>
                <w:szCs w:val="20"/>
                <w:color w:val="auto"/>
              </w:rPr>
            </w:pPr>
            <w:r>
              <w:rPr>
                <w:rFonts w:ascii="Arial" w:cs="Arial" w:eastAsia="Arial" w:hAnsi="Arial"/>
                <w:sz w:val="14"/>
                <w:szCs w:val="14"/>
                <w:color w:val="auto"/>
                <w:w w:val="95"/>
              </w:rPr>
              <w:t>(Address of principal executive offices)</w:t>
            </w:r>
          </w:p>
        </w:tc>
        <w:tc>
          <w:tcPr>
            <w:tcW w:w="3980" w:type="dxa"/>
            <w:vAlign w:val="bottom"/>
          </w:tcPr>
          <w:p>
            <w:pPr>
              <w:spacing w:after="0"/>
              <w:rPr>
                <w:sz w:val="15"/>
                <w:szCs w:val="15"/>
                <w:color w:val="auto"/>
              </w:rPr>
            </w:pPr>
          </w:p>
        </w:tc>
      </w:tr>
      <w:tr>
        <w:trPr>
          <w:trHeight w:val="304"/>
        </w:trPr>
        <w:tc>
          <w:tcPr>
            <w:tcW w:w="3720" w:type="dxa"/>
            <w:vAlign w:val="bottom"/>
          </w:tcPr>
          <w:p>
            <w:pPr>
              <w:spacing w:after="0"/>
              <w:rPr>
                <w:sz w:val="24"/>
                <w:szCs w:val="24"/>
                <w:color w:val="auto"/>
              </w:rPr>
            </w:pPr>
          </w:p>
        </w:tc>
        <w:tc>
          <w:tcPr>
            <w:tcW w:w="304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90"/>
              </w:rPr>
              <w:t>(352) 27 61 49 00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2"/>
        </w:trPr>
        <w:tc>
          <w:tcPr>
            <w:tcW w:w="3720" w:type="dxa"/>
            <w:vAlign w:val="bottom"/>
          </w:tcPr>
          <w:p>
            <w:pPr>
              <w:spacing w:after="0"/>
              <w:rPr>
                <w:sz w:val="15"/>
                <w:szCs w:val="15"/>
                <w:color w:val="auto"/>
              </w:rPr>
            </w:pPr>
          </w:p>
        </w:tc>
        <w:tc>
          <w:tcPr>
            <w:tcW w:w="3540" w:type="dxa"/>
            <w:vAlign w:val="bottom"/>
            <w:gridSpan w:val="5"/>
          </w:tcPr>
          <w:p>
            <w:pPr>
              <w:jc w:val="center"/>
              <w:ind w:left="179"/>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5"/>
                <w:szCs w:val="15"/>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303"/>
        </w:trPr>
        <w:tc>
          <w:tcPr>
            <w:tcW w:w="3720" w:type="dxa"/>
            <w:vAlign w:val="bottom"/>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Trading Symbol</w:t>
            </w:r>
          </w:p>
        </w:tc>
        <w:tc>
          <w:tcPr>
            <w:tcW w:w="3980" w:type="dxa"/>
            <w:vAlign w:val="bottom"/>
          </w:tcPr>
          <w:p>
            <w:pPr>
              <w:jc w:val="center"/>
              <w:ind w:right="324"/>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720" w:type="dxa"/>
            <w:vAlign w:val="bottom"/>
            <w:tcBorders>
              <w:top w:val="single" w:sz="8" w:color="auto"/>
            </w:tcBorders>
          </w:tcPr>
          <w:p>
            <w:pPr>
              <w:ind w:left="1320"/>
              <w:spacing w:after="0"/>
              <w:rPr>
                <w:sz w:val="20"/>
                <w:szCs w:val="20"/>
                <w:color w:val="auto"/>
              </w:rPr>
            </w:pPr>
            <w:r>
              <w:rPr>
                <w:rFonts w:ascii="Arial" w:cs="Arial" w:eastAsia="Arial" w:hAnsi="Arial"/>
                <w:sz w:val="14"/>
                <w:szCs w:val="14"/>
                <w:color w:val="auto"/>
              </w:rPr>
              <w:t>Common Stock, $1.00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ASPS</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324"/>
              <w:spacing w:after="0"/>
              <w:rPr>
                <w:sz w:val="20"/>
                <w:szCs w:val="20"/>
                <w:color w:val="auto"/>
              </w:rPr>
            </w:pPr>
            <w:r>
              <w:rPr>
                <w:rFonts w:ascii="Arial" w:cs="Arial" w:eastAsia="Arial" w:hAnsi="Arial"/>
                <w:sz w:val="14"/>
                <w:szCs w:val="14"/>
                <w:color w:val="auto"/>
                <w:w w:val="96"/>
              </w:rPr>
              <w:t>NASDAQ Global Select Market</w:t>
            </w:r>
          </w:p>
        </w:tc>
      </w:tr>
    </w:tbl>
    <w:p>
      <w:pPr>
        <w:spacing w:after="0" w:line="69"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03" w:right="339" w:bottom="1440" w:gutter="0" w:footer="0" w:header="0"/>
        </w:sectPr>
      </w:pPr>
    </w:p>
    <w:p>
      <w:pPr>
        <w:spacing w:after="0" w:line="93" w:lineRule="exact"/>
        <w:rPr>
          <w:sz w:val="24"/>
          <w:szCs w:val="24"/>
          <w:color w:val="auto"/>
        </w:rPr>
      </w:pPr>
    </w:p>
    <w:p>
      <w:pPr>
        <w:ind w:left="140"/>
        <w:spacing w:after="0" w:line="355"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ind w:left="100"/>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tabs>
          <w:tab w:leader="none" w:pos="1300" w:val="left"/>
        </w:tabs>
        <w:rPr>
          <w:sz w:val="20"/>
          <w:szCs w:val="20"/>
          <w:color w:val="auto"/>
        </w:rPr>
      </w:pP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4">
            <w:col w:w="1440" w:space="340"/>
            <w:col w:w="5520" w:space="720"/>
            <w:col w:w="1580" w:space="480"/>
            <w:col w:w="1160"/>
          </w:cols>
          <w:pgMar w:left="320" w:top="1403" w:right="339" w:bottom="1440" w:gutter="0" w:footer="0" w:header="0"/>
          <w:type w:val="continuous"/>
        </w:sectPr>
      </w:pPr>
    </w:p>
    <w:p>
      <w:pPr>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As of April 22, 2022, there were 16,056,981 outstanding shares of the registrant’s common stock (excluding 9,355,767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Page</w:t>
            </w:r>
          </w:p>
        </w:tc>
      </w:tr>
      <w:tr>
        <w:trPr>
          <w:trHeight w:val="176"/>
        </w:trPr>
        <w:tc>
          <w:tcPr>
            <w:tcW w:w="20" w:type="dxa"/>
            <w:vAlign w:val="bottom"/>
          </w:tcPr>
          <w:p>
            <w:pPr>
              <w:spacing w:after="0"/>
              <w:rPr>
                <w:sz w:val="15"/>
                <w:szCs w:val="15"/>
                <w:color w:val="auto"/>
              </w:rPr>
            </w:pPr>
          </w:p>
        </w:tc>
        <w:tc>
          <w:tcPr>
            <w:tcW w:w="10120" w:type="dxa"/>
            <w:vAlign w:val="bottom"/>
            <w:gridSpan w:val="22"/>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160" w:type="dxa"/>
            <w:vAlign w:val="bottom"/>
            <w:gridSpan w:val="18"/>
          </w:tcPr>
          <w:p>
            <w:pPr>
              <w:ind w:left="140"/>
              <w:spacing w:after="0"/>
              <w:rPr>
                <w:rFonts w:ascii="Arial" w:cs="Arial" w:eastAsia="Arial" w:hAnsi="Arial"/>
                <w:sz w:val="18"/>
                <w:szCs w:val="18"/>
                <w:color w:val="0000FF"/>
              </w:rPr>
            </w:pPr>
            <w:hyperlink w:anchor="page3">
              <w:r>
                <w:rPr>
                  <w:rFonts w:ascii="Arial" w:cs="Arial" w:eastAsia="Arial" w:hAnsi="Arial"/>
                  <w:sz w:val="18"/>
                  <w:szCs w:val="18"/>
                  <w:color w:val="0000FF"/>
                </w:rPr>
                <w:t>Interim Condensed Consolidated Financial Statements (Unaudited)</w:t>
              </w:r>
            </w:hyperlink>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94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1700" w:type="dxa"/>
            <w:vAlign w:val="bottom"/>
            <w:tcBorders>
              <w:top w:val="single" w:sz="8" w:color="0000FF"/>
            </w:tcBorders>
            <w:gridSpan w:val="6"/>
          </w:tcPr>
          <w:p>
            <w:pPr>
              <w:spacing w:after="0"/>
              <w:rPr>
                <w:sz w:val="18"/>
                <w:szCs w:val="18"/>
                <w:color w:val="auto"/>
              </w:rPr>
            </w:pPr>
          </w:p>
        </w:tc>
        <w:tc>
          <w:tcPr>
            <w:tcW w:w="418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and Comprehensive Loss</w:t>
              </w:r>
            </w:hyperlink>
          </w:p>
        </w:tc>
        <w:tc>
          <w:tcPr>
            <w:tcW w:w="640" w:type="dxa"/>
            <w:vAlign w:val="bottom"/>
            <w:gridSpan w:val="2"/>
          </w:tcPr>
          <w:p>
            <w:pPr>
              <w:jc w:val="center"/>
              <w:ind w:left="372"/>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Equity</w:t>
              </w:r>
            </w:hyperlink>
          </w:p>
        </w:tc>
        <w:tc>
          <w:tcPr>
            <w:tcW w:w="2160" w:type="dxa"/>
            <w:vAlign w:val="bottom"/>
            <w:tcBorders>
              <w:top w:val="single" w:sz="8" w:color="0000FF"/>
            </w:tcBorders>
            <w:gridSpan w:val="6"/>
          </w:tcPr>
          <w:p>
            <w:pPr>
              <w:spacing w:after="0"/>
              <w:rPr>
                <w:sz w:val="18"/>
                <w:szCs w:val="18"/>
                <w:color w:val="auto"/>
              </w:rPr>
            </w:pPr>
          </w:p>
        </w:tc>
        <w:tc>
          <w:tcPr>
            <w:tcW w:w="33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Borders>
              <w:bottom w:val="single" w:sz="8" w:color="0000FF"/>
            </w:tcBorders>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w:t>
              </w:r>
            </w:hyperlink>
          </w:p>
        </w:tc>
        <w:tc>
          <w:tcPr>
            <w:tcW w:w="510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48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7</w:t>
              </w:r>
            </w:hyperlink>
          </w:p>
        </w:tc>
        <w:tc>
          <w:tcPr>
            <w:tcW w:w="46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25</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42">
              <w:r>
                <w:rPr>
                  <w:rFonts w:ascii="Arial" w:cs="Arial" w:eastAsia="Arial" w:hAnsi="Arial"/>
                  <w:sz w:val="18"/>
                  <w:szCs w:val="18"/>
                  <w:color w:val="0000FF"/>
                </w:rPr>
                <w:t>Quantitative and Qualitative Disclosures about Market Risk</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4</w:t>
              </w:r>
            </w:hyperlink>
          </w:p>
        </w:tc>
        <w:tc>
          <w:tcPr>
            <w:tcW w:w="9160" w:type="dxa"/>
            <w:vAlign w:val="bottom"/>
            <w:gridSpan w:val="18"/>
          </w:tcPr>
          <w:p>
            <w:pPr>
              <w:ind w:left="140"/>
              <w:spacing w:after="0"/>
              <w:rPr>
                <w:rFonts w:ascii="Arial" w:cs="Arial" w:eastAsia="Arial" w:hAnsi="Arial"/>
                <w:sz w:val="18"/>
                <w:szCs w:val="18"/>
                <w:color w:val="0000FF"/>
              </w:rPr>
            </w:pPr>
            <w:hyperlink w:anchor="page42">
              <w:r>
                <w:rPr>
                  <w:rFonts w:ascii="Arial" w:cs="Arial" w:eastAsia="Arial" w:hAnsi="Arial"/>
                  <w:sz w:val="18"/>
                  <w:szCs w:val="18"/>
                  <w:color w:val="0000FF"/>
                </w:rPr>
                <w:t>Controls and Procedures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43</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120" w:type="dxa"/>
            <w:vAlign w:val="bottom"/>
            <w:gridSpan w:val="2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PART II — Other Information</w:t>
              </w:r>
            </w:hyperlink>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w:t>
              </w:r>
            </w:hyperlink>
          </w:p>
        </w:tc>
        <w:tc>
          <w:tcPr>
            <w:tcW w:w="9160" w:type="dxa"/>
            <w:vAlign w:val="bottom"/>
            <w:gridSpan w:val="18"/>
          </w:tcPr>
          <w:p>
            <w:pPr>
              <w:ind w:left="140"/>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1A</w:t>
              </w:r>
            </w:hyperlink>
          </w:p>
        </w:tc>
        <w:tc>
          <w:tcPr>
            <w:tcW w:w="9160" w:type="dxa"/>
            <w:vAlign w:val="bottom"/>
            <w:gridSpan w:val="18"/>
          </w:tcPr>
          <w:p>
            <w:pPr>
              <w:ind w:left="140"/>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140" w:type="dxa"/>
            <w:vAlign w:val="bottom"/>
          </w:tcPr>
          <w:p>
            <w:pPr>
              <w:spacing w:after="0"/>
              <w:rPr>
                <w:sz w:val="22"/>
                <w:szCs w:val="22"/>
                <w:color w:val="auto"/>
              </w:rPr>
            </w:pPr>
          </w:p>
        </w:tc>
        <w:tc>
          <w:tcPr>
            <w:tcW w:w="9160" w:type="dxa"/>
            <w:vAlign w:val="bottom"/>
            <w:gridSpan w:val="18"/>
          </w:tcPr>
          <w:p>
            <w:pPr>
              <w:ind w:left="140"/>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40" w:type="dxa"/>
            <w:vAlign w:val="bottom"/>
            <w:gridSpan w:val="11"/>
            <w:shd w:val="clear" w:color="auto" w:fill="0000FF"/>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6</w:t>
              </w:r>
            </w:hyperlink>
          </w:p>
        </w:tc>
        <w:tc>
          <w:tcPr>
            <w:tcW w:w="9160" w:type="dxa"/>
            <w:vAlign w:val="bottom"/>
            <w:gridSpan w:val="18"/>
          </w:tcPr>
          <w:p>
            <w:pPr>
              <w:ind w:left="140"/>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110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45</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3"/>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gridSpan w:val="5"/>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SIGNATURES</w:t>
              </w:r>
            </w:hyperlink>
          </w:p>
        </w:tc>
        <w:tc>
          <w:tcPr>
            <w:tcW w:w="9000" w:type="dxa"/>
            <w:vAlign w:val="bottom"/>
            <w:gridSpan w:val="17"/>
          </w:tcPr>
          <w:p>
            <w:pPr>
              <w:spacing w:after="0"/>
              <w:rPr>
                <w:sz w:val="24"/>
                <w:szCs w:val="24"/>
                <w:color w:val="auto"/>
              </w:rPr>
            </w:pPr>
          </w:p>
        </w:tc>
        <w:tc>
          <w:tcPr>
            <w:tcW w:w="110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46</w:t>
              </w:r>
            </w:hyperlink>
          </w:p>
        </w:tc>
      </w:tr>
      <w:tr>
        <w:trPr>
          <w:trHeight w:val="763"/>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20" w:type="dxa"/>
            <w:vAlign w:val="bottom"/>
            <w:gridSpan w:val="14"/>
          </w:tcPr>
          <w:p>
            <w:pPr>
              <w:jc w:val="right"/>
              <w:ind w:right="300"/>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17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340"/>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98,132</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18,008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21,864</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123,692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138,004</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55,960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257,808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640"/>
              <w:spacing w:after="0"/>
              <w:rPr>
                <w:sz w:val="20"/>
                <w:szCs w:val="20"/>
                <w:color w:val="auto"/>
              </w:rPr>
            </w:pPr>
            <w:r>
              <w:rPr>
                <w:rFonts w:ascii="Arial" w:cs="Arial" w:eastAsia="Arial" w:hAnsi="Arial"/>
                <w:sz w:val="16"/>
                <w:szCs w:val="16"/>
                <w:color w:val="auto"/>
              </w:rPr>
              <w:t>LIABILITIES AND EQUITY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46,535</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23"/>
        </w:trPr>
        <w:tc>
          <w:tcPr>
            <w:tcW w:w="82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48,872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54,747</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244,079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243,637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Commitments, contingencies and regulatory matters (Note 21)</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Equity (deficit):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Common stock ($1.00 par value; 100,000 shares authorized, 25,413 issued and 16,057 outstanding as of</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March 31, 2022; 15,911 outstanding as of December 31, 2021)</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144,298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7"/>
              </w:rPr>
              <w:t>Treasury stock, at cost (9,356 shares as of March 31, 2022 and 9,502 shares as of December 31, 2021)</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(426,445)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Altisource deficit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(70,142)</w:t>
            </w:r>
          </w:p>
        </w:tc>
        <w:tc>
          <w:tcPr>
            <w:tcW w:w="0" w:type="dxa"/>
            <w:vAlign w:val="bottom"/>
          </w:tcPr>
          <w:p>
            <w:pPr>
              <w:spacing w:after="0"/>
              <w:rPr>
                <w:sz w:val="1"/>
                <w:szCs w:val="1"/>
                <w:color w:val="auto"/>
              </w:rPr>
            </w:pPr>
          </w:p>
        </w:tc>
      </w:tr>
      <w:tr>
        <w:trPr>
          <w:trHeight w:val="162"/>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deficit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(68,870)</w:t>
            </w:r>
          </w:p>
        </w:tc>
        <w:tc>
          <w:tcPr>
            <w:tcW w:w="0" w:type="dxa"/>
            <w:vAlign w:val="bottom"/>
          </w:tcPr>
          <w:p>
            <w:pPr>
              <w:spacing w:after="0"/>
              <w:rPr>
                <w:sz w:val="1"/>
                <w:szCs w:val="1"/>
                <w:color w:val="auto"/>
              </w:rPr>
            </w:pPr>
          </w:p>
        </w:tc>
      </w:tr>
      <w:tr>
        <w:trPr>
          <w:trHeight w:val="142"/>
        </w:trPr>
        <w:tc>
          <w:tcPr>
            <w:tcW w:w="8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Total liabilities and deficit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257,808</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7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197"/>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50,158</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18,886</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(18,579)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(3,442)</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(2,493)</w:t>
            </w: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Loss before income taxes and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 attributable to Altisource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5"/>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15,956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15,717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Comprehensive loss, net of tax</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(21,915)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Altisource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Altisource Equity (Deficit)</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700" w:type="dxa"/>
            <w:vAlign w:val="bottom"/>
            <w:gridSpan w:val="4"/>
            <w:vMerge w:val="restart"/>
          </w:tcPr>
          <w:p>
            <w:pPr>
              <w:jc w:val="right"/>
              <w:ind w:right="27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controlling</w:t>
            </w:r>
          </w:p>
        </w:tc>
        <w:tc>
          <w:tcPr>
            <w:tcW w:w="200" w:type="dxa"/>
            <w:vAlign w:val="bottom"/>
          </w:tcPr>
          <w:p>
            <w:pPr>
              <w:spacing w:after="0"/>
              <w:rPr>
                <w:sz w:val="11"/>
                <w:szCs w:val="11"/>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7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(82,556)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(21,915)</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(105,258)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(68,870)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(12,029)</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Issuance of restricted share units and restricted shares</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Treasury shares withheld for the payment of tax on restricted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 unit and restricted share issuances</w:t>
            </w: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March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(80,887)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89"/>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(21,915)</w:t>
            </w:r>
          </w:p>
        </w:tc>
      </w:tr>
      <w:tr>
        <w:trPr>
          <w:trHeight w:val="230"/>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1,184</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 under 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2,599</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Loss on disposal of fixed assets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Current and non-current 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(1,941)</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and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(16,810)</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premises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Proceeds from the sale of business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(1,395)</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tax withholding on issuance of restricted share units and restricted shares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r>
      <w:tr>
        <w:trPr>
          <w:trHeight w:val="196"/>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(16,502)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Interest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3,090</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paid,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Acquisition of right-of-use assets with 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 of right-of-use assets from operating lease modifications or reassessments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Net decrease in payables for purchases of premises and equipment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publicly traded on the NASDAQ Global Select Market under the symbol “ASPS.” We are organized under the laws of the Grand Duchy of Luxembourg.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Effective January 1, 2022,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new reportable segments: </w:t>
      </w:r>
      <w:r>
        <w:rPr>
          <w:rFonts w:ascii="Arial" w:cs="Arial" w:eastAsia="Arial" w:hAnsi="Arial"/>
          <w:sz w:val="16"/>
          <w:szCs w:val="16"/>
          <w:i w:val="1"/>
          <w:iCs w:val="1"/>
          <w:color w:val="auto"/>
        </w:rPr>
        <w:t>Servicer and Real Estate</w:t>
      </w:r>
      <w:r>
        <w:rPr>
          <w:rFonts w:ascii="Arial" w:cs="Arial" w:eastAsia="Arial" w:hAnsi="Arial"/>
          <w:sz w:val="16"/>
          <w:szCs w:val="16"/>
          <w:color w:val="auto"/>
        </w:rPr>
        <w:t xml:space="preserve"> and </w:t>
      </w:r>
      <w:r>
        <w:rPr>
          <w:rFonts w:ascii="Arial" w:cs="Arial" w:eastAsia="Arial" w:hAnsi="Arial"/>
          <w:sz w:val="16"/>
          <w:szCs w:val="16"/>
          <w:i w:val="1"/>
          <w:iCs w:val="1"/>
          <w:color w:val="auto"/>
        </w:rPr>
        <w:t>Origination</w:t>
      </w:r>
      <w:r>
        <w:rPr>
          <w:rFonts w:ascii="Arial" w:cs="Arial" w:eastAsia="Arial" w:hAnsi="Arial"/>
          <w:sz w:val="16"/>
          <w:szCs w:val="16"/>
          <w:color w:val="auto"/>
        </w:rPr>
        <w:t xml:space="preserve">. In addition, we report </w:t>
      </w:r>
      <w:r>
        <w:rPr>
          <w:rFonts w:ascii="Arial" w:cs="Arial" w:eastAsia="Arial" w:hAnsi="Arial"/>
          <w:sz w:val="16"/>
          <w:szCs w:val="16"/>
          <w:i w:val="1"/>
          <w:iCs w:val="1"/>
          <w:color w:val="auto"/>
        </w:rPr>
        <w:t>Corporate and Others</w:t>
      </w:r>
      <w:r>
        <w:rPr>
          <w:rFonts w:ascii="Arial" w:cs="Arial" w:eastAsia="Arial" w:hAnsi="Arial"/>
          <w:sz w:val="16"/>
          <w:szCs w:val="16"/>
          <w:color w:val="auto"/>
        </w:rPr>
        <w:t xml:space="preserve"> separately. Prior to the January 1, 2022 change in reportable segments, the Company operated with one reportable segment (total Company). Prior year comparable period segment disclosures have been restated to conform to the current year presentation. See Note 22 for a description of our business segments.</w:t>
      </w:r>
    </w:p>
    <w:p>
      <w:pPr>
        <w:spacing w:after="0" w:line="1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March 31, 2022, Lenders One had total assets of $1.7 million and total liabilities of $1.0 million. As of December 31, 2021, Lenders One had total assets of $2.2 million and total liabilities of $1.4 million.</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2019, Altisource created Pointillist, Inc. (“Pointillist”) and contributed the Pointillist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customer journey analytics business and $8.5 million to it. On May 27, 2021, Pointillist issued $1.3 million in principal of convertible notes to related parties with a maturity date of January 1, 2023. The notes bore interest at a rate of 7% per annum. The principal and unpaid accrued interest then outstanding under the notes (1) would automatically convert to Pointillist equity at the earlier of the time Pointillist receives proceeds of $5.0 million or more from the sale of its equity or January 1, 2023, or (2) are repaid in cash or converted into Pointillist common stock equity based on a $13.1 million Pointillist valuation (at the Lenders’ option) in the event of a corporate transaction or initial public offering of Pointillist. On December 1, 2021, the notes were converted to Pointillist equity and Altisource and other shareholders of Pointillist sold all of the equity interests in Pointillist (See Note 3 for additional information). Prior to the sale, Pointillist was owned by Altisource and management of Pointillist, with management of Pointillist owning a non-controlling interest representing 12.1% of the outstanding equity of Pointillist. Through December 1, 2021, Pointillist is presented in the accompanying condensed consolidated financial statements on a consolidated basis and the portion of Pointillist owned by Pointillist management is reported as non-controlling interests.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2021, as filed with the SEC on March 3,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and in January 2021, the FASB issued ASU No. 2021-01,</w:t>
      </w:r>
      <w:r>
        <w:rPr>
          <w:rFonts w:ascii="Arial" w:cs="Arial" w:eastAsia="Arial" w:hAnsi="Arial"/>
          <w:sz w:val="17"/>
          <w:szCs w:val="17"/>
          <w:i w:val="1"/>
          <w:iCs w:val="1"/>
          <w:color w:val="auto"/>
        </w:rPr>
        <w:t xml:space="preserve"> Reference Rate Reform (Topic 848): Scope</w:t>
      </w:r>
      <w:r>
        <w:rPr>
          <w:rFonts w:ascii="Arial" w:cs="Arial" w:eastAsia="Arial" w:hAnsi="Arial"/>
          <w:sz w:val="17"/>
          <w:szCs w:val="17"/>
          <w:color w:val="auto"/>
        </w:rPr>
        <w:t>. This standard applies only to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relationships, and other transactions that reference the London Interbank Offered Rate (“LIBOR”) or another reference rate expected to be discontinued because of reference rate reform. This standard provides optional guidance for a limited period of time to ease the potential burden in accounting for (or recognizing the effects of) reference rate reform on financial reporting, in response to concerns about structural risks of interbank offered rates, and, particularly, the risk of cessation of LIBOR. This standard is effective from the period from March 12, 2020 through December 31, 2022. An entity may elect to apply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Once elected for a topic or an industry subtopic, the standard must be applied prospectively for all eligible contract modifications for that topic or industry subtopic. The Company is currently evaluating the impact this guidance may have on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Ocwen Financial Corporation (together with its subsidiaries, “Ocwen”) is a residential mortgage loan servicer of mortgage servicing rights (“MSRs”) it owns, including those MSRs in which others have an economic interest, and a subservicer of MSRs owned by others.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2022, Ocwen was our largest customer, accounting for 35% of our total revenue. Ocwen purchases certain mortgage services from us under the terms of services agreements and amendments thereto (collectively, the “Ocwen Services Agreements”) with terms extending through August 2030. Certain of the Ocwen Services Agreements contain a “most favored nation” provision and also grant the parties the right to renegotiate pricing, among other things.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Ocwen primarily consists of revenue earned from the loan portfolios serviced and subserviced by Ocwen when Ocwen engages us as the service provider, and revenue earned directly from Ocwen, pursuant to the Ocwen Services Agreements. For the three months ended March 31, 2022 and 2021, we recognized revenue from Ocwen of $13.7 million and $16.9 million, respectively. Revenue from Ocwen as a percentage of segment and consolidated revenue was as follows for the three months ended March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68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02"/>
        </w:trPr>
        <w:tc>
          <w:tcPr>
            <w:tcW w:w="80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30"/>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Origination</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Others</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Consolidated revenue</w:t>
            </w:r>
          </w:p>
        </w:tc>
        <w:tc>
          <w:tcPr>
            <w:tcW w:w="520" w:type="dxa"/>
            <w:vAlign w:val="bottom"/>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904"/>
        </w:trPr>
        <w:tc>
          <w:tcPr>
            <w:tcW w:w="8060" w:type="dxa"/>
            <w:vAlign w:val="bottom"/>
          </w:tcPr>
          <w:p>
            <w:pPr>
              <w:ind w:left="5580"/>
              <w:spacing w:after="0"/>
              <w:rPr>
                <w:sz w:val="20"/>
                <w:szCs w:val="20"/>
                <w:color w:val="auto"/>
              </w:rPr>
            </w:pPr>
            <w:r>
              <w:rPr>
                <w:rFonts w:ascii="Arial" w:cs="Arial" w:eastAsia="Arial" w:hAnsi="Arial"/>
                <w:sz w:val="18"/>
                <w:szCs w:val="18"/>
                <w:color w:val="auto"/>
              </w:rPr>
              <w:t>8</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80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and subserviced by Ocwen when a party other than Ocwen or the MSR owner selects Altisource as the service provider. For the three months ended March 31, 2022 and 2021, we recognized revenue of $2.4 million and $2.6 million, respectively, of such revenue. These amounts are not included in deriving revenue from Ocwen and revenue from Ocwen as a percentage of revenue discussed above.</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2022, accounts receivable from Ocwen totaled $4.3 million, $3.3 million of which was billed and $1.0 million of which was unbilled. As of December 31, 2021, accounts receivable from Ocwen totaled $3.0 million, $2.8 million of which was billed and $0.2 million of which was unbilled.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New Residential Investment Corp. (individually, together with one or more of its subsidiaries or one or more of its subsidiaries individually, “NRZ”) is a real estate investment trust that invests in and manages investments primarily related to residential real estate, including MSRs and excess MSRs.</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Ocwen has disclosed that NRZ is its largest client. As of December 31, 2021, approximately 21% of loans serviced and subserviced by Ocwen (measured in unpaid principal balance (“UPB”)) were related to NRZ MSRs or rights to MSRs (the “Subject MSRs”).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NRZ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“Brokerage Agreement”) with terms extending through August 2025.</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and 2021, we recognized revenue from NRZ of $0.9 million and $0.8 million, respectively, under the Brokerage Agreement. For the three months ended March 31, 2022 and 2021, we recognized additional revenue of $3.7 million and $3.4 million, respectively, relating to the Subject MSRs when a party other than NRZ selects Altisource as the service provider.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SALE OF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Pointillist Business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6, 2021, Altisource and other shareholders of Pointillist entered into a definitive Stock Purchase Agreement (as amended, the “SPA”) to sell all of the equity interests in Pointillist to Genesys Cloud Services, Inc. (“Genesys”) for $150.0 million (the “Purchase Price”) (the “Transaction”). The Purchase Price consisted of (1) an up-front payment of $144.5 million, subject to certain adjustments, (2) $0.5 million deposited into an escrow account to be used to satisfy potential deficits between estimated closing date working capital and actual closing date working capital (the “Working Capital Escrow”), with excess amounts remaining after satisfying such deficits (if any) being paid to the sellers, and (3) $5.0 million deposited into an escrow account to satisfy certain Genesys indemnification claims that may arise on or prior to the first anniversary of the sale closing and, at Genesys’ election, any working capital deficits that exceed the Working Capital Escrow (the “Indemnification Escrow”), with the balance to be paid to the sellers thereafter. The Transaction closed on December 1, 2021. On a fully diluted basis, Altisource owned approximately 69% of the equity of Pointillist. After working capital and other applicable adjustments, Altisource received approximately $106.0 million from the sale of its Pointillist equity and the collection of outstanding receivables, with $102.2 million received at closing, approximately $0.3 million deposited into the Working Capital Escrow and approximately $3.5 million deposited into the Indemnification Escrow. The present value of the amounts in escrow is included in other current assets in the accompanying condensed consolidated balance sheets at a discounted value of $3.7 million and $3.6 million as of March 31, 2022 and December 31, 2021,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Property Management Business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Altisource entered into an amendment to its agreements with Front Yard Residential Corporation (“RESI”) to sell Altisource’s rental property management business to RESI and permit RESI to internalize certain services that had been provided by Altisource. The proceeds from the transaction totaled $18.0 million, payable in two installments. The first installment of $15.0 million was received in August 2018 and the second installment of $3.0 million was received in January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Unbilled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accounts receivable consist primarily of certain real estate asset management, REO sales, title and closing services for which we generally recognize revenue when the service is provided but collect upon closing of the sale, and foreclosure trustee services, for which we generally recognize revenues over the service delivery period but bill following completion of the service. We also include amounts in unbilled accounts receivable that are earned during a month and billed in the following month.</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expected credit losses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38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740" w:type="dxa"/>
            <w:vAlign w:val="bottom"/>
            <w:gridSpan w:val="3"/>
          </w:tcPr>
          <w:p>
            <w:pPr>
              <w:jc w:val="center"/>
              <w:ind w:right="120"/>
              <w:spacing w:after="0" w:line="122" w:lineRule="exact"/>
              <w:rPr>
                <w:sz w:val="20"/>
                <w:szCs w:val="20"/>
                <w:color w:val="auto"/>
              </w:rPr>
            </w:pPr>
            <w:r>
              <w:rPr>
                <w:rFonts w:ascii="Arial" w:cs="Arial" w:eastAsia="Arial" w:hAnsi="Arial"/>
                <w:sz w:val="14"/>
                <w:szCs w:val="14"/>
                <w:b w:val="1"/>
                <w:bCs w:val="1"/>
                <w:color w:val="auto"/>
                <w:w w:val="91"/>
              </w:rPr>
              <w:t>Balance at Beginning of</w:t>
            </w:r>
          </w:p>
        </w:tc>
        <w:tc>
          <w:tcPr>
            <w:tcW w:w="140" w:type="dxa"/>
            <w:vAlign w:val="bottom"/>
          </w:tcPr>
          <w:p>
            <w:pPr>
              <w:spacing w:after="0"/>
              <w:rPr>
                <w:sz w:val="10"/>
                <w:szCs w:val="10"/>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Charged to Expenses</w:t>
            </w:r>
          </w:p>
        </w:tc>
        <w:tc>
          <w:tcPr>
            <w:tcW w:w="180" w:type="dxa"/>
            <w:vAlign w:val="bottom"/>
          </w:tcPr>
          <w:p>
            <w:pPr>
              <w:spacing w:after="0"/>
              <w:rPr>
                <w:sz w:val="10"/>
                <w:szCs w:val="10"/>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Deductions Note </w:t>
            </w:r>
            <w:r>
              <w:rPr>
                <w:rFonts w:ascii="Arial" w:cs="Arial" w:eastAsia="Arial" w:hAnsi="Arial"/>
                <w:sz w:val="9"/>
                <w:szCs w:val="9"/>
                <w:b w:val="1"/>
                <w:bCs w:val="1"/>
                <w:color w:val="auto"/>
              </w:rPr>
              <w:t>(1)</w:t>
            </w:r>
          </w:p>
        </w:tc>
        <w:tc>
          <w:tcPr>
            <w:tcW w:w="1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Balance at End of Period</w:t>
            </w:r>
          </w:p>
        </w:tc>
        <w:tc>
          <w:tcPr>
            <w:tcW w:w="0" w:type="dxa"/>
            <w:vAlign w:val="bottom"/>
          </w:tcPr>
          <w:p>
            <w:pPr>
              <w:spacing w:after="0"/>
              <w:rPr>
                <w:sz w:val="1"/>
                <w:szCs w:val="1"/>
                <w:color w:val="auto"/>
              </w:rPr>
            </w:pPr>
          </w:p>
        </w:tc>
      </w:tr>
      <w:tr>
        <w:trPr>
          <w:trHeight w:val="188"/>
        </w:trPr>
        <w:tc>
          <w:tcPr>
            <w:tcW w:w="4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Allowance for expected credit losses: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2022</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Twelve months ended December 31, 2021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Amounts written off as uncollectible or transferred to other accounts or utilized.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4260" w:type="dxa"/>
            <w:vAlign w:val="bottom"/>
            <w:tcBorders>
              <w:bottom w:val="single" w:sz="8" w:color="auto"/>
            </w:tcBorders>
            <w:vMerge w:val="continue"/>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42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4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Maintenance agreements, current portion</w:t>
            </w:r>
          </w:p>
        </w:tc>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3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Total</w:t>
            </w:r>
          </w:p>
        </w:tc>
        <w:tc>
          <w:tcPr>
            <w:tcW w:w="4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25,422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21,864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900" w:type="dxa"/>
            <w:vAlign w:val="bottom"/>
            <w:vMerge w:val="restart"/>
          </w:tcPr>
          <w:p>
            <w:pPr>
              <w:jc w:val="right"/>
              <w:ind w:right="23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6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PREMISES AND EQUIPMENT,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consists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hardware and software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Office equipment and 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(54,758)</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amounted to $1.0 million and $1.2 million for the three months ended March 31, 2022 and 2021, respectively, and is included in cost of revenue for operating assets and in selling, general and administrative expenses for non-operating assets in the accompanying condensed consolidated statements of operations and comprehensive loss.</w:t>
      </w:r>
    </w:p>
    <w:p>
      <w:pPr>
        <w:spacing w:after="0" w:line="126" w:lineRule="exact"/>
        <w:rPr>
          <w:sz w:val="20"/>
          <w:szCs w:val="20"/>
          <w:color w:val="auto"/>
        </w:rPr>
      </w:pPr>
    </w:p>
    <w:p>
      <w:pPr>
        <w:ind w:right="5300"/>
        <w:spacing w:after="0" w:line="486" w:lineRule="auto"/>
        <w:rPr>
          <w:sz w:val="20"/>
          <w:szCs w:val="20"/>
          <w:color w:val="auto"/>
        </w:rPr>
      </w:pPr>
      <w:r>
        <w:rPr>
          <w:rFonts w:ascii="Arial" w:cs="Arial" w:eastAsia="Arial" w:hAnsi="Arial"/>
          <w:sz w:val="17"/>
          <w:szCs w:val="17"/>
          <w:b w:val="1"/>
          <w:bCs w:val="1"/>
          <w:color w:val="auto"/>
        </w:rPr>
        <w:t xml:space="preserve">NOTE 7 — RIGHT-OF-USE ASSETS UNDER OPERATING LEASES, NET </w:t>
      </w:r>
      <w:r>
        <w:rPr>
          <w:rFonts w:ascii="Arial" w:cs="Arial" w:eastAsia="Arial" w:hAnsi="Arial"/>
          <w:sz w:val="17"/>
          <w:szCs w:val="17"/>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5"/>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2"/>
                <w:szCs w:val="12"/>
                <w:color w:val="auto"/>
              </w:rPr>
            </w:pPr>
          </w:p>
        </w:tc>
        <w:tc>
          <w:tcPr>
            <w:tcW w:w="1280" w:type="dxa"/>
            <w:vAlign w:val="bottom"/>
            <w:gridSpan w:val="2"/>
          </w:tcPr>
          <w:p>
            <w:pPr>
              <w:ind w:left="160"/>
              <w:spacing w:after="0" w:line="145"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220" w:type="dxa"/>
            <w:vAlign w:val="bottom"/>
          </w:tcPr>
          <w:p>
            <w:pPr>
              <w:jc w:val="right"/>
              <w:ind w:right="217"/>
              <w:spacing w:after="0" w:line="145"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under operating leases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Accumulated amortization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operating leases was $1.1 million and $1.9 million for the three months ended March 31, 2022 and 2021, respectively, and is included in cost of revenue for operating assets and in selling, general and administrative expenses for non-operating assets in the accompanying condensed consolidated statements of operations and comprehensive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Servicer and Real</w:t>
            </w:r>
          </w:p>
        </w:tc>
        <w:tc>
          <w:tcPr>
            <w:tcW w:w="220" w:type="dxa"/>
            <w:vAlign w:val="bottom"/>
          </w:tcPr>
          <w:p>
            <w:pPr>
              <w:spacing w:after="0"/>
              <w:rPr>
                <w:sz w:val="14"/>
                <w:szCs w:val="14"/>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Pr>
          <w:p>
            <w:pPr>
              <w:spacing w:after="0"/>
              <w:rPr>
                <w:sz w:val="14"/>
                <w:szCs w:val="14"/>
                <w:color w:val="auto"/>
              </w:rPr>
            </w:pPr>
          </w:p>
        </w:tc>
        <w:tc>
          <w:tcPr>
            <w:tcW w:w="16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Corporate and</w:t>
            </w:r>
          </w:p>
        </w:tc>
        <w:tc>
          <w:tcPr>
            <w:tcW w:w="110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Estate</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7"/>
              </w:rPr>
              <w:t>Others</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March 31, 2022 and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30,681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that each reportable segment represents a reporting unit. Goodwill was allocated to each reporting unit based on the relative fair value of each of our reporting units.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b w:val="1"/>
                <w:bCs w:val="1"/>
                <w:color w:val="auto"/>
              </w:rPr>
              <w:t>Gross carrying amount</w:t>
            </w:r>
          </w:p>
        </w:tc>
        <w:tc>
          <w:tcPr>
            <w:tcW w:w="180" w:type="dxa"/>
            <w:vAlign w:val="bottom"/>
          </w:tcPr>
          <w:p>
            <w:pPr>
              <w:spacing w:after="0"/>
              <w:rPr>
                <w:sz w:val="14"/>
                <w:szCs w:val="14"/>
                <w:color w:val="auto"/>
              </w:rPr>
            </w:pPr>
          </w:p>
        </w:tc>
        <w:tc>
          <w:tcPr>
            <w:tcW w:w="2380" w:type="dxa"/>
            <w:vAlign w:val="bottom"/>
            <w:gridSpan w:val="5"/>
          </w:tcPr>
          <w:p>
            <w:pPr>
              <w:ind w:left="220"/>
              <w:spacing w:after="0"/>
              <w:rPr>
                <w:sz w:val="20"/>
                <w:szCs w:val="20"/>
                <w:color w:val="auto"/>
              </w:rPr>
            </w:pPr>
            <w:r>
              <w:rPr>
                <w:rFonts w:ascii="Arial" w:cs="Arial" w:eastAsia="Arial" w:hAnsi="Arial"/>
                <w:sz w:val="14"/>
                <w:szCs w:val="14"/>
                <w:b w:val="1"/>
                <w:bCs w:val="1"/>
                <w:color w:val="auto"/>
              </w:rPr>
              <w:t>Accumulated amortization</w:t>
            </w:r>
          </w:p>
        </w:tc>
        <w:tc>
          <w:tcPr>
            <w:tcW w:w="180" w:type="dxa"/>
            <w:vAlign w:val="bottom"/>
          </w:tcPr>
          <w:p>
            <w:pPr>
              <w:spacing w:after="0"/>
              <w:rPr>
                <w:sz w:val="14"/>
                <w:szCs w:val="14"/>
                <w:color w:val="auto"/>
              </w:rPr>
            </w:pPr>
          </w:p>
        </w:tc>
        <w:tc>
          <w:tcPr>
            <w:tcW w:w="226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980" w:type="dxa"/>
            <w:vAlign w:val="bottom"/>
            <w:gridSpan w:val="2"/>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estimated</w:t>
            </w: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
                <w:szCs w:val="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
                <w:szCs w:val="2"/>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
                <w:szCs w:val="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
                <w:szCs w:val="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
                <w:szCs w:val="2"/>
                <w:color w:val="auto"/>
              </w:rPr>
            </w:pPr>
          </w:p>
        </w:tc>
        <w:tc>
          <w:tcPr>
            <w:tcW w:w="10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line="20" w:lineRule="exact"/>
              <w:rPr>
                <w:sz w:val="1"/>
                <w:szCs w:val="1"/>
                <w:color w:val="auto"/>
              </w:rPr>
            </w:pPr>
          </w:p>
        </w:tc>
      </w:tr>
      <w:tr>
        <w:trPr>
          <w:trHeight w:val="135"/>
        </w:trPr>
        <w:tc>
          <w:tcPr>
            <w:tcW w:w="2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1"/>
                <w:szCs w:val="11"/>
                <w:color w:val="auto"/>
              </w:rPr>
            </w:pPr>
          </w:p>
        </w:tc>
        <w:tc>
          <w:tcPr>
            <w:tcW w:w="9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useful life</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p>
        </w:tc>
        <w:tc>
          <w:tcPr>
            <w:tcW w:w="200" w:type="dxa"/>
            <w:vAlign w:val="bottom"/>
          </w:tcPr>
          <w:p>
            <w:pPr>
              <w:spacing w:after="0"/>
              <w:rPr>
                <w:sz w:val="16"/>
                <w:szCs w:val="16"/>
                <w:color w:val="auto"/>
              </w:rPr>
            </w:pPr>
          </w:p>
        </w:tc>
        <w:tc>
          <w:tcPr>
            <w:tcW w:w="980" w:type="dxa"/>
            <w:vAlign w:val="bottom"/>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2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Definite lived intangible assets: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00" w:type="dxa"/>
            <w:vAlign w:val="bottom"/>
          </w:tcPr>
          <w:p>
            <w:pPr>
              <w:ind w:left="180"/>
              <w:spacing w:after="0" w:line="176" w:lineRule="exact"/>
              <w:rPr>
                <w:sz w:val="20"/>
                <w:szCs w:val="20"/>
                <w:color w:val="auto"/>
              </w:rPr>
            </w:pPr>
            <w:r>
              <w:rPr>
                <w:rFonts w:ascii="Arial" w:cs="Arial" w:eastAsia="Arial" w:hAnsi="Arial"/>
                <w:sz w:val="18"/>
                <w:szCs w:val="18"/>
                <w:color w:val="auto"/>
              </w:rPr>
              <w:t>Customer related intangible</w:t>
            </w:r>
          </w:p>
        </w:tc>
        <w:tc>
          <w:tcPr>
            <w:tcW w:w="9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214,307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214,307</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(195,344)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(194,594)</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18,963</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19,713</w:t>
            </w:r>
          </w:p>
        </w:tc>
        <w:tc>
          <w:tcPr>
            <w:tcW w:w="0" w:type="dxa"/>
            <w:vAlign w:val="bottom"/>
          </w:tcPr>
          <w:p>
            <w:pPr>
              <w:spacing w:after="0"/>
              <w:rPr>
                <w:sz w:val="1"/>
                <w:szCs w:val="1"/>
                <w:color w:val="auto"/>
              </w:rPr>
            </w:pPr>
          </w:p>
        </w:tc>
      </w:tr>
      <w:tr>
        <w:trPr>
          <w:trHeight w:val="229"/>
        </w:trPr>
        <w:tc>
          <w:tcPr>
            <w:tcW w:w="2600" w:type="dxa"/>
            <w:vAlign w:val="bottom"/>
          </w:tcPr>
          <w:p>
            <w:pPr>
              <w:ind w:left="360"/>
              <w:spacing w:after="0"/>
              <w:rPr>
                <w:sz w:val="20"/>
                <w:szCs w:val="20"/>
                <w:color w:val="auto"/>
              </w:rPr>
            </w:pPr>
            <w:r>
              <w:rPr>
                <w:rFonts w:ascii="Arial" w:cs="Arial" w:eastAsia="Arial" w:hAnsi="Arial"/>
                <w:sz w:val="18"/>
                <w:szCs w:val="18"/>
                <w:color w:val="auto"/>
              </w:rPr>
              <w:t>assets</w:t>
            </w:r>
          </w:p>
        </w:tc>
        <w:tc>
          <w:tcPr>
            <w:tcW w:w="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agreement</w:t>
            </w:r>
          </w:p>
        </w:tc>
        <w:tc>
          <w:tcPr>
            <w:tcW w:w="9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w:t>
            </w:r>
          </w:p>
        </w:tc>
        <w:tc>
          <w:tcPr>
            <w:tcW w:w="0" w:type="dxa"/>
            <w:vAlign w:val="bottom"/>
          </w:tcPr>
          <w:p>
            <w:pPr>
              <w:spacing w:after="0"/>
              <w:rPr>
                <w:sz w:val="1"/>
                <w:szCs w:val="1"/>
                <w:color w:val="auto"/>
              </w:rPr>
            </w:pPr>
          </w:p>
        </w:tc>
      </w:tr>
      <w:tr>
        <w:trPr>
          <w:trHeight w:val="230"/>
        </w:trPr>
        <w:tc>
          <w:tcPr>
            <w:tcW w:w="2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Trademarks and trade names</w:t>
            </w:r>
          </w:p>
        </w:tc>
        <w:tc>
          <w:tcPr>
            <w:tcW w:w="9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79"/>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96"/>
        </w:trPr>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259,016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(223,441)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36,859</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Amortization expense for definite lived intangible assets was $1.3 million and $2.6 million for the three months ended March 31, 2022 and 2021, respectively</w:t>
      </w:r>
      <w:r>
        <w:rPr>
          <w:rFonts w:ascii="Arial" w:cs="Arial" w:eastAsia="Arial" w:hAnsi="Arial"/>
          <w:sz w:val="16"/>
          <w:szCs w:val="16"/>
          <w:color w:val="auto"/>
        </w:rPr>
        <w:t>. Forecasted</w:t>
      </w:r>
      <w:r>
        <w:rPr>
          <w:rFonts w:ascii="Arial" w:cs="Arial" w:eastAsia="Arial" w:hAnsi="Arial"/>
          <w:sz w:val="18"/>
          <w:szCs w:val="18"/>
          <w:color w:val="auto"/>
        </w:rPr>
        <w:t xml:space="preserve"> annual definite lived intangible asset amortization expense for 2022 through 2026 is $5.1 million, $5.1 million, $5.1 million, $5.1 million and $4.9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Security deposits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10 — ACCOUNTS PAYABLE, ACCRUED EXPENSES AND OTHER CURRENT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Accrued expenses - general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13,653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46,535</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2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term loans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247,204</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Less: Debt issuance costs,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Unamortized discount,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Senior secured term loans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244,476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244,078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Credit Facility</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Debt issuance costs,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Net Credit Facility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243,637</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Altisource Portfolio Solutions S.A. and its wholly-owned subsidiary, Altisource S.à r.l. entered into a credit agreement (the “Credit Agreement”) in April 2018 with Morgan Stanley Senior Funding, Inc., as administrative agent and collateral agent, and certain lenders. Under the Credit Agreement, Altisource borrowed $412.0 million in the form of Term B Loans and obtained a $15.0 million revolving credit facility. The Term B Loans mature in April 2024. Altisource terminated the revolving credit facility on December 1, 2021. Altisource Portfolio Solutions S.A. and certain subsidiaries are guarantors of the Term B Loans (collectively, the “Guarantors”).</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no mandatory repayments of the Term B Loans except as set forth below until the April 2024 maturity when the balance is due.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The lenders have no obligation to provide any incremental indebtedness.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bear interest at rates based upon, at our option, the Adjusted Eurodollar Rate or the Base Rate. Adjusted Eurodollar Rate term loans bear interest at a rate per annum equal to the sum of (i) the greater of (x) the Adjusted Eurodollar Rate for a three month interest period and (y) 1.00% plus (ii) 4.00%. Base Rate term loans bear interest at a rate per annum equal to the sum of (i) the greater of (x) the Base Rate and (y) 2.00% plus (ii) 3.00%. The interest rate as of March 31, 2022 was 5.00%.</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payment of all amounts owing by Altisource under the Credit Agreement is guaranteed by the Guarantors and is secured by a pledge of all equity interests of certain subsidiaries of Altisource, as well as a lien on substantially all of the assets of Altisource S.à r.l. and the Guarantors, subject to certain exceptions.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Credit Agreement includes covenants that restrict or limit, among other things, our ability, subject to certain exceptions and baskets, to incur indebtedness; incur liens on our assets; sell, transfer or dispose of assets; make Restricted Junior Payments including share repurchases, dividends and repayment of junior indebtedness; make investments; dispose of equity interests of any Material Subsidiaries; engage in a line of business substantially different than existing businesses and businesses reasonably related, complimentary or ancillary thereto; amend material debt agreements or other material contracts; engage in certain transactions with affiliates; enter into sale/leaseback transactions; grant negative pledges or agree to such other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restrictions relating to subsidiary dividends and distributions; make changes to our fiscal year; and engage in mergers and consolidations.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Credit Agreement contains certain events of default including (i) failure to pay principal when due or interest or any other amount owing on any other obligation under the Credit Agreement within five days of becoming due, (ii) material incorrectness of representations and warranties when made, (iii) breach of certain other covenants, subject to cure periods described in the Credit Agreement, (iv) failure to pay principal or interest on any other debt that equals or exceeds $40.0 million when due, (v) 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Credit Agreement or waived, all loans and other obligations could become due and immediately payable and the facility could be terminated.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debt issuance costs were $1.4 million, net of $3.1 million of accumulated amortization. As of December 31, 2021, debt issuance costs were $1.6 million, net of $2.9 million of accumulated amortization.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22, 2021 Altisource S.à r.l, a subsidiary of Altisource Portfolio Solutions S.A., entered into a revolving credit facility with a related party, STS Master Fund, Ltd. (“STS”) (the “Credit Facility”). STS is an investment fund managed by Deer Park Road Management Company, LP. Deer Park Road Management Company, LP owns approximately 24% of Altisource’s common stock as of March 31, 2022. Deer Park’s Chief Investment Officer and managing partner was a member of Altisource’s Board of Directors until his resignation on March 1, 2022. The replacement director appointed by the Board of Directors is a current employee of Deer Park.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$20.0 million through June 22, 2022, $15.0 million through June 22, 2023, and $10.0 million until the end of the term. Amounts that are repaid may be re-borrowed in accordance with the limitations set forth below.</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Outstanding amounts borrowed pursuant to the Credit Facility will amortize over the three-year term as follows: on June 22, 2022, the difference between the then outstanding balance above $15.0 million and $15.0 million, on June 22, 2023, the difference between the then outstanding balance above $10.0 million and $10.0 million, and on June 22, 2024, the then outstanding balance of the loan will be due and payable by Altisource.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at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Altisource subsidiary.</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and December 31, 2021, there was no outstanding debt under the Credit Facility. As of March 31, 2022 and December 31, 2021, debt issuance costs were $0.4 million, net of $0.1 million of accumulated amortization.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Income tax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14,156</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 AND FINANCIAL INSTRUMENTS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and certain liabilities measured at fair value as of March 31, 2022 and December 31, 2021. The following fair values are estimated using market information and what the Company believes to be appropriate valuation methodologies under GAAP: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March 31, 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4"/>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78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Level 2</w:t>
            </w:r>
          </w:p>
        </w:tc>
        <w:tc>
          <w:tcPr>
            <w:tcW w:w="80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2"/>
        </w:trPr>
        <w:tc>
          <w:tcPr>
            <w:tcW w:w="25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receivable</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Senior secured term loan</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224,956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values due to the highly liquid nature of these instruments and were measured using Level 1 inputs.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our senior secured term loan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sale of Pointillist in December 1, 2021, Altisource is to receive $3.5 million on the first anniversary of the sale closing and $0.3 million following the confirmation of closing date working capital (See Note 3 for additional information). We measure short-term receivables without a stated interest rate based on the present value of the future payments.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derived 35% of its revenue from Ocwen for the three months ended March 31, 2022 (see Note 2 for additional information on Ocwen revenues and accounts receivable balance). The Company strives to mitigate its concentrations of credit risk with respect to accounts receivable by actively monitoring past due accounts and the economic status of larger customers, if known.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ind w:right="4640"/>
        <w:spacing w:after="0" w:line="440" w:lineRule="auto"/>
        <w:rPr>
          <w:sz w:val="20"/>
          <w:szCs w:val="20"/>
          <w:color w:val="auto"/>
        </w:rPr>
      </w:pPr>
      <w:r>
        <w:rPr>
          <w:rFonts w:ascii="Arial" w:cs="Arial" w:eastAsia="Arial" w:hAnsi="Arial"/>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2022, approximately 2.4 million shares of common stock remain available for repurchase under the program. There were no purchases of shares of common stock during the three months ended March 31, 2022 and 2021. Luxembourg law limits share repurchases to the balance of Altisource Portfolio Solutions S.A. (unconsolidated parent company) retained earnings, less the value of shares repurchased. As of March 31, 2022, we can repurchase up to approximately $74 million of our common stock under Luxembourg law. Our Credit Agreement also limits the amount we can spend on share repurchases, which limit was approximately $420 million as of March 31, 2022, and may prevent repurchases in certain circumstances, including if our leverage ratio exceeds 3.50 to 1.00.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restricted shares and restricted share units for certain employees, officers and directors. We recognized share-based compensation expense of $1.3 million and $1.4 million for the three months ended March 31, 2022 and 2021, respectively. As of March 31, 2022, estimated unrecognized compensation costs related to share-based awards amounted to $6.1 million, which we expect to recognize over a weighted average remaining requisite service period of approximately 1.64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Service-Based Options. </w:t>
      </w:r>
      <w:r>
        <w:rPr>
          <w:rFonts w:ascii="Arial" w:cs="Arial" w:eastAsia="Arial" w:hAnsi="Arial"/>
          <w:sz w:val="16"/>
          <w:szCs w:val="16"/>
          <w:color w:val="auto"/>
        </w:rPr>
        <w:t>These options generally vest over three or four years with equal annual vesting and generally expire on the earlier of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after the date of grant or following termination of service. A total of 186 thousand service-based options were outstanding as of March 31, 2022.</w:t>
      </w:r>
    </w:p>
    <w:p>
      <w:pPr>
        <w:spacing w:after="0" w:line="70"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generally have two components, each of which vests only upon the achievement of certain criteria.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96 thousand market-based options were outstanding as of March 31, 2022.</w:t>
      </w:r>
    </w:p>
    <w:p>
      <w:pPr>
        <w:spacing w:after="0" w:line="13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Performance-Based Options. </w:t>
      </w:r>
      <w:r>
        <w:rPr>
          <w:rFonts w:ascii="Arial" w:cs="Arial" w:eastAsia="Arial" w:hAnsi="Arial"/>
          <w:sz w:val="17"/>
          <w:szCs w:val="17"/>
          <w:color w:val="auto"/>
        </w:rPr>
        <w:t>These option grants generally will vest if certain specific financial measures are achieved; typically with one-fourth</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450 thousand performance-based options outstanding as of March 31, 2022.</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granted 105 thousand stock options (at a weighted average exercise price of $11.86 per share) for the three months ended March 31, 2022 (no comparative amount for the three months ended March 31,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performance-based options are determined using the Black-Scholes option pricing model. The following assumptions were used to determine the fair values as of the grant date: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88"/>
        </w:trPr>
        <w:tc>
          <w:tcPr>
            <w:tcW w:w="9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1"/>
              </w:rPr>
              <w:t>31, 2022</w:t>
            </w:r>
          </w:p>
        </w:tc>
      </w:tr>
      <w:tr>
        <w:trPr>
          <w:trHeight w:val="183"/>
        </w:trPr>
        <w:tc>
          <w:tcPr>
            <w:tcW w:w="9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7"/>
              </w:rPr>
              <w:t>Black-Scholes</w:t>
            </w:r>
          </w:p>
        </w:tc>
      </w:tr>
      <w:tr>
        <w:trPr>
          <w:trHeight w:val="197"/>
        </w:trPr>
        <w:tc>
          <w:tcPr>
            <w:tcW w:w="9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 (%)</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1.62</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Expected stock price volatility (%)</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67.75 %</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Expected option life (in years)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7.27</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grant date fair value of stock options that vested during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Three months ended March 31,</w:t>
            </w:r>
          </w:p>
        </w:tc>
      </w:tr>
      <w:tr>
        <w:trPr>
          <w:trHeight w:val="20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Weighted average grant date fair value of stock options granted per share</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Intrinsic value of options exercised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date fair value of stock options that vested</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459"/>
        </w:trPr>
        <w:tc>
          <w:tcPr>
            <w:tcW w:w="530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the activity related to our stock options: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24"/>
                <w:szCs w:val="24"/>
                <w:color w:val="auto"/>
              </w:rPr>
            </w:pPr>
          </w:p>
        </w:tc>
        <w:tc>
          <w:tcPr>
            <w:tcW w:w="124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200" w:type="dxa"/>
            <w:vAlign w:val="bottom"/>
          </w:tcPr>
          <w:p>
            <w:pPr>
              <w:spacing w:after="0"/>
              <w:rPr>
                <w:sz w:val="11"/>
                <w:szCs w:val="11"/>
                <w:color w:val="auto"/>
              </w:rPr>
            </w:pPr>
          </w:p>
        </w:tc>
        <w:tc>
          <w:tcPr>
            <w:tcW w:w="124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exercise price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89"/>
              </w:rPr>
              <w:t>(in years)</w:t>
            </w:r>
          </w:p>
        </w:tc>
        <w:tc>
          <w:tcPr>
            <w:tcW w:w="200" w:type="dxa"/>
            <w:vAlign w:val="bottom"/>
          </w:tcPr>
          <w:p>
            <w:pPr>
              <w:spacing w:after="0"/>
              <w:rPr>
                <w:sz w:val="16"/>
                <w:szCs w:val="16"/>
                <w:color w:val="auto"/>
              </w:rPr>
            </w:pPr>
          </w:p>
        </w:tc>
        <w:tc>
          <w:tcPr>
            <w:tcW w:w="1240" w:type="dxa"/>
            <w:vAlign w:val="bottom"/>
          </w:tcPr>
          <w:p>
            <w:pPr>
              <w:jc w:val="center"/>
              <w:ind w:right="96"/>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197"/>
        </w:trPr>
        <w:tc>
          <w:tcPr>
            <w:tcW w:w="5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687,339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ind w:left="660"/>
              <w:spacing w:after="0"/>
              <w:rPr>
                <w:sz w:val="20"/>
                <w:szCs w:val="20"/>
                <w:color w:val="auto"/>
              </w:rPr>
            </w:pPr>
            <w:r>
              <w:rPr>
                <w:rFonts w:ascii="Arial" w:cs="Arial" w:eastAsia="Arial" w:hAnsi="Arial"/>
                <w:sz w:val="18"/>
                <w:szCs w:val="18"/>
                <w:color w:val="auto"/>
                <w:w w:val="98"/>
              </w:rPr>
              <w:t>105,000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(59,900)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as of March 31, 2022</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732,439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Exercisable as of March 31, 2022</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544,190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other share-based and similar types of awards are comprised of restricted shares and restricted share units. The restricted shares and restricted share units are comprised of a combination of service-based awards, performance-based awards and market-based awards.</w:t>
      </w:r>
    </w:p>
    <w:p>
      <w:pPr>
        <w:spacing w:after="0" w:line="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Service-Based Awards. </w:t>
      </w:r>
      <w:r>
        <w:rPr>
          <w:rFonts w:ascii="Arial" w:cs="Arial" w:eastAsia="Arial" w:hAnsi="Arial"/>
          <w:sz w:val="18"/>
          <w:szCs w:val="18"/>
          <w:color w:val="auto"/>
        </w:rPr>
        <w:t>These awards generally vest over one to four year periods with vesting in equal annual installments. A total of 422 thousand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service-based awards were outstanding as of March 31, 2022.</w:t>
      </w:r>
    </w:p>
    <w:p>
      <w:pPr>
        <w:spacing w:after="0" w:line="116"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Performance-Based Awards. </w:t>
      </w:r>
      <w:r>
        <w:rPr>
          <w:rFonts w:ascii="Arial" w:cs="Arial" w:eastAsia="Arial" w:hAnsi="Arial"/>
          <w:sz w:val="17"/>
          <w:szCs w:val="17"/>
          <w:color w:val="auto"/>
        </w:rPr>
        <w:t>These awards generally vest if certain specific financial measures are achieved; generally one-third vests on each</w:t>
      </w:r>
      <w:r>
        <w:rPr>
          <w:rFonts w:ascii="Arial" w:cs="Arial" w:eastAsia="Arial" w:hAnsi="Arial"/>
          <w:sz w:val="17"/>
          <w:szCs w:val="17"/>
          <w:i w:val="1"/>
          <w:iCs w:val="1"/>
          <w:color w:val="auto"/>
        </w:rPr>
        <w:t xml:space="preserve"> </w:t>
      </w:r>
      <w:r>
        <w:rPr>
          <w:rFonts w:ascii="Arial" w:cs="Arial" w:eastAsia="Arial" w:hAnsi="Arial"/>
          <w:sz w:val="17"/>
          <w:szCs w:val="17"/>
          <w:color w:val="auto"/>
        </w:rPr>
        <w:t>anniversary of the grant date or cliff-vest on the third anniversary of the grant date. The number of performance-based restricted shares and restricted share units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159 thousand performance-based awards were outstanding as of March 31, 2022.</w:t>
      </w:r>
    </w:p>
    <w:p>
      <w:pPr>
        <w:spacing w:after="0" w:line="12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Market-Based Awards. </w:t>
      </w:r>
      <w:r>
        <w:rPr>
          <w:rFonts w:ascii="Arial" w:cs="Arial" w:eastAsia="Arial" w:hAnsi="Arial"/>
          <w:sz w:val="18"/>
          <w:szCs w:val="18"/>
          <w:color w:val="auto"/>
        </w:rPr>
        <w:t>50% of these awards generally vest if certain specific market conditions are achieved over a 30-day period and the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50% of these awards generally vest on the one year anniversary of the initial vesting.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Company estimates the grant date fair value of these awards using a lattice (binomial) model. A total of 112 thousand market-based awards were outstanding as of March 31, 2022.</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Performance-Based and Market-Based Awards. </w:t>
      </w:r>
      <w:r>
        <w:rPr>
          <w:rFonts w:ascii="Arial" w:cs="Arial" w:eastAsia="Arial" w:hAnsi="Arial"/>
          <w:sz w:val="18"/>
          <w:szCs w:val="18"/>
          <w:color w:val="auto"/>
        </w:rPr>
        <w:t>These awards generally vest if certain specific financial measures are achieved and if certain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are achieved. If the performance criteria achieved is above certain financial performance levels and Altisource’s share performance is above certain established criteria, participants have the 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98 thousand performance-based and market-based awards were outstanding as of March 31, 2022.</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388 thousand restricted share units (at a weighted average grant date fair value of $10.81 per share) during the three months ended March 31, 2022. These grants include 46 thousand performance-based awards that include both a performance condition and a market condition, and 46 thousand performance-based awards for the three months ended March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 and restricted share units: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restricted</w:t>
            </w:r>
          </w:p>
        </w:tc>
      </w:tr>
      <w:tr>
        <w:trPr>
          <w:trHeight w:val="135"/>
        </w:trPr>
        <w:tc>
          <w:tcPr>
            <w:tcW w:w="96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and restricted</w:t>
            </w:r>
          </w:p>
        </w:tc>
      </w:tr>
      <w:tr>
        <w:trPr>
          <w:trHeight w:val="188"/>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 units</w:t>
            </w:r>
          </w:p>
        </w:tc>
      </w:tr>
      <w:tr>
        <w:trPr>
          <w:trHeight w:val="197"/>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640" w:type="dxa"/>
            <w:vAlign w:val="bottom"/>
            <w:shd w:val="clear" w:color="auto" w:fill="CCEEFF"/>
          </w:tcPr>
          <w:p>
            <w:pPr>
              <w:jc w:val="center"/>
              <w:ind w:left="817"/>
              <w:spacing w:after="0"/>
              <w:rPr>
                <w:sz w:val="20"/>
                <w:szCs w:val="20"/>
                <w:color w:val="auto"/>
              </w:rPr>
            </w:pPr>
            <w:r>
              <w:rPr>
                <w:rFonts w:ascii="Arial" w:cs="Arial" w:eastAsia="Arial" w:hAnsi="Arial"/>
                <w:sz w:val="18"/>
                <w:szCs w:val="18"/>
                <w:color w:val="auto"/>
                <w:w w:val="89"/>
              </w:rPr>
              <w:t>677,175</w:t>
            </w:r>
          </w:p>
        </w:tc>
      </w:tr>
      <w:tr>
        <w:trPr>
          <w:trHeight w:val="229"/>
        </w:trPr>
        <w:tc>
          <w:tcPr>
            <w:tcW w:w="96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40" w:type="dxa"/>
            <w:vAlign w:val="bottom"/>
          </w:tcPr>
          <w:p>
            <w:pPr>
              <w:jc w:val="center"/>
              <w:ind w:left="817"/>
              <w:spacing w:after="0"/>
              <w:rPr>
                <w:sz w:val="20"/>
                <w:szCs w:val="20"/>
                <w:color w:val="auto"/>
              </w:rPr>
            </w:pPr>
            <w:r>
              <w:rPr>
                <w:rFonts w:ascii="Arial" w:cs="Arial" w:eastAsia="Arial" w:hAnsi="Arial"/>
                <w:sz w:val="18"/>
                <w:szCs w:val="18"/>
                <w:color w:val="auto"/>
                <w:w w:val="89"/>
              </w:rPr>
              <w:t>387,761</w:t>
            </w:r>
          </w:p>
        </w:tc>
      </w:tr>
      <w:tr>
        <w:trPr>
          <w:trHeight w:val="229"/>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w:t>
            </w:r>
          </w:p>
        </w:tc>
        <w:tc>
          <w:tcPr>
            <w:tcW w:w="1640" w:type="dxa"/>
            <w:vAlign w:val="bottom"/>
            <w:shd w:val="clear" w:color="auto" w:fill="CCEEFF"/>
          </w:tcPr>
          <w:p>
            <w:pPr>
              <w:jc w:val="center"/>
              <w:ind w:left="797"/>
              <w:spacing w:after="0"/>
              <w:rPr>
                <w:sz w:val="20"/>
                <w:szCs w:val="20"/>
                <w:color w:val="auto"/>
              </w:rPr>
            </w:pPr>
            <w:r>
              <w:rPr>
                <w:rFonts w:ascii="Arial" w:cs="Arial" w:eastAsia="Arial" w:hAnsi="Arial"/>
                <w:sz w:val="18"/>
                <w:szCs w:val="18"/>
                <w:color w:val="auto"/>
                <w:w w:val="93"/>
              </w:rPr>
              <w:t>(146,567)</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Forfeited/canceled</w:t>
            </w:r>
          </w:p>
        </w:tc>
        <w:tc>
          <w:tcPr>
            <w:tcW w:w="1640" w:type="dxa"/>
            <w:vAlign w:val="bottom"/>
            <w:tcBorders>
              <w:bottom w:val="single" w:sz="8" w:color="auto"/>
            </w:tcBorders>
          </w:tcPr>
          <w:p>
            <w:pPr>
              <w:jc w:val="center"/>
              <w:ind w:left="797"/>
              <w:spacing w:after="0"/>
              <w:rPr>
                <w:sz w:val="20"/>
                <w:szCs w:val="20"/>
                <w:color w:val="auto"/>
              </w:rPr>
            </w:pPr>
            <w:r>
              <w:rPr>
                <w:rFonts w:ascii="Arial" w:cs="Arial" w:eastAsia="Arial" w:hAnsi="Arial"/>
                <w:sz w:val="18"/>
                <w:szCs w:val="18"/>
                <w:color w:val="auto"/>
                <w:w w:val="93"/>
              </w:rPr>
              <w:t>(126,564)</w:t>
            </w:r>
          </w:p>
        </w:tc>
      </w:tr>
      <w:tr>
        <w:trPr>
          <w:trHeight w:val="196"/>
        </w:trPr>
        <w:tc>
          <w:tcPr>
            <w:tcW w:w="96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Outstanding as of March 31, 2022</w:t>
            </w:r>
          </w:p>
        </w:tc>
        <w:tc>
          <w:tcPr>
            <w:tcW w:w="1640" w:type="dxa"/>
            <w:vAlign w:val="bottom"/>
            <w:tcBorders>
              <w:bottom w:val="single" w:sz="8" w:color="auto"/>
            </w:tcBorders>
          </w:tcPr>
          <w:p>
            <w:pPr>
              <w:jc w:val="center"/>
              <w:ind w:left="817"/>
              <w:spacing w:after="0"/>
              <w:rPr>
                <w:sz w:val="20"/>
                <w:szCs w:val="20"/>
                <w:color w:val="auto"/>
              </w:rPr>
            </w:pPr>
            <w:r>
              <w:rPr>
                <w:rFonts w:ascii="Arial" w:cs="Arial" w:eastAsia="Arial" w:hAnsi="Arial"/>
                <w:sz w:val="18"/>
                <w:szCs w:val="18"/>
                <w:color w:val="auto"/>
                <w:w w:val="89"/>
              </w:rPr>
              <w:t>791,805</w:t>
            </w:r>
          </w:p>
        </w:tc>
      </w:tr>
      <w:tr>
        <w:trPr>
          <w:trHeight w:val="21"/>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income to arrive at net income attributable to Altisource (see Note 1). Our services are provided to customers located in the United States. The components of revenue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9"/>
        </w:trPr>
        <w:tc>
          <w:tcPr>
            <w:tcW w:w="3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48,080</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Reimbursable expenses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6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total revenues by segment and major source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 March 31, 2022</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Revenue recognized</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Revenue related to</w:t>
            </w: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when services are</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technology platforms</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Reimbursable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performed or assets</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and professional</w:t>
            </w:r>
          </w:p>
        </w:tc>
        <w:tc>
          <w:tcPr>
            <w:tcW w:w="1560" w:type="dxa"/>
            <w:vAlign w:val="bottom"/>
            <w:gridSpan w:val="2"/>
            <w:vMerge w:val="continue"/>
          </w:tcPr>
          <w:p>
            <w:pPr>
              <w:spacing w:after="0"/>
              <w:rPr>
                <w:sz w:val="11"/>
                <w:szCs w:val="11"/>
                <w:color w:val="auto"/>
              </w:rPr>
            </w:pPr>
          </w:p>
        </w:tc>
        <w:tc>
          <w:tcPr>
            <w:tcW w:w="14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88"/>
        </w:trPr>
        <w:tc>
          <w:tcPr>
            <w:tcW w:w="4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are sold</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10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expenses revenue</w:t>
            </w:r>
          </w:p>
        </w:tc>
        <w:tc>
          <w:tcPr>
            <w:tcW w:w="10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Origination</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39,516</w:t>
            </w:r>
          </w:p>
        </w:tc>
        <w:tc>
          <w:tcPr>
            <w:tcW w:w="0" w:type="dxa"/>
            <w:vAlign w:val="bottom"/>
          </w:tcPr>
          <w:p>
            <w:pPr>
              <w:spacing w:after="0"/>
              <w:rPr>
                <w:sz w:val="1"/>
                <w:szCs w:val="1"/>
                <w:color w:val="auto"/>
              </w:rPr>
            </w:pPr>
          </w:p>
        </w:tc>
      </w:tr>
      <w:tr>
        <w:trPr>
          <w:trHeight w:val="467"/>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 March 31, 2021</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Revenue recognized</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Revenue related to</w:t>
            </w: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when services are</w:t>
            </w: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technology platforms</w:t>
            </w:r>
          </w:p>
        </w:tc>
        <w:tc>
          <w:tcPr>
            <w:tcW w:w="16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Reimbursable</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1"/>
                <w:szCs w:val="11"/>
                <w:color w:val="auto"/>
              </w:rPr>
            </w:pPr>
          </w:p>
        </w:tc>
        <w:tc>
          <w:tcPr>
            <w:tcW w:w="14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performed or assets</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and professional</w:t>
            </w:r>
          </w:p>
        </w:tc>
        <w:tc>
          <w:tcPr>
            <w:tcW w:w="16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 revenue</w:t>
            </w:r>
          </w:p>
        </w:tc>
        <w:tc>
          <w:tcPr>
            <w:tcW w:w="0" w:type="dxa"/>
            <w:vAlign w:val="bottom"/>
          </w:tcPr>
          <w:p>
            <w:pPr>
              <w:spacing w:after="0"/>
              <w:rPr>
                <w:sz w:val="1"/>
                <w:szCs w:val="1"/>
                <w:color w:val="auto"/>
              </w:rPr>
            </w:pPr>
          </w:p>
        </w:tc>
      </w:tr>
      <w:tr>
        <w:trPr>
          <w:trHeight w:val="188"/>
        </w:trPr>
        <w:tc>
          <w:tcPr>
            <w:tcW w:w="5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are sold</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services</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expenses revenue</w:t>
            </w: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Servicer and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32,641</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Origination</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17,267</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and Others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4"/>
        </w:trPr>
        <w:tc>
          <w:tcPr>
            <w:tcW w:w="502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45,251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50,465</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contract assets consist of unbilled accounts receivable (see Note 4). Our contract liabilities consist of current deferred revenue and other non-current liabilities as reported on the accompanying condensed consolidated balance sheets. Revenue recognized that was included in the contract liability at the beginning of the period was $1.8 million and $2.2 million for the three months ended March 31, 2022 and 2021,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COST OF REVENUE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9"/>
        </w:trPr>
        <w:tc>
          <w:tcPr>
            <w:tcW w:w="41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4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Outside fees and services</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18,723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Reimbursable expenses</w:t>
            </w: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196"/>
        </w:trPr>
        <w:tc>
          <w:tcPr>
            <w:tcW w:w="410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50,158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0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18 — OTHER (EXPENSE) INCOME,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60" w:type="dxa"/>
            <w:vAlign w:val="bottom"/>
            <w:gridSpan w:val="2"/>
          </w:tcPr>
          <w:p>
            <w:pPr>
              <w:spacing w:after="0"/>
              <w:rPr>
                <w:sz w:val="20"/>
                <w:szCs w:val="20"/>
                <w:color w:val="auto"/>
              </w:rPr>
            </w:pPr>
            <w:r>
              <w:rPr>
                <w:rFonts w:ascii="Arial" w:cs="Arial" w:eastAsia="Arial" w:hAnsi="Arial"/>
                <w:sz w:val="18"/>
                <w:szCs w:val="18"/>
                <w:color w:val="auto"/>
              </w:rPr>
              <w:t>Other (expense) income, net consists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196"/>
        </w:trPr>
        <w:tc>
          <w:tcPr>
            <w:tcW w:w="8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an income tax provision of $0.9 million and $0.8 million for the three months ended March 31, 2022 and 2021, respectively. The income tax provision for the three months ended March 31, 2022 was driven by income tax on transfer pricing income from India, no tax benefit on the pretax loss from our Luxembourg operating company and uncertain tax positions.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LOSS PER SHARE</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Basic loss per share is computed by dividing loss available to common shareholders by the weighted average number of common shares outstanding for the period. Diluted net loss per share excludes all dilutive securities because their impact would be anti-dilutive, as described below.</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are calculated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40" w:type="dxa"/>
            <w:vAlign w:val="bottom"/>
          </w:tcPr>
          <w:p>
            <w:pPr>
              <w:spacing w:after="0"/>
              <w:rPr>
                <w:sz w:val="17"/>
                <w:szCs w:val="17"/>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5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Altisource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8"/>
        </w:trPr>
        <w:tc>
          <w:tcPr>
            <w:tcW w:w="82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common shares outstanding, basic</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15,956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15,717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55"/>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2022 and 2021, 1.5 million and 1.7 million, respectively, stock options, restricted shares and restricted share units, were excluded from the computation of loss per share, as a result of the following:</w:t>
      </w:r>
    </w:p>
    <w:p>
      <w:pPr>
        <w:spacing w:after="0" w:line="116" w:lineRule="exact"/>
        <w:rPr>
          <w:sz w:val="20"/>
          <w:szCs w:val="20"/>
          <w:color w:val="auto"/>
        </w:rPr>
      </w:pPr>
    </w:p>
    <w:p>
      <w:pPr>
        <w:ind w:left="500" w:right="20" w:hanging="330"/>
        <w:spacing w:after="0" w:line="258"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both the three months ended March 31, 2022 and 2021, 0.3 million stock options, restricted shares and restricted share units were anti-dilutive and have been excluded from the computation of diluted loss per share because the Company incurred a net loss</w:t>
      </w:r>
    </w:p>
    <w:p>
      <w:pPr>
        <w:spacing w:after="0" w:line="1" w:lineRule="exact"/>
        <w:rPr>
          <w:rFonts w:ascii="Arial" w:cs="Arial" w:eastAsia="Arial" w:hAnsi="Arial"/>
          <w:sz w:val="18"/>
          <w:szCs w:val="18"/>
          <w:color w:val="auto"/>
        </w:rPr>
      </w:pPr>
    </w:p>
    <w:p>
      <w:pPr>
        <w:ind w:left="500" w:hanging="330"/>
        <w:spacing w:after="0" w:line="250"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both the three months ended March 31, 2022 and 2021, 0.3 million stock options were anti-dilutive and have been excluded from the computation of diluted loss per share because their exercise price was greater than the average market price of our common stock</w:t>
      </w:r>
    </w:p>
    <w:p>
      <w:pPr>
        <w:jc w:val="both"/>
        <w:ind w:left="500" w:hanging="330"/>
        <w:spacing w:after="0" w:line="253" w:lineRule="auto"/>
        <w:tabs>
          <w:tab w:leader="none" w:pos="49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months ended March 31, 2022 and 2021, 0.9 million and 1.2 million, respectively, stock options, restricted shares and restricted share units, which begin to vest upon the achievement of certain market criteria related to our common stock price, performance criteria and a total shareholder return compared to the market benchmark, that have not yet been met in each period have been excluded from the computation of diluted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COMMITMENTS, CONTINGENCIES AND REGULATORY MATTERS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 during the three months ended March 31, 2022, Ocwen was our largest customer, accounting for 35% of our total revenue. Additionally, 6% of our revenue for the three months ended March 31, 2022 was earned on the loan portfolios serviced by Ocwen, when a party other than Ocwen or the MSRs owner selected Altisource as the service provider.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Ocwen has disclosed that NRZ is its largest client. As of December 31, 2021, approximately 21% of loans serviced and subserviced by Ocwen (measured in UPB) were related to NRZ MSRs or rights to MSRs.</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NRZ changes significantly, including Ocwen’s sub-servicing arrangement with NRZ expiring without renewal, and this change results in a change in our status as a provider of services related to the Subject MSRs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ind w:right="2180"/>
        <w:spacing w:after="0" w:line="438" w:lineRule="auto"/>
        <w:rPr>
          <w:sz w:val="20"/>
          <w:szCs w:val="20"/>
          <w:color w:val="auto"/>
        </w:rPr>
      </w:pPr>
      <w:r>
        <w:rPr>
          <w:rFonts w:ascii="Arial" w:cs="Arial" w:eastAsia="Arial" w:hAnsi="Arial"/>
          <w:sz w:val="18"/>
          <w:szCs w:val="18"/>
          <w:color w:val="auto"/>
        </w:rPr>
        <w:t xml:space="preserve">Management cannot predict whether any of these events will occur or the amount of any impact they may have on Altisource. </w:t>
      </w:r>
      <w:r>
        <w:rPr>
          <w:rFonts w:ascii="Arial" w:cs="Arial" w:eastAsia="Arial" w:hAnsi="Arial"/>
          <w:sz w:val="18"/>
          <w:szCs w:val="18"/>
          <w:b w:val="1"/>
          <w:bCs w:val="1"/>
          <w:color w:val="auto"/>
        </w:rPr>
        <w:t>Leases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certain premises and equipment, primarily consisting of office space and information technology equipment.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$0.3 million for the three months ended March 31, 2022 and 2021. The amortization periods of right-of-use assets are generally limited by the expected lease term. Our leases generally have expected lease terms at adoption of one to six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lease terms and our discount rate assumption is as follows for the three months ended March 31: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5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3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2021</w:t>
            </w:r>
          </w:p>
        </w:tc>
      </w:tr>
      <w:tr>
        <w:trPr>
          <w:trHeight w:val="202"/>
        </w:trPr>
        <w:tc>
          <w:tcPr>
            <w:tcW w:w="45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5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5260" w:type="dxa"/>
            <w:vAlign w:val="bottom"/>
            <w:gridSpan w:val="2"/>
          </w:tcPr>
          <w:p>
            <w:pPr>
              <w:jc w:val="right"/>
              <w:ind w:right="20"/>
              <w:spacing w:after="0"/>
              <w:rPr>
                <w:sz w:val="20"/>
                <w:szCs w:val="20"/>
                <w:color w:val="auto"/>
              </w:rPr>
            </w:pPr>
            <w:r>
              <w:rPr>
                <w:rFonts w:ascii="Arial" w:cs="Arial" w:eastAsia="Arial" w:hAnsi="Arial"/>
                <w:sz w:val="18"/>
                <w:szCs w:val="18"/>
                <w:color w:val="auto"/>
              </w:rPr>
              <w:t>5.70 %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7.01 %</w:t>
            </w:r>
          </w:p>
        </w:tc>
      </w:tr>
      <w:tr>
        <w:trPr>
          <w:trHeight w:val="904"/>
        </w:trPr>
        <w:tc>
          <w:tcPr>
            <w:tcW w:w="4560" w:type="dxa"/>
            <w:vAlign w:val="bottom"/>
          </w:tcPr>
          <w:p>
            <w:pPr>
              <w:spacing w:after="0"/>
              <w:rPr>
                <w:sz w:val="24"/>
                <w:szCs w:val="24"/>
                <w:color w:val="auto"/>
              </w:rPr>
            </w:pPr>
          </w:p>
        </w:tc>
        <w:tc>
          <w:tcPr>
            <w:tcW w:w="3960" w:type="dxa"/>
            <w:vAlign w:val="bottom"/>
          </w:tcPr>
          <w:p>
            <w:pPr>
              <w:jc w:val="right"/>
              <w:ind w:right="2715"/>
              <w:spacing w:after="0"/>
              <w:rPr>
                <w:sz w:val="20"/>
                <w:szCs w:val="20"/>
                <w:color w:val="auto"/>
              </w:rPr>
            </w:pPr>
            <w:r>
              <w:rPr>
                <w:rFonts w:ascii="Arial" w:cs="Arial" w:eastAsia="Arial" w:hAnsi="Arial"/>
                <w:sz w:val="18"/>
                <w:szCs w:val="18"/>
                <w:color w:val="auto"/>
              </w:rPr>
              <w:t>22</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Our lease activity during the period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6"/>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1100" w:type="dxa"/>
            <w:vAlign w:val="bottom"/>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9"/>
        </w:trPr>
        <w:tc>
          <w:tcPr>
            <w:tcW w:w="8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 for amounts included in the measurement of lease liabilities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Short-term (twelve months or less) lease costs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472"/>
        </w:trPr>
        <w:tc>
          <w:tcPr>
            <w:tcW w:w="8260" w:type="dxa"/>
            <w:vAlign w:val="bottom"/>
            <w:gridSpan w:val="2"/>
          </w:tcPr>
          <w:p>
            <w:pPr>
              <w:spacing w:after="0"/>
              <w:rPr>
                <w:sz w:val="20"/>
                <w:szCs w:val="20"/>
                <w:color w:val="auto"/>
              </w:rPr>
            </w:pPr>
            <w:r>
              <w:rPr>
                <w:rFonts w:ascii="Arial" w:cs="Arial" w:eastAsia="Arial" w:hAnsi="Arial"/>
                <w:sz w:val="18"/>
                <w:szCs w:val="18"/>
                <w:color w:val="auto"/>
              </w:rPr>
              <w:t>Maturities of our lease liabilities as of March 31, 2022 are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6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114"/>
              <w:spacing w:after="0"/>
              <w:rPr>
                <w:sz w:val="20"/>
                <w:szCs w:val="20"/>
                <w:color w:val="auto"/>
              </w:rPr>
            </w:pPr>
            <w:r>
              <w:rPr>
                <w:rFonts w:ascii="Arial" w:cs="Arial" w:eastAsia="Arial" w:hAnsi="Arial"/>
                <w:sz w:val="14"/>
                <w:szCs w:val="14"/>
                <w:b w:val="1"/>
                <w:bCs w:val="1"/>
                <w:color w:val="auto"/>
                <w:w w:val="89"/>
              </w:rPr>
              <w:t>Operating lease</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197"/>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96"/>
        </w:trPr>
        <w:tc>
          <w:tcPr>
            <w:tcW w:w="8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Balances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accompanying condensed consolidated balance sheets. Amounts held in escrow accounts were $23.3 million and $27.5 million as of March 31, 2022 and December 31, 2021,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SEGMENT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Effective January 1, 2022,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new reportable segments: </w:t>
      </w:r>
      <w:r>
        <w:rPr>
          <w:rFonts w:ascii="Arial" w:cs="Arial" w:eastAsia="Arial" w:hAnsi="Arial"/>
          <w:sz w:val="17"/>
          <w:szCs w:val="17"/>
          <w:i w:val="1"/>
          <w:iCs w:val="1"/>
          <w:color w:val="auto"/>
        </w:rPr>
        <w:t>Servicer and Real Estate</w:t>
      </w:r>
      <w:r>
        <w:rPr>
          <w:rFonts w:ascii="Arial" w:cs="Arial" w:eastAsia="Arial" w:hAnsi="Arial"/>
          <w:sz w:val="17"/>
          <w:szCs w:val="17"/>
          <w:color w:val="auto"/>
        </w:rPr>
        <w:t xml:space="preserve"> and </w:t>
      </w:r>
      <w:r>
        <w:rPr>
          <w:rFonts w:ascii="Arial" w:cs="Arial" w:eastAsia="Arial" w:hAnsi="Arial"/>
          <w:sz w:val="17"/>
          <w:szCs w:val="17"/>
          <w:i w:val="1"/>
          <w:iCs w:val="1"/>
          <w:color w:val="auto"/>
        </w:rPr>
        <w:t>Origination</w:t>
      </w:r>
      <w:r>
        <w:rPr>
          <w:rFonts w:ascii="Arial" w:cs="Arial" w:eastAsia="Arial" w:hAnsi="Arial"/>
          <w:sz w:val="17"/>
          <w:szCs w:val="17"/>
          <w:color w:val="auto"/>
        </w:rPr>
        <w:t xml:space="preserve">. In addition, we report </w:t>
      </w:r>
      <w:r>
        <w:rPr>
          <w:rFonts w:ascii="Arial" w:cs="Arial" w:eastAsia="Arial" w:hAnsi="Arial"/>
          <w:sz w:val="17"/>
          <w:szCs w:val="17"/>
          <w:i w:val="1"/>
          <w:iCs w:val="1"/>
          <w:color w:val="auto"/>
        </w:rPr>
        <w:t>Corporate and Others</w:t>
      </w:r>
      <w:r>
        <w:rPr>
          <w:rFonts w:ascii="Arial" w:cs="Arial" w:eastAsia="Arial" w:hAnsi="Arial"/>
          <w:sz w:val="17"/>
          <w:szCs w:val="17"/>
          <w:color w:val="auto"/>
        </w:rPr>
        <w:t xml:space="preserve"> separately. Prior to the January 1, 2022 change in reportable segments, the Company operated with one reportable segment (total Company). Prior year comparable period segment disclosures have been restated to conform to the current year presentation.</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Servicer and Real Estate</w:t>
      </w:r>
      <w:r>
        <w:rPr>
          <w:rFonts w:ascii="Arial" w:cs="Arial" w:eastAsia="Arial" w:hAnsi="Arial"/>
          <w:sz w:val="17"/>
          <w:szCs w:val="17"/>
          <w:color w:val="auto"/>
        </w:rPr>
        <w:t xml:space="preserve"> segment provides loan servicers and real estate investors with solutions and technologies that span the mortgage and real estate lifecycle. The </w:t>
      </w:r>
      <w:r>
        <w:rPr>
          <w:rFonts w:ascii="Arial" w:cs="Arial" w:eastAsia="Arial" w:hAnsi="Arial"/>
          <w:sz w:val="17"/>
          <w:szCs w:val="17"/>
          <w:i w:val="1"/>
          <w:iCs w:val="1"/>
          <w:color w:val="auto"/>
        </w:rPr>
        <w:t>Origination</w:t>
      </w:r>
      <w:r>
        <w:rPr>
          <w:rFonts w:ascii="Arial" w:cs="Arial" w:eastAsia="Arial" w:hAnsi="Arial"/>
          <w:sz w:val="17"/>
          <w:szCs w:val="17"/>
          <w:color w:val="auto"/>
        </w:rPr>
        <w:t xml:space="preserve"> segment provides originators with solutions and technologies that span the mortgage origination lifecycle. </w:t>
      </w:r>
      <w:r>
        <w:rPr>
          <w:rFonts w:ascii="Arial" w:cs="Arial" w:eastAsia="Arial" w:hAnsi="Arial"/>
          <w:sz w:val="17"/>
          <w:szCs w:val="17"/>
          <w:i w:val="1"/>
          <w:iCs w:val="1"/>
          <w:color w:val="auto"/>
        </w:rPr>
        <w:t>Corporate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Others </w:t>
      </w:r>
      <w:r>
        <w:rPr>
          <w:rFonts w:ascii="Arial" w:cs="Arial" w:eastAsia="Arial" w:hAnsi="Arial"/>
          <w:sz w:val="17"/>
          <w:szCs w:val="17"/>
          <w:color w:val="auto"/>
        </w:rPr>
        <w:t>includes Pointillist (sold on December 1, 2021), interest expense and costs related to corporate functions including executive, finance, law,</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human resources, vendor management, facilities, risk management, as well as eliminations between reportable segments.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2022</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Servicer and Real</w:t>
            </w:r>
          </w:p>
        </w:tc>
        <w:tc>
          <w:tcPr>
            <w:tcW w:w="20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Corporate and</w:t>
            </w:r>
          </w:p>
        </w:tc>
        <w:tc>
          <w:tcPr>
            <w:tcW w:w="200" w:type="dxa"/>
            <w:vAlign w:val="bottom"/>
          </w:tcPr>
          <w:p>
            <w:pPr>
              <w:spacing w:after="0"/>
              <w:rPr>
                <w:sz w:val="11"/>
                <w:szCs w:val="11"/>
                <w:color w:val="auto"/>
              </w:rPr>
            </w:pPr>
          </w:p>
        </w:tc>
        <w:tc>
          <w:tcPr>
            <w:tcW w:w="11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8"/>
        </w:trPr>
        <w:tc>
          <w:tcPr>
            <w:tcW w:w="5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Others</w:t>
            </w:r>
          </w:p>
        </w:tc>
        <w:tc>
          <w:tcPr>
            <w:tcW w:w="200" w:type="dxa"/>
            <w:vAlign w:val="bottom"/>
          </w:tcPr>
          <w:p>
            <w:pPr>
              <w:spacing w:after="0"/>
              <w:rPr>
                <w:sz w:val="16"/>
                <w:szCs w:val="16"/>
                <w:color w:val="auto"/>
              </w:rPr>
            </w:pPr>
          </w:p>
        </w:tc>
        <w:tc>
          <w:tcPr>
            <w:tcW w:w="114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7"/>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39,516</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33,869</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13,974</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5,737</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(16,433)</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(11,143)</w:t>
            </w:r>
          </w:p>
        </w:tc>
        <w:tc>
          <w:tcPr>
            <w:tcW w:w="0" w:type="dxa"/>
            <w:vAlign w:val="bottom"/>
          </w:tcPr>
          <w:p>
            <w:pPr>
              <w:spacing w:after="0"/>
              <w:rPr>
                <w:sz w:val="1"/>
                <w:szCs w:val="1"/>
                <w:color w:val="auto"/>
              </w:rPr>
            </w:pPr>
          </w:p>
        </w:tc>
      </w:tr>
      <w:tr>
        <w:trPr>
          <w:trHeight w:val="208"/>
        </w:trPr>
        <w:tc>
          <w:tcPr>
            <w:tcW w:w="56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 2021</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6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Servicer and Real</w:t>
            </w:r>
          </w:p>
        </w:tc>
        <w:tc>
          <w:tcPr>
            <w:tcW w:w="20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Corporate and</w:t>
            </w:r>
          </w:p>
        </w:tc>
        <w:tc>
          <w:tcPr>
            <w:tcW w:w="200" w:type="dxa"/>
            <w:vAlign w:val="bottom"/>
          </w:tcPr>
          <w:p>
            <w:pPr>
              <w:spacing w:after="0"/>
              <w:rPr>
                <w:sz w:val="11"/>
                <w:szCs w:val="11"/>
                <w:color w:val="auto"/>
              </w:rPr>
            </w:pPr>
          </w:p>
        </w:tc>
        <w:tc>
          <w:tcPr>
            <w:tcW w:w="114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8"/>
        </w:trPr>
        <w:tc>
          <w:tcPr>
            <w:tcW w:w="5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Others</w:t>
            </w:r>
          </w:p>
        </w:tc>
        <w:tc>
          <w:tcPr>
            <w:tcW w:w="200" w:type="dxa"/>
            <w:vAlign w:val="bottom"/>
          </w:tcPr>
          <w:p>
            <w:pPr>
              <w:spacing w:after="0"/>
              <w:rPr>
                <w:sz w:val="16"/>
                <w:szCs w:val="16"/>
                <w:color w:val="auto"/>
              </w:rPr>
            </w:pPr>
          </w:p>
        </w:tc>
        <w:tc>
          <w:tcPr>
            <w:tcW w:w="114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7"/>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50,465</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50,158</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18,886</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(18,579)</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Income (loss) before income taxes and</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(21,072)</w:t>
            </w:r>
          </w:p>
        </w:tc>
        <w:tc>
          <w:tcPr>
            <w:tcW w:w="0" w:type="dxa"/>
            <w:vAlign w:val="bottom"/>
          </w:tcPr>
          <w:p>
            <w:pPr>
              <w:spacing w:after="0"/>
              <w:rPr>
                <w:sz w:val="1"/>
                <w:szCs w:val="1"/>
                <w:color w:val="auto"/>
              </w:rPr>
            </w:pPr>
          </w:p>
        </w:tc>
      </w:tr>
      <w:tr>
        <w:trPr>
          <w:trHeight w:val="208"/>
        </w:trPr>
        <w:tc>
          <w:tcPr>
            <w:tcW w:w="56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6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Servicer and Real</w:t>
            </w:r>
          </w:p>
        </w:tc>
        <w:tc>
          <w:tcPr>
            <w:tcW w:w="200" w:type="dxa"/>
            <w:vAlign w:val="bottom"/>
          </w:tcPr>
          <w:p>
            <w:pPr>
              <w:spacing w:after="0"/>
              <w:rPr>
                <w:sz w:val="24"/>
                <w:szCs w:val="2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Corporate and</w:t>
            </w:r>
          </w:p>
        </w:tc>
        <w:tc>
          <w:tcPr>
            <w:tcW w:w="200" w:type="dxa"/>
            <w:vAlign w:val="bottom"/>
          </w:tcPr>
          <w:p>
            <w:pPr>
              <w:spacing w:after="0"/>
              <w:rPr>
                <w:sz w:val="24"/>
                <w:szCs w:val="24"/>
                <w:color w:val="auto"/>
              </w:rPr>
            </w:pPr>
          </w:p>
        </w:tc>
        <w:tc>
          <w:tcPr>
            <w:tcW w:w="114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8"/>
        </w:trPr>
        <w:tc>
          <w:tcPr>
            <w:tcW w:w="5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Others</w:t>
            </w:r>
          </w:p>
        </w:tc>
        <w:tc>
          <w:tcPr>
            <w:tcW w:w="200" w:type="dxa"/>
            <w:vAlign w:val="bottom"/>
          </w:tcPr>
          <w:p>
            <w:pPr>
              <w:spacing w:after="0"/>
              <w:rPr>
                <w:sz w:val="16"/>
                <w:szCs w:val="16"/>
                <w:color w:val="auto"/>
              </w:rPr>
            </w:pPr>
          </w:p>
        </w:tc>
        <w:tc>
          <w:tcPr>
            <w:tcW w:w="114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7"/>
        </w:trPr>
        <w:tc>
          <w:tcPr>
            <w:tcW w:w="5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March 31, 2022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64,451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59,829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115,497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239,777</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2021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257,808</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Our services are provided to customers primarily located in the United States. Premises and equipment net, consist of the following, by country: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3260" w:type="dxa"/>
            <w:vAlign w:val="bottom"/>
            <w:tcBorders>
              <w:bottom w:val="single" w:sz="8" w:color="auto"/>
            </w:tcBorders>
            <w:vMerge w:val="continue"/>
          </w:tcPr>
          <w:p>
            <w:pPr>
              <w:spacing w:after="0"/>
              <w:rPr>
                <w:sz w:val="16"/>
                <w:szCs w:val="16"/>
                <w:color w:val="auto"/>
              </w:rPr>
            </w:pPr>
          </w:p>
        </w:tc>
        <w:tc>
          <w:tcPr>
            <w:tcW w:w="4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5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India</w:t>
            </w:r>
          </w:p>
        </w:tc>
        <w:tc>
          <w:tcPr>
            <w:tcW w:w="4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Uruguay</w:t>
            </w:r>
          </w:p>
        </w:tc>
        <w:tc>
          <w:tcPr>
            <w:tcW w:w="4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326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52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4900" w:type="dxa"/>
            <w:vAlign w:val="bottom"/>
            <w:vMerge w:val="restart"/>
          </w:tcPr>
          <w:p>
            <w:pPr>
              <w:jc w:val="right"/>
              <w:ind w:right="23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6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2021 filed with the Securities and Exchange Commission (“SEC”) on March 3, 2022. We determined that as of June 30, 2021, Altisource qualifies as a smaller reporting company (“SRC”) pursuant to Regulation S-K promulgated by the SEC (“Reg. S-K”) since its public float (as defined by Reg. S-K) was less than $250 million as of such date. We have elected to file as an SRC. Altisource remains an accelerated filer for SEC filing purposes based on its annual revenue.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1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related to sources of liquidity and the adequacy of financial resources;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our ability to improve margins and affect anticipated expense reductions in response to lower revenue due to COVID-19, or other factors;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about the variable nature of our cost structure that would allow us to realign our cost structure in line with revenue;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assumptions regarding the impacts of the COVID-19 pandemic and the timeliness and effectiveness of actions taken in response thereto;</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Important factors that could cause actual results to differ materially from those suggested by the forward-looking statements include, but are not limited to, the risks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of our Form 10-K for the year ended December 31, 2021 including:</w:t>
      </w:r>
    </w:p>
    <w:p>
      <w:pPr>
        <w:spacing w:after="0" w:line="116"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the anticipated increase in default related referrals following the expiration of foreclosure and eviction moratoriums, forbearance programs and temporary governmental loss mitigation requirements, the timing of the expiration of such moratoriums, programs and requirements, and any other delays occasioned by government, investor or servicer actions;</w:t>
      </w:r>
    </w:p>
    <w:p>
      <w:pPr>
        <w:spacing w:after="0" w:line="2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Ocwen Financial Corporation (together with its subsidiaries, “Ocwen”) as a customer or our ability to receive the anticipated volume of referrals from Ocwen;</w:t>
      </w:r>
    </w:p>
    <w:p>
      <w:pPr>
        <w:spacing w:after="0" w:line="1"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New Residential Investment Corp. (individually, together with one or more of its subsidiaries, or one or more of its subsidiaries individually, “NRZ”) as a customer or our ability to receive the anticipated volume of referrals from NRZ;</w:t>
      </w:r>
    </w:p>
    <w:p>
      <w:pPr>
        <w:spacing w:after="0" w:line="1"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execute on our strategic plan;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comply with governmental regulations and policies and any changes in such regulations and policies;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develop, launch and gain market acceptance of new solutions or recoup our investments in developing such new solutions;</w:t>
      </w:r>
    </w:p>
    <w:p>
      <w:pPr>
        <w:spacing w:after="0" w:line="61"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technology incidents, data breaches and cybersecurity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changes in tax regulations and interpretations in the countries, states and local jurisdictions in which we operate; and</w:t>
      </w:r>
    </w:p>
    <w:p>
      <w:pPr>
        <w:spacing w:after="0" w:line="49"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risks and uncertainties related to pandemics, epidemics or other force majeure events, including the COVID-19 pandemic, and associated impacts on the economy, supply chain, transportation, movement of people, availability of vendors and demand for our products or services as well as increased costs, recommendations or restrictions imposed by governmental entities, changes in relevant business practices undertaken or imposed by our clients, vendors or regulators, impacts on contracts and client relationships and potential litigation exposure.</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caution the reader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Effective January 1, 2022, our reportable segments changed as a result of a change in the way our Chief Executive Officer (our chief operating decision maker) manages our businesses, allocates resources and evaluates performance, and the related changes in our internal organization. We now report our operations through two new reportable segments: </w:t>
      </w:r>
      <w:r>
        <w:rPr>
          <w:rFonts w:ascii="Arial" w:cs="Arial" w:eastAsia="Arial" w:hAnsi="Arial"/>
          <w:sz w:val="17"/>
          <w:szCs w:val="17"/>
          <w:i w:val="1"/>
          <w:iCs w:val="1"/>
          <w:color w:val="auto"/>
        </w:rPr>
        <w:t>Servicer and Real Estate</w:t>
      </w:r>
      <w:r>
        <w:rPr>
          <w:rFonts w:ascii="Arial" w:cs="Arial" w:eastAsia="Arial" w:hAnsi="Arial"/>
          <w:sz w:val="17"/>
          <w:szCs w:val="17"/>
          <w:color w:val="auto"/>
        </w:rPr>
        <w:t xml:space="preserve"> and </w:t>
      </w:r>
      <w:r>
        <w:rPr>
          <w:rFonts w:ascii="Arial" w:cs="Arial" w:eastAsia="Arial" w:hAnsi="Arial"/>
          <w:sz w:val="17"/>
          <w:szCs w:val="17"/>
          <w:i w:val="1"/>
          <w:iCs w:val="1"/>
          <w:color w:val="auto"/>
        </w:rPr>
        <w:t>Origination</w:t>
      </w:r>
      <w:r>
        <w:rPr>
          <w:rFonts w:ascii="Arial" w:cs="Arial" w:eastAsia="Arial" w:hAnsi="Arial"/>
          <w:sz w:val="17"/>
          <w:szCs w:val="17"/>
          <w:color w:val="auto"/>
        </w:rPr>
        <w:t xml:space="preserve">. In addition, we report </w:t>
      </w:r>
      <w:r>
        <w:rPr>
          <w:rFonts w:ascii="Arial" w:cs="Arial" w:eastAsia="Arial" w:hAnsi="Arial"/>
          <w:sz w:val="17"/>
          <w:szCs w:val="17"/>
          <w:i w:val="1"/>
          <w:iCs w:val="1"/>
          <w:color w:val="auto"/>
        </w:rPr>
        <w:t>Corporate and Others</w:t>
      </w:r>
      <w:r>
        <w:rPr>
          <w:rFonts w:ascii="Arial" w:cs="Arial" w:eastAsia="Arial" w:hAnsi="Arial"/>
          <w:sz w:val="17"/>
          <w:szCs w:val="17"/>
          <w:color w:val="auto"/>
        </w:rPr>
        <w:t xml:space="preserve"> separately. Prior to the January 1, 2022 change in reportable segments, the Company operated with one reportable segment (total Company). Prior year comparable period segment disclosures have been restated to conform to the current year presentation.</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Servicer and Real Estate</w:t>
      </w:r>
      <w:r>
        <w:rPr>
          <w:rFonts w:ascii="Arial" w:cs="Arial" w:eastAsia="Arial" w:hAnsi="Arial"/>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Solutions</w:t>
      </w:r>
    </w:p>
    <w:p>
      <w:pPr>
        <w:spacing w:after="0" w:line="158" w:lineRule="exact"/>
        <w:rPr>
          <w:sz w:val="20"/>
          <w:szCs w:val="20"/>
          <w:color w:val="auto"/>
        </w:rPr>
      </w:pPr>
    </w:p>
    <w:p>
      <w:pPr>
        <w:jc w:val="both"/>
        <w:ind w:left="660"/>
        <w:spacing w:after="0" w:line="274" w:lineRule="auto"/>
        <w:rPr>
          <w:sz w:val="20"/>
          <w:szCs w:val="20"/>
          <w:color w:val="auto"/>
        </w:rPr>
      </w:pPr>
      <w:r>
        <w:rPr>
          <w:rFonts w:ascii="Arial" w:cs="Arial" w:eastAsia="Arial" w:hAnsi="Arial"/>
          <w:sz w:val="17"/>
          <w:szCs w:val="17"/>
          <w:color w:val="auto"/>
        </w:rPr>
        <w:t>Our Solutions business includes property preservation and inspection services, title insurance (as an agent) and settlement services, real estate valuation services, foreclosure trustee services, and residential and commercial construction inspection and risk mitigation services.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Marketplace</w:t>
      </w:r>
    </w:p>
    <w:p>
      <w:pPr>
        <w:spacing w:after="0" w:line="166" w:lineRule="exact"/>
        <w:rPr>
          <w:sz w:val="20"/>
          <w:szCs w:val="20"/>
          <w:color w:val="auto"/>
        </w:rPr>
      </w:pPr>
    </w:p>
    <w:p>
      <w:pPr>
        <w:jc w:val="both"/>
        <w:ind w:left="660" w:right="20"/>
        <w:spacing w:after="0" w:line="229" w:lineRule="auto"/>
        <w:rPr>
          <w:sz w:val="20"/>
          <w:szCs w:val="20"/>
          <w:color w:val="auto"/>
        </w:rPr>
      </w:pPr>
      <w:r>
        <w:rPr>
          <w:rFonts w:ascii="Arial" w:cs="Arial" w:eastAsia="Arial" w:hAnsi="Arial"/>
          <w:sz w:val="18"/>
          <w:szCs w:val="18"/>
          <w:color w:val="auto"/>
        </w:rPr>
        <w:t>Our Marketplace business includes the 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online real estate auction platform and real estate auction, real estate brokerage and asset management services.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Technology and software-as-a-service (“SaaS”) Products</w:t>
      </w:r>
    </w:p>
    <w:p>
      <w:pPr>
        <w:spacing w:after="0" w:line="166" w:lineRule="exact"/>
        <w:rPr>
          <w:sz w:val="20"/>
          <w:szCs w:val="20"/>
          <w:color w:val="auto"/>
        </w:rPr>
      </w:pPr>
    </w:p>
    <w:p>
      <w:pPr>
        <w:jc w:val="both"/>
        <w:ind w:left="660"/>
        <w:spacing w:after="0" w:line="232" w:lineRule="auto"/>
        <w:rPr>
          <w:sz w:val="20"/>
          <w:szCs w:val="20"/>
          <w:color w:val="auto"/>
        </w:rPr>
      </w:pPr>
      <w:r>
        <w:rPr>
          <w:rFonts w:ascii="Arial" w:cs="Arial" w:eastAsia="Arial" w:hAnsi="Arial"/>
          <w:sz w:val="17"/>
          <w:szCs w:val="17"/>
          <w:color w:val="auto"/>
        </w:rPr>
        <w:t>Our Technology and SaaS Products business includes Equator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 SaaS-based technology to manage real estate owned (“REO”), short sales, foreclosure, bankruptcy and eviction processes), Vendorly Invoice (a vendor invoicing and payment system), RentRange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 single family rental data, analytics and rent-based valuation solution), and REALSynergy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 commercial loan servicing platform).</w:t>
      </w:r>
    </w:p>
    <w:p>
      <w:pPr>
        <w:spacing w:after="0" w:line="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Origination</w:t>
      </w:r>
      <w:r>
        <w:rPr>
          <w:rFonts w:ascii="Arial" w:cs="Arial" w:eastAsia="Arial" w:hAnsi="Arial"/>
          <w:sz w:val="18"/>
          <w:szCs w:val="18"/>
          <w:color w:val="auto"/>
        </w:rPr>
        <w:t xml:space="preserve"> segment provides originators with solutions and technologies that span the mortgage origination lifecycle. Within the Origination 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Solutions</w:t>
      </w:r>
    </w:p>
    <w:p>
      <w:pPr>
        <w:spacing w:after="0" w:line="17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Our Solutions business includes title insurance (as an agent) and settlement services, real estate valuation services, and loan fulfillment, certification and certification insurance services.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Lenders One</w:t>
      </w:r>
    </w:p>
    <w:p>
      <w:pPr>
        <w:spacing w:after="0" w:line="171" w:lineRule="exact"/>
        <w:rPr>
          <w:sz w:val="20"/>
          <w:szCs w:val="20"/>
          <w:color w:val="auto"/>
        </w:rPr>
      </w:pPr>
    </w:p>
    <w:p>
      <w:pPr>
        <w:jc w:val="both"/>
        <w:ind w:left="660"/>
        <w:spacing w:after="0" w:line="344" w:lineRule="auto"/>
        <w:rPr>
          <w:sz w:val="20"/>
          <w:szCs w:val="20"/>
          <w:color w:val="auto"/>
        </w:rPr>
      </w:pPr>
      <w:r>
        <w:rPr>
          <w:rFonts w:ascii="Arial" w:cs="Arial" w:eastAsia="Arial" w:hAnsi="Arial"/>
          <w:sz w:val="16"/>
          <w:szCs w:val="16"/>
          <w:color w:val="auto"/>
        </w:rPr>
        <w:t>Our Lenders One business includes management services provided to the Best Partners Mortgage Cooperative, Inc., doing business as Lenders One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(“Lenders One”), and certain loan manufacturing and capital markets services provided to the members of the Lenders One cooperative.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Technology and SaaS Products</w:t>
      </w:r>
    </w:p>
    <w:p>
      <w:pPr>
        <w:spacing w:after="0" w:line="171"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Our Technology and SaaS Products business includes Vendorly Monitor (a vendor management platform), Lenders One Loan Automation (“LOLA”) (a solution designed to automate the entire loan manufacturing process), TrelixAI</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(technology to manage the workflow and automate components of the loan fulfillment, pre and post-close quality control and service transfer processes), ADMS (a document management and data analytics delivery platform), and automated valuation technology.</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Corporate and Others </w:t>
      </w:r>
      <w:r>
        <w:rPr>
          <w:rFonts w:ascii="Arial" w:cs="Arial" w:eastAsia="Arial" w:hAnsi="Arial"/>
          <w:sz w:val="18"/>
          <w:szCs w:val="18"/>
          <w:color w:val="auto"/>
        </w:rPr>
        <w:t>includes Pointillist, Inc. (“Pointillist”) (sold on December 1, 2021), interest expense and costs related to corporate functions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executive, finance, law, compliance, human resources, vendor management, facilities, risk management and eliminations between reportable segments.</w:t>
      </w:r>
    </w:p>
    <w:p>
      <w:pPr>
        <w:spacing w:after="0" w:line="130"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income to arrive at net income attributable to Altisource.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Core Businesses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COVID-19 pandemic and its impacts on our business, we continue to evaluate our strategy and core businesses and seek to position our businesses to provide long term value to our customers and shareholders.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Servicer and Real Estate: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our offerings that support residential real estate and loan investors and servicers, we provide a suite of solutions and technologies intended to meet their growing and evolving needs. We are focused on growing referrals from our existing customer base and attracting new customers to our offerings. We have a customer base that includes government-sponsored enterprises (“GSEs”), asset managers, and several large bank and non-bank servicers including Ocwen and NRZ. We believe we are one of only a few providers with a broad suite of servicer solutions, nationwide coverage and scalability. Further, we believe we are well positioned to gain market share from existing and new customers as they consolidate to larger, full-service providers or outsource services that have historically been performed in-house.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Corporate and Others </w:t>
      </w:r>
      <w:r>
        <w:rPr>
          <w:rFonts w:ascii="Arial" w:cs="Arial" w:eastAsia="Arial" w:hAnsi="Arial"/>
          <w:sz w:val="16"/>
          <w:szCs w:val="16"/>
          <w:color w:val="auto"/>
        </w:rPr>
        <w:t>includes Pointillist, a majority owned subsidiary of Altisource. We developed the Pointillist business through our consumer analytics</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On December 1, 2021, the shareholders of Pointillist sold all of the equity interests in Pointillist to Genesys Cloud Services, Inc. for $150.0 million. On a fully diluted basis, we owned approximately 69% of the equity of Pointillist. After working capital and other applicable adjustments, we received approximately $106.0 million from the sale of its Pointillist equity and the collection of outstanding receivables, with $102.2 million received at closing, approximately $0.3 million deposited into the Working Capital Escrow and approximately $3.5 million deposited into the Indemnification Escrow.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response to the COVID-19 pandemic, various governmental entities and servicers implemented unprecedented foreclosure and eviction moratoriums, forbearance programs and loss mitigation measures to help mitigate the impact to borrowers and renters. As a result of these measures and other related actions, industry wide foreclosure initiations were 91% lower for the three months ended March 31, 2021, compared to the same period in 2020. The Federal government’s foreclosure moratorium expired on July 1, 2021 and the Consumer Financial Protection Bureau’s (“CFPB’s”) temporary loss mitigation measures expired on December 31, 2021. As a result, industry-wide foreclosure initiations were 458% for the three months ended March 31, 2022 compared to the same period in 2021, although still 20% lower than the same period in 2020 as the foreclosure market begins to normalize. The decline in foreclosure initiations throughout the pandemic resulted in significantly lower REO referrals to Altisource and negatively impacted virtually all of Altisource’s default related services performed on delinquent loans, loans in foreclosure and REO.</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same time, beginning in March 2020 the Federal Reserve lowered the target for the federal funds rate to 0% to 0.25% and bought billions of dollars of mortgage backed securities on the secondary market to reduce interest rates. As a result of the lower interest rate environment, mortgage originations were 82% higher for the three months ended March 31, 2021 compared to the same period in 2020 (according to the Mortgage Bankers Association) driving higher demand for origination related services. In November of 2021, the Federal Reserve began reducing the volume of mortgage backed securities it was purchasing and ended its monthly purchases in March 2022. Additionally, the Federal Reserve increased the target for the federal funds rate to 0.25% to 0.50% in March 2022. As a result of the higher interest rate environment, mortgage originations were 37% lower for the three months ended March 31, 2022 compared to the same period in 2021 (according to the Mortgage Bankers Association).</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predict the duration of the pandemic and future governmental measures. Based on the expirations of the Federal government’s foreclosure and eviction moratoriums and the CFPB’s rules on temporary loss mitigation measures, we believe the demand for our Default business will grow in 2022 and stabilize during 2023 when we anticipate foreclosures commenced after the expiration of the foreclosure moratoriums, forbearance plans and temporary loss mitigation rules become REO and are sold. We further anticipate that despite the forecasted decline in origination volumes in 2022 compared to 2021 and increase in the target federal funds rate, our Origination business will be roughly flat for the full year compared to 2021 from new customer wins, and cross selling existing and new offerings to customers.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and 2022, to address lower revenue, we worked to (1) reduce our cost structure, (2) maintain the infrastructure to deliver default related services for our customer base and support the anticipated increase in demand following the expiration of the moratoriums and forbearance plans and CFPB’s rules on temporary loss mitigation measures, (3) grow Lenders One membership, launch new solutions and grew customer adoption of our solutions to accelerate the growth of our origination business, and (4) generate cash.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our shareholders approved the renewal and replacement of the share repurchase program previously approved by the shareholders on May 17, 2017. Under the program, we are authorized to purchase up to 4.3 million shares of our common stock, based on a limit of 25% of the outstanding shares of common stock on the date of approval, at a minimum price of $1.00 per share and a maximum price of $500.00 per share, for a period of five years from the date of approval. As of March 31, 2022, approximately 2.4 million shares of common stock remain available for repurchase under the program. There were no purchases of shares of common stock during the three months ended March 31, 2022 and 2021. Luxembourg law limits share repurchases to the balance of Altisource Portfolio Solutions S.A. (unconsolidated parent company) retained earnings, less the value of shares repurchased. As of March 31, 2022, we can repurchase up to approximately $74 million of our common stock under Luxembourg law. Our senior secured term loan agreement also limits the amount we can spend on share repurchases, which limit was approximately $420 million as of March 31, 2022, and may prevent repurchases in certain circumstances, including if our leverage ratio exceeds 3.50 to 1.00.</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2022, Ocwen was our largest customer, accounting for 35% of our total revenue for the three months ended March 31, 2022. Additionally, 6% of our revenue for the three months ended March 31, 2022 was earned on the loan portfolios serviced by Ocwen, when a party other than Ocwen or the mortgage servicing rights (“MSRs”) owner selected Altisource as the service provider.</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subpoenas, civil investigative demands, requests for information and other actions and is subject to pending and threatened legal proceedings, some of which include claims against Ocwen for substantial monetary damages. Previous regulatory actions against Ocwen have subjected Ocwen to independent oversight of its operations and placed certain restrictions on its ability to acquire servicing rights. Existing or future similar matters could result in adverse regulatory or other actions against Ocwen. In addition to the above, Ocwen may become subject to future adverse regulatory or other actions.</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Ocwen has disclosed that NRZ is its largest client. As of December 31, 2021, approximately 21% of loans serviced and subserviced by Ocwen (measured in unpaid principal balance) were related to NRZ MSRs or rights to MSRs.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existence or outcome of Ocwen regulatory matters or the termination of the NRZ sub-servicing agreement with Ocwen may have significant adverse effects on Ocwen’s business and/or our continuing relationship with Ocwen. For example, Ocwen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and others could result in our eventual loss of Ocwen as a customer or a reduction in the number and/or volume of services they purchase from us or the loss of other customers.</w:t>
      </w:r>
    </w:p>
    <w:p>
      <w:pPr>
        <w:spacing w:after="0" w:line="1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Ocwen loses, sells or transfers a significant portion of its GSE or Federal Housing Administration servicing rights or subservicing arrangements or remaining other servicing rights or subservicing arrangements and Altisource fails to be retained as a service provider</w:t>
      </w:r>
    </w:p>
    <w:p>
      <w:pPr>
        <w:ind w:left="660" w:hanging="328"/>
        <w:spacing w:after="0" w:line="316"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contractual relationship between Ocwen and NRZ changes significantly, including Ocwen’s sub-servicing arrangement with NRZ expiring without renewal, and this change results in a change in our status as a provider of services related to the NRZ MSRs or rights to MSRs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Altisource otherwise fails to be retained as a service provider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cannot predict whether any of these events will occur or the amount of any impact they may have on Altisource. However, we are focused on diversifying and growing our revenue and customer base and we have a sales and marketing strategy to support these efforts. Moreover, in the event one or more of these events materially negatively impact Altisource, we believe the variable nature of our cost structure would allow us to realign our cost structure to address some of the impact to revenue and that current liquidity would be sufficient to meet our working capital, capital expenditures, debt service and other cash needs. There can be no assurance that our plans will be successful or our operations will be profitable.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impact the comparability of our results:</w:t>
      </w:r>
    </w:p>
    <w:p>
      <w:pPr>
        <w:spacing w:after="0" w:line="171" w:lineRule="exact"/>
        <w:rPr>
          <w:sz w:val="20"/>
          <w:szCs w:val="20"/>
          <w:color w:val="auto"/>
        </w:rPr>
      </w:pPr>
    </w:p>
    <w:p>
      <w:pPr>
        <w:jc w:val="both"/>
        <w:ind w:left="660" w:hanging="328"/>
        <w:spacing w:after="0" w:line="279" w:lineRule="auto"/>
        <w:tabs>
          <w:tab w:leader="none" w:pos="655"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Industrywide foreclosure initiations were 458% higher for the three months ended March 31, 2022 compared to the same period in 2021 as a result of the Federal government’s foreclosure moratorium expiration on July 1, 2021 and the CFPB’s temporary loss mitigation measures expiration on December 31, 2021; however, industry wide foreclosure initiations were still 20% lower for the three months ended March 31, 2022 compared to the same period in 2020 despite similar delinquency levels as the foreclosure market begins to normalize</w:t>
      </w:r>
    </w:p>
    <w:p>
      <w:pPr>
        <w:spacing w:after="0" w:line="9" w:lineRule="exact"/>
        <w:rPr>
          <w:rFonts w:ascii="Arial" w:cs="Arial" w:eastAsia="Arial" w:hAnsi="Arial"/>
          <w:sz w:val="17"/>
          <w:szCs w:val="17"/>
          <w:b w:val="1"/>
          <w:bCs w:val="1"/>
          <w:color w:val="auto"/>
        </w:rPr>
      </w:pPr>
    </w:p>
    <w:p>
      <w:pPr>
        <w:ind w:left="660" w:hanging="328"/>
        <w:spacing w:after="0" w:line="277"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Industrywide mortgage originations were 37% lower for the three months ended March 31, 2022 compared to the same period in 2021 and 23% lower compared to the fourth quarter of 2021 resulting from a higher interest rate environment</w:t>
      </w:r>
    </w:p>
    <w:p>
      <w:pPr>
        <w:spacing w:after="0" w:line="8" w:lineRule="exact"/>
        <w:rPr>
          <w:rFonts w:ascii="Arial" w:cs="Arial" w:eastAsia="Arial" w:hAnsi="Arial"/>
          <w:sz w:val="18"/>
          <w:szCs w:val="18"/>
          <w:b w:val="1"/>
          <w:bCs w:val="1"/>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December 1, 2021 the shareholders of Pointillist, a majority owned subsidiary of Altisource, sold all of the equity interests in Pointillist. For the three months ended 2021, service revenue from Pointillist was $0.6 million and loss before income taxes and non-controlling interest was $2.1 million (no comparative amounts for the three months ended March 31, 2022).</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Company recognized an income tax provision of $0.9 million and $0.8 million for the three months ended March 31, 2022 and 2021, respectively. The income tax provision for the three months ended March 31, 2022 was driven by income tax on transfer pricing income from India, no tax benefit on the pretax loss from our Luxembourg operating company and uncertain tax positions.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consolidated results of operations for the three months ended March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5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18"/>
                <w:szCs w:val="18"/>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2"/>
              </w:rPr>
              <w:t>% Increase (decrease)</w:t>
            </w:r>
          </w:p>
        </w:tc>
      </w:tr>
      <w:tr>
        <w:trPr>
          <w:trHeight w:val="199"/>
        </w:trPr>
        <w:tc>
          <w:tcPr>
            <w:tcW w:w="6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Servicer and Real Estate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27,157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30,676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Origination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16,847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Corporate and Others</w:t>
            </w:r>
          </w:p>
        </w:tc>
        <w:tc>
          <w:tcPr>
            <w:tcW w:w="3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557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656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service revenue</w:t>
            </w: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37,763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48,080</w:t>
            </w:r>
          </w:p>
        </w:tc>
        <w:tc>
          <w:tcPr>
            <w:tcW w:w="15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2,013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372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39,516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50,465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33,869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50,158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1" w:lineRule="exact"/>
        <w:rPr>
          <w:sz w:val="20"/>
          <w:szCs w:val="20"/>
          <w:color w:val="auto"/>
        </w:rPr>
      </w:pPr>
    </w:p>
    <w:p>
      <w:pPr>
        <w:sectPr>
          <w:pgSz w:w="11900" w:h="16838" w:orient="portrait"/>
          <w:cols w:equalWidth="0" w:num="1">
            <w:col w:w="11240"/>
          </w:cols>
          <w:pgMar w:left="320" w:top="125" w:right="339" w:bottom="1155" w:gutter="0" w:footer="0" w:header="0"/>
        </w:sectPr>
      </w:pPr>
    </w:p>
    <w:tbl>
      <w:tblPr>
        <w:tblLayout w:type="fixed"/>
        <w:tblInd w:w="20" w:type="dxa"/>
        <w:tblCellMar>
          <w:top w:w="0" w:type="dxa"/>
          <w:left w:w="0" w:type="dxa"/>
          <w:bottom w:w="0" w:type="dxa"/>
          <w:right w:w="0" w:type="dxa"/>
        </w:tblCellMar>
      </w:tblP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5,647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13,974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18,886</w:t>
            </w: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(18,579)</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(3,442)</w:t>
            </w:r>
          </w:p>
        </w:tc>
        <w:tc>
          <w:tcPr>
            <w:tcW w:w="0" w:type="dxa"/>
            <w:vAlign w:val="bottom"/>
          </w:tcPr>
          <w:p>
            <w:pPr>
              <w:spacing w:after="0"/>
              <w:rPr>
                <w:sz w:val="1"/>
                <w:szCs w:val="1"/>
                <w:color w:val="auto"/>
              </w:rPr>
            </w:pPr>
          </w:p>
        </w:tc>
      </w:tr>
      <w:tr>
        <w:trPr>
          <w:trHeight w:val="230"/>
        </w:trPr>
        <w:tc>
          <w:tcPr>
            <w:tcW w:w="654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4"/>
        </w:trPr>
        <w:tc>
          <w:tcPr>
            <w:tcW w:w="6540" w:type="dxa"/>
            <w:vAlign w:val="bottom"/>
          </w:tcPr>
          <w:p>
            <w:pPr>
              <w:ind w:left="340"/>
              <w:spacing w:after="0"/>
              <w:rPr>
                <w:sz w:val="20"/>
                <w:szCs w:val="20"/>
                <w:color w:val="auto"/>
              </w:rPr>
            </w:pPr>
            <w:r>
              <w:rPr>
                <w:rFonts w:ascii="Arial" w:cs="Arial" w:eastAsia="Arial" w:hAnsi="Arial"/>
                <w:sz w:val="18"/>
                <w:szCs w:val="18"/>
                <w:color w:val="auto"/>
              </w:rPr>
              <w:t>Total other income (expense), net</w:t>
            </w:r>
          </w:p>
        </w:tc>
        <w:tc>
          <w:tcPr>
            <w:tcW w:w="4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(2,816)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444"/>
        </w:trPr>
        <w:tc>
          <w:tcPr>
            <w:tcW w:w="6540" w:type="dxa"/>
            <w:vAlign w:val="bottom"/>
          </w:tcPr>
          <w:p>
            <w:pPr>
              <w:ind w:left="20"/>
              <w:spacing w:after="0"/>
              <w:rPr>
                <w:sz w:val="20"/>
                <w:szCs w:val="20"/>
                <w:color w:val="auto"/>
              </w:rPr>
            </w:pPr>
            <w:r>
              <w:rPr>
                <w:rFonts w:ascii="Arial" w:cs="Arial" w:eastAsia="Arial" w:hAnsi="Arial"/>
                <w:sz w:val="18"/>
                <w:szCs w:val="18"/>
                <w:color w:val="auto"/>
              </w:rPr>
              <w:t>Loss before income taxes and non-controlling interests</w:t>
            </w:r>
          </w:p>
        </w:tc>
        <w:tc>
          <w:tcPr>
            <w:tcW w:w="42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(11,143)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(21,072)</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425"/>
        </w:trPr>
        <w:tc>
          <w:tcPr>
            <w:tcW w:w="654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(12,029)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(21,915)</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25"/>
        </w:trPr>
        <w:tc>
          <w:tcPr>
            <w:tcW w:w="6540" w:type="dxa"/>
            <w:vAlign w:val="bottom"/>
          </w:tcPr>
          <w:p>
            <w:pPr>
              <w:ind w:left="20"/>
              <w:spacing w:after="0"/>
              <w:rPr>
                <w:sz w:val="20"/>
                <w:szCs w:val="20"/>
                <w:color w:val="auto"/>
              </w:rPr>
            </w:pPr>
            <w:r>
              <w:rPr>
                <w:rFonts w:ascii="Arial" w:cs="Arial" w:eastAsia="Arial" w:hAnsi="Arial"/>
                <w:sz w:val="18"/>
                <w:szCs w:val="18"/>
                <w:color w:val="auto"/>
              </w:rPr>
              <w:t>Net loss attributable to Altisource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Margins:</w:t>
            </w: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6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120"/>
              <w:spacing w:after="0"/>
              <w:rPr>
                <w:sz w:val="20"/>
                <w:szCs w:val="20"/>
                <w:color w:val="auto"/>
              </w:rPr>
            </w:pPr>
            <w:r>
              <w:rPr>
                <w:rFonts w:ascii="Arial" w:cs="Arial" w:eastAsia="Arial" w:hAnsi="Arial"/>
                <w:sz w:val="18"/>
                <w:szCs w:val="18"/>
                <w:color w:val="auto"/>
              </w:rPr>
              <w:t>Gross profit/service revenue</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6540" w:type="dxa"/>
            <w:vAlign w:val="bottom"/>
          </w:tcPr>
          <w:p>
            <w:pPr>
              <w:ind w:left="120"/>
              <w:spacing w:after="0"/>
              <w:rPr>
                <w:sz w:val="20"/>
                <w:szCs w:val="20"/>
                <w:color w:val="auto"/>
              </w:rPr>
            </w:pPr>
            <w:r>
              <w:rPr>
                <w:rFonts w:ascii="Arial" w:cs="Arial" w:eastAsia="Arial" w:hAnsi="Arial"/>
                <w:sz w:val="18"/>
                <w:szCs w:val="18"/>
                <w:color w:val="auto"/>
              </w:rPr>
              <w:t>Loss from operations/service revenue</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45"/>
        </w:trPr>
        <w:tc>
          <w:tcPr>
            <w:tcW w:w="6540" w:type="dxa"/>
            <w:vAlign w:val="bottom"/>
          </w:tcPr>
          <w:p>
            <w:pPr>
              <w:spacing w:after="0"/>
              <w:rPr>
                <w:sz w:val="20"/>
                <w:szCs w:val="20"/>
                <w:color w:val="auto"/>
              </w:rPr>
            </w:pPr>
            <w:r>
              <w:rPr>
                <w:rFonts w:ascii="Arial" w:cs="Arial" w:eastAsia="Arial" w:hAnsi="Arial"/>
                <w:sz w:val="18"/>
                <w:szCs w:val="18"/>
                <w:color w:val="auto"/>
              </w:rPr>
              <w:t>Loss per share:</w:t>
            </w: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4"/>
                <w:szCs w:val="24"/>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4"/>
        </w:trPr>
        <w:tc>
          <w:tcPr>
            <w:tcW w:w="6540" w:type="dxa"/>
            <w:vAlign w:val="bottom"/>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5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color w:val="auto"/>
              </w:rPr>
              <w:t>15,956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29"/>
        </w:trPr>
        <w:tc>
          <w:tcPr>
            <w:tcW w:w="6540" w:type="dxa"/>
            <w:vAlign w:val="bottom"/>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15,956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-4036695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-3745230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-3445510</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-2862580</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-2287905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-1413510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N/M</w:t>
      </w:r>
    </w:p>
    <w:p>
      <w:pPr>
        <w:spacing w:after="0" w:line="25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55</w:t>
      </w:r>
    </w:p>
    <w:p>
      <w:pPr>
        <w:spacing w:after="0" w:line="25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(22)</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13</w:t>
      </w:r>
    </w:p>
    <w:p>
      <w:pPr>
        <w:spacing w:after="0" w:line="23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47</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w:t>
      </w:r>
    </w:p>
    <w:p>
      <w:pPr>
        <w:spacing w:after="0" w:line="23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(85)</w:t>
      </w:r>
    </w:p>
    <w:p>
      <w:pPr>
        <w:spacing w:after="0" w:line="26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45</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w:t>
      </w:r>
    </w:p>
    <w:p>
      <w:pPr>
        <w:spacing w:after="0" w:line="1372" w:lineRule="exact"/>
        <w:rPr>
          <w:sz w:val="20"/>
          <w:szCs w:val="20"/>
          <w:color w:val="auto"/>
        </w:rPr>
      </w:pPr>
    </w:p>
    <w:p>
      <w:pPr>
        <w:sectPr>
          <w:pgSz w:w="11900" w:h="16838" w:orient="portrait"/>
          <w:cols w:equalWidth="0" w:num="2">
            <w:col w:w="10160" w:space="720"/>
            <w:col w:w="360"/>
          </w:cols>
          <w:pgMar w:left="320" w:top="125" w:right="339" w:bottom="1155" w:gutter="0" w:footer="0" w:header="0"/>
          <w:type w:val="continuous"/>
        </w:sectPr>
      </w:pPr>
    </w:p>
    <w:p>
      <w:pPr>
        <w:ind w:right="20"/>
        <w:spacing w:after="0" w:line="277" w:lineRule="auto"/>
        <w:rPr>
          <w:sz w:val="20"/>
          <w:szCs w:val="20"/>
          <w:color w:val="auto"/>
        </w:rPr>
      </w:pPr>
      <w:r>
        <w:rPr>
          <w:rFonts w:ascii="Arial" w:cs="Arial" w:eastAsia="Arial" w:hAnsi="Arial"/>
          <w:sz w:val="18"/>
          <w:szCs w:val="18"/>
          <w:color w:val="auto"/>
        </w:rPr>
        <w:t>We recognized service revenue of $37.8 million for the three months ended March 31, 2022, a 21% decrease compared to the three months ended March 31, 2021.</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decrease in service revenue in the Servicer and Real Estate segment is primarily from lower revenue in our Solutions business, partially offset by higher revenue in our Marketplace business. The decline in our Solutions business is primarily</w:t>
      </w:r>
    </w:p>
    <w:p>
      <w:pPr>
        <w:sectPr>
          <w:pgSz w:w="11900" w:h="16838" w:orient="portrait"/>
          <w:cols w:equalWidth="0" w:num="1">
            <w:col w:w="11240"/>
          </w:cols>
          <w:pgMar w:left="320" w:top="125" w:right="339" w:bottom="1155"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155"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driven by fewer preservation referrals per property in the Field Services business, partially offset by higher revenue in the other Solutions businesses. Revenue in the other Solutions businesses and Marketplace are grew as the default market began to recover following the expiration of the pandemic related borrower relief measures.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decrease in service revenue in the Origination segment was primarily driven by the overall market decline in mortgage originations. The decline in Lenders One revenue was lower than the overall market decline due to member adoption of our newer product launches. The decline in the Solutions business revenue was greater than the overall market decline as customers brought certain services in-house to retain their employees.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service revenue in Corporate and Other is from the December 2021 Pointillist sale.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reimbursable expense revenue of $1.6 million for the three months ended March 31, 2022, a 21% decrease compared to the three months ended March 31, 2021. The decrease in reimbursable expenses for the three months ended March 31, 2022 was consistent with the decline in service revenue discussed above.</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pandemic and related measures, the seasonal impact to revenue may not follow historical patterns.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and depreciation and amortization of operating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6"/>
          </w:tcPr>
          <w:p>
            <w:pPr>
              <w:jc w:val="right"/>
              <w:ind w:right="1228"/>
              <w:spacing w:after="0"/>
              <w:rPr>
                <w:sz w:val="20"/>
                <w:szCs w:val="20"/>
                <w:color w:val="auto"/>
              </w:rPr>
            </w:pPr>
            <w:r>
              <w:rPr>
                <w:rFonts w:ascii="Arial" w:cs="Arial" w:eastAsia="Arial" w:hAnsi="Arial"/>
                <w:sz w:val="14"/>
                <w:szCs w:val="14"/>
                <w:b w:val="1"/>
                <w:bCs w:val="1"/>
                <w:color w:val="auto"/>
              </w:rPr>
              <w:t>Three months ended March 31,</w:t>
            </w:r>
          </w:p>
        </w:tc>
      </w:tr>
      <w:tr>
        <w:trPr>
          <w:trHeight w:val="200"/>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w w:val="93"/>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recognized cost of revenue of $33.9 million for the three months ended March 31, 2022, a 32% decrease compared to the three months ended March 31, 2021. The decreases in outside fees and services were primarily driven by lower service revenue in the field services business within the Solutions business of the Servicer and Real Estate segment, discussed in the revenue section above. Compensation and benefits for the three months ended March 31, 2022 decreased primarily due to cash cost savings measures taken in 2021. In addition, the decreases in reimbursable expenses were consistent with the changes in reimbursable expense revenue discussed in the revenue section above.</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Gross profit increased to $5.6 million, representing 15% of service revenue, for the three months ended March 31, 2022 compared to $0.3 million, representing 1% of service revenue, for the three months ended March 31, 2021. Gross profit as a percentage of service revenue for the three months ended March 31, 2022 increased compared to the three months ended March 31, 2021 primarily due to revenue mix with higher revenue from the higher margin businesses in Servicer and Real Estate, the December 1, 2021, Pointillist sale and our COVID-19 cash cost savings measures and lower revenue and gross profit margin in the Origination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(“SG&amp;A”) expenses includes payroll for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Three months ended March 31,</w:t>
            </w:r>
          </w:p>
        </w:tc>
      </w:tr>
      <w:tr>
        <w:trPr>
          <w:trHeight w:val="200"/>
        </w:trPr>
        <w:tc>
          <w:tcPr>
            <w:tcW w:w="67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Arial" w:cs="Arial" w:eastAsia="Arial" w:hAnsi="Arial"/>
                <w:sz w:val="14"/>
                <w:szCs w:val="14"/>
                <w:b w:val="1"/>
                <w:bCs w:val="1"/>
                <w:color w:val="auto"/>
                <w:w w:val="93"/>
              </w:rPr>
              <w:t>% Increase (decrease)</w:t>
            </w:r>
          </w:p>
        </w:tc>
      </w:tr>
      <w:tr>
        <w:trPr>
          <w:trHeight w:val="199"/>
        </w:trPr>
        <w:tc>
          <w:tcPr>
            <w:tcW w:w="6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54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3"/>
              </w:rPr>
              <w:t>(31)</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3,180</w:t>
            </w:r>
          </w:p>
        </w:tc>
        <w:tc>
          <w:tcPr>
            <w:tcW w:w="154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(49)</w:t>
            </w: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54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3"/>
              </w:rPr>
              <w:t>(51)</w:t>
            </w: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3,218</w:t>
            </w:r>
          </w:p>
        </w:tc>
        <w:tc>
          <w:tcPr>
            <w:tcW w:w="154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(15)</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54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89"/>
              </w:rPr>
              <w:t>87</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w:t>
            </w:r>
          </w:p>
        </w:tc>
        <w:tc>
          <w:tcPr>
            <w:tcW w:w="1540" w:type="dxa"/>
            <w:vAlign w:val="bottom"/>
            <w:gridSpan w:val="2"/>
          </w:tcPr>
          <w:p>
            <w:pPr>
              <w:jc w:val="center"/>
              <w:ind w:left="1110"/>
              <w:spacing w:after="0"/>
              <w:rPr>
                <w:sz w:val="20"/>
                <w:szCs w:val="20"/>
                <w:color w:val="auto"/>
              </w:rPr>
            </w:pPr>
            <w:r>
              <w:rPr>
                <w:rFonts w:ascii="Arial" w:cs="Arial" w:eastAsia="Arial" w:hAnsi="Arial"/>
                <w:sz w:val="18"/>
                <w:szCs w:val="18"/>
                <w:color w:val="auto"/>
                <w:w w:val="93"/>
              </w:rPr>
              <w:t>(12)</w:t>
            </w: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540" w:type="dxa"/>
            <w:vAlign w:val="bottom"/>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89"/>
              </w:rPr>
              <w:t>43</w:t>
            </w:r>
          </w:p>
        </w:tc>
      </w:tr>
      <w:tr>
        <w:trPr>
          <w:trHeight w:val="196"/>
        </w:trPr>
        <w:tc>
          <w:tcPr>
            <w:tcW w:w="6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540" w:type="dxa"/>
            <w:vAlign w:val="bottom"/>
            <w:tcBorders>
              <w:bottom w:val="single" w:sz="8" w:color="CCEEFF"/>
            </w:tcBorders>
            <w:gridSpan w:val="2"/>
            <w:shd w:val="clear" w:color="auto" w:fill="CCEEFF"/>
          </w:tcPr>
          <w:p>
            <w:pPr>
              <w:jc w:val="center"/>
              <w:ind w:left="1110"/>
              <w:spacing w:after="0"/>
              <w:rPr>
                <w:sz w:val="20"/>
                <w:szCs w:val="20"/>
                <w:color w:val="auto"/>
              </w:rPr>
            </w:pPr>
            <w:r>
              <w:rPr>
                <w:rFonts w:ascii="Arial" w:cs="Arial" w:eastAsia="Arial" w:hAnsi="Arial"/>
                <w:sz w:val="18"/>
                <w:szCs w:val="18"/>
                <w:color w:val="auto"/>
                <w:w w:val="93"/>
              </w:rPr>
              <w:t>(26)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SG&amp;A expenses for the three months ended March 31, 2022 of $14.0 million decreased by 26% compared to the three months ended March 31, 2021. The decreases were primarily driven by lower compensation and benefits, occupancy related costs and amortization of intangible assets. Compensation and benefits for the three months ended March 31, 2022 decreased primarily due to cash cost savings measures taken in 2021. The decrease in occupancy related costs primarily resulted from facility consolidation initiatives. For the three months ended March 31, 2022, the decrease in amortization of intangible assets was driven by the completion of the amortization period of certain intangible assets during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from operations for the three months ended March 31, 2022 was $(8.3) million, representing (22)% of service revenue, compared to $(18.6) million, representing (39)% of service revenue, for the three months ended March 31, 2021. Loss from operations as a percentage of service revenue improved for the three months ended March 31, 2022 compared to the three months ended March 31, 2021, primarily as a result of higher gross profit margins and reductions in SG&amp;A expenses in excess of the change in revenue, discussed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income (expense), net was $(2.8) million for the three months ended March 31, 2022 compared to $(2.5) million for the three months ended March 31, 2021. The change was primarily driven by a $0.2 million decrease in other income from interest recognized in 2021 from a short-term receivable related to the second installment from the August 2018 sale of the rental property management business to Front Yard Residential Corporation (“RESI”) and an increase of $0.1 million in interest expense driven by higher amortization of debt issuance costs and interest expense of our Credit Facility.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an income tax provision of $0.9 million and $0.8 million for the three months ended March 31, 2022 and 2021, respectively. The income tax provision for the three months ended March 31, 2022 was driven by income tax on transfer pricing income from India, no tax benefit on the pretax loss from our Luxembourg operating company and uncertain tax positions.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2022</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3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Servicer and Real</w:t>
            </w:r>
          </w:p>
        </w:tc>
        <w:tc>
          <w:tcPr>
            <w:tcW w:w="20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1"/>
                <w:szCs w:val="11"/>
                <w:color w:val="auto"/>
              </w:rPr>
            </w:pPr>
          </w:p>
        </w:tc>
        <w:tc>
          <w:tcPr>
            <w:tcW w:w="1220" w:type="dxa"/>
            <w:vAlign w:val="bottom"/>
          </w:tcPr>
          <w:p>
            <w:pPr>
              <w:jc w:val="center"/>
              <w:ind w:right="113"/>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8"/>
        </w:trPr>
        <w:tc>
          <w:tcPr>
            <w:tcW w:w="5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Others</w:t>
            </w:r>
          </w:p>
        </w:tc>
        <w:tc>
          <w:tcPr>
            <w:tcW w:w="200" w:type="dxa"/>
            <w:vAlign w:val="bottom"/>
          </w:tcPr>
          <w:p>
            <w:pPr>
              <w:spacing w:after="0"/>
              <w:rPr>
                <w:sz w:val="16"/>
                <w:szCs w:val="16"/>
                <w:color w:val="auto"/>
              </w:rPr>
            </w:pPr>
          </w:p>
        </w:tc>
        <w:tc>
          <w:tcPr>
            <w:tcW w:w="1220" w:type="dxa"/>
            <w:vAlign w:val="bottom"/>
          </w:tcPr>
          <w:p>
            <w:pPr>
              <w:jc w:val="center"/>
              <w:ind w:right="11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7"/>
        </w:trPr>
        <w:tc>
          <w:tcPr>
            <w:tcW w:w="5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27,157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10,606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37,763</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29"/>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28,536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10,980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39,516</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19,740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33,869</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13,974</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(8,327)</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3"/>
              <w:spacing w:after="0"/>
              <w:rPr>
                <w:sz w:val="20"/>
                <w:szCs w:val="20"/>
                <w:color w:val="auto"/>
              </w:rPr>
            </w:pPr>
            <w:r>
              <w:rPr>
                <w:rFonts w:ascii="Arial" w:cs="Arial" w:eastAsia="Arial" w:hAnsi="Arial"/>
                <w:sz w:val="18"/>
                <w:szCs w:val="18"/>
                <w:color w:val="auto"/>
              </w:rPr>
              <w:t>5,737</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93"/>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(16,433)</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73"/>
              <w:spacing w:after="0"/>
              <w:rPr>
                <w:sz w:val="20"/>
                <w:szCs w:val="20"/>
                <w:color w:val="auto"/>
              </w:rPr>
            </w:pPr>
            <w:r>
              <w:rPr>
                <w:rFonts w:ascii="Arial" w:cs="Arial" w:eastAsia="Arial" w:hAnsi="Arial"/>
                <w:sz w:val="18"/>
                <w:szCs w:val="18"/>
                <w:color w:val="auto"/>
              </w:rPr>
              <w:t>(11,143)</w:t>
            </w:r>
          </w:p>
        </w:tc>
        <w:tc>
          <w:tcPr>
            <w:tcW w:w="0" w:type="dxa"/>
            <w:vAlign w:val="bottom"/>
          </w:tcPr>
          <w:p>
            <w:pPr>
              <w:spacing w:after="0"/>
              <w:rPr>
                <w:sz w:val="1"/>
                <w:szCs w:val="1"/>
                <w:color w:val="auto"/>
              </w:rPr>
            </w:pPr>
          </w:p>
        </w:tc>
      </w:tr>
      <w:tr>
        <w:trPr>
          <w:trHeight w:val="208"/>
        </w:trPr>
        <w:tc>
          <w:tcPr>
            <w:tcW w:w="5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0"/>
        </w:trPr>
        <w:tc>
          <w:tcPr>
            <w:tcW w:w="5200" w:type="dxa"/>
            <w:vAlign w:val="bottom"/>
          </w:tcPr>
          <w:p>
            <w:pPr>
              <w:spacing w:after="0"/>
              <w:rPr>
                <w:sz w:val="20"/>
                <w:szCs w:val="20"/>
                <w:color w:val="auto"/>
              </w:rPr>
            </w:pPr>
            <w:r>
              <w:rPr>
                <w:rFonts w:ascii="Arial" w:cs="Arial" w:eastAsia="Arial" w:hAnsi="Arial"/>
                <w:sz w:val="18"/>
                <w:szCs w:val="18"/>
                <w:color w:val="auto"/>
              </w:rPr>
              <w:t>_____________________________________</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2021</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3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Servicer and Real</w:t>
            </w:r>
          </w:p>
        </w:tc>
        <w:tc>
          <w:tcPr>
            <w:tcW w:w="20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Origination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1"/>
                <w:szCs w:val="11"/>
                <w:color w:val="auto"/>
              </w:rPr>
            </w:pPr>
          </w:p>
        </w:tc>
        <w:tc>
          <w:tcPr>
            <w:tcW w:w="1220" w:type="dxa"/>
            <w:vAlign w:val="bottom"/>
          </w:tcPr>
          <w:p>
            <w:pPr>
              <w:jc w:val="center"/>
              <w:ind w:right="113"/>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8"/>
        </w:trPr>
        <w:tc>
          <w:tcPr>
            <w:tcW w:w="5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Estate</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Others</w:t>
            </w:r>
          </w:p>
        </w:tc>
        <w:tc>
          <w:tcPr>
            <w:tcW w:w="200" w:type="dxa"/>
            <w:vAlign w:val="bottom"/>
          </w:tcPr>
          <w:p>
            <w:pPr>
              <w:spacing w:after="0"/>
              <w:rPr>
                <w:sz w:val="16"/>
                <w:szCs w:val="16"/>
                <w:color w:val="auto"/>
              </w:rPr>
            </w:pPr>
          </w:p>
        </w:tc>
        <w:tc>
          <w:tcPr>
            <w:tcW w:w="1220" w:type="dxa"/>
            <w:vAlign w:val="bottom"/>
          </w:tcPr>
          <w:p>
            <w:pPr>
              <w:jc w:val="center"/>
              <w:ind w:right="11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197"/>
        </w:trPr>
        <w:tc>
          <w:tcPr>
            <w:tcW w:w="5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Service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30,676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16,847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48,080</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29"/>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32,641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17,267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50,465</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25,771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14,286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50,158</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18,886</w:t>
            </w:r>
          </w:p>
        </w:tc>
        <w:tc>
          <w:tcPr>
            <w:tcW w:w="0" w:type="dxa"/>
            <w:vAlign w:val="bottom"/>
          </w:tcPr>
          <w:p>
            <w:pPr>
              <w:spacing w:after="0"/>
              <w:rPr>
                <w:sz w:val="1"/>
                <w:szCs w:val="1"/>
                <w:color w:val="auto"/>
              </w:rPr>
            </w:pPr>
          </w:p>
        </w:tc>
      </w:tr>
      <w:tr>
        <w:trPr>
          <w:trHeight w:val="223"/>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(18,579)</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Income (loss) before income taxes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ind w:right="133"/>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33"/>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(25,761)</w:t>
            </w: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73"/>
              <w:spacing w:after="0"/>
              <w:rPr>
                <w:sz w:val="20"/>
                <w:szCs w:val="20"/>
                <w:color w:val="auto"/>
              </w:rPr>
            </w:pPr>
            <w:r>
              <w:rPr>
                <w:rFonts w:ascii="Arial" w:cs="Arial" w:eastAsia="Arial" w:hAnsi="Arial"/>
                <w:sz w:val="18"/>
                <w:szCs w:val="18"/>
                <w:color w:val="auto"/>
              </w:rPr>
              <w:t>(21,072)</w:t>
            </w:r>
          </w:p>
        </w:tc>
        <w:tc>
          <w:tcPr>
            <w:tcW w:w="0" w:type="dxa"/>
            <w:vAlign w:val="bottom"/>
          </w:tcPr>
          <w:p>
            <w:pPr>
              <w:spacing w:after="0"/>
              <w:rPr>
                <w:sz w:val="1"/>
                <w:szCs w:val="1"/>
                <w:color w:val="auto"/>
              </w:rPr>
            </w:pPr>
          </w:p>
        </w:tc>
      </w:tr>
      <w:tr>
        <w:trPr>
          <w:trHeight w:val="208"/>
        </w:trPr>
        <w:tc>
          <w:tcPr>
            <w:tcW w:w="5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Margins: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 (loss)/service revenue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5300" w:type="dxa"/>
            <w:vAlign w:val="bottom"/>
            <w:gridSpan w:val="2"/>
          </w:tcPr>
          <w:p>
            <w:pPr>
              <w:ind w:left="140"/>
              <w:spacing w:after="0"/>
              <w:rPr>
                <w:sz w:val="20"/>
                <w:szCs w:val="20"/>
                <w:color w:val="auto"/>
              </w:rPr>
            </w:pPr>
            <w:r>
              <w:rPr>
                <w:rFonts w:ascii="Arial" w:cs="Arial" w:eastAsia="Arial" w:hAnsi="Arial"/>
                <w:sz w:val="18"/>
                <w:szCs w:val="18"/>
                <w:color w:val="auto"/>
              </w:rPr>
              <w:t>Income (loss) from operations/service revenue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and Real Estate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three months ended March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6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Solutions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16,306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20,345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1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Technology and SaaS Products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service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Solutions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Marketplace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Total reimbursable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3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service revenue of $27.2 million for the three months ended March 31, 2022, an 11% decrease compared to the three months ended March 31, 2021. We also recognized reimbursable expense revenue of $1.4 million for the three months ended March 31, 2022, a 30% decrease compared to the three months ended March 31, 2021. The decrease in service revenue in the Servicer and Real Estate segment is primarily from lower revenue in our Solutions business, partially offset by higher revenue in our Marketplace business. The decline in our Solutions business is primarily driven by fewer preservation referrals per property in the Field Services business, partially offset by higher revenue in the other Solutions businesses. Revenue in the other Solutions businesses and Marketplace are growing as the default market begins to recover following the expiration of the pandemic related borrower relief measures.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pandemic and related measures, the seasonal impact to revenue may not follow historical patterns.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three months ended March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6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revenue for the three months ended March 31, 2022 of $19.7 million decreased by 23% compared to the three months ended March 31, 2021. The decrease in cost of revenue was primarily driven by lower outside fees and services from lower Field Services revenue in the Solutions business, as discussed above. Compensation and benefits declined primarily due to cash cost savings measures taken in 2021. In addition, the decreases in reimbursable expenses were consistent with the changes in reimbursable expense revenue discussed in the revenue section above.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increased to $8.8 million, representing 32% of service revenue, for the three months ended March 31, 2022 compared to $6.9 million, representing 22% of service revenue, for the three months ended March 31, 2021. Gross profit as a percentage of service revenue increased primarily due to revenue mix with higher revenue from the higher margin Marketplace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and our COVID-19 cash cost savings measures, partially offset by lower gross profit margin in our property preservation business. Our margins can vary substantially depending upon the service revenue mix.</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three months ended March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197"/>
        </w:trPr>
        <w:tc>
          <w:tcPr>
            <w:tcW w:w="6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144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440" w:type="dxa"/>
            <w:vAlign w:val="bottom"/>
            <w:gridSpan w:val="2"/>
            <w:shd w:val="clear" w:color="auto" w:fill="CCEEFF"/>
          </w:tcPr>
          <w:p>
            <w:pPr>
              <w:jc w:val="center"/>
              <w:ind w:left="1010"/>
              <w:spacing w:after="0"/>
              <w:rPr>
                <w:sz w:val="20"/>
                <w:szCs w:val="20"/>
                <w:color w:val="auto"/>
              </w:rPr>
            </w:pPr>
            <w:r>
              <w:rPr>
                <w:rFonts w:ascii="Arial" w:cs="Arial" w:eastAsia="Arial" w:hAnsi="Arial"/>
                <w:sz w:val="18"/>
                <w:szCs w:val="18"/>
                <w:color w:val="auto"/>
                <w:w w:val="93"/>
              </w:rPr>
              <w:t>(64)</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1,081</w:t>
            </w:r>
          </w:p>
        </w:tc>
        <w:tc>
          <w:tcPr>
            <w:tcW w:w="1440" w:type="dxa"/>
            <w:vAlign w:val="bottom"/>
            <w:gridSpan w:val="2"/>
          </w:tcPr>
          <w:p>
            <w:pPr>
              <w:jc w:val="center"/>
              <w:ind w:left="1010"/>
              <w:spacing w:after="0"/>
              <w:rPr>
                <w:sz w:val="20"/>
                <w:szCs w:val="20"/>
                <w:color w:val="auto"/>
              </w:rPr>
            </w:pPr>
            <w:r>
              <w:rPr>
                <w:rFonts w:ascii="Arial" w:cs="Arial" w:eastAsia="Arial" w:hAnsi="Arial"/>
                <w:sz w:val="18"/>
                <w:szCs w:val="18"/>
                <w:color w:val="auto"/>
                <w:w w:val="93"/>
              </w:rPr>
              <w:t>(48)</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40" w:type="dxa"/>
            <w:vAlign w:val="bottom"/>
            <w:gridSpan w:val="2"/>
            <w:shd w:val="clear" w:color="auto" w:fill="CCEEFF"/>
          </w:tcPr>
          <w:p>
            <w:pPr>
              <w:jc w:val="center"/>
              <w:ind w:left="1010"/>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440" w:type="dxa"/>
            <w:vAlign w:val="bottom"/>
            <w:gridSpan w:val="2"/>
          </w:tcPr>
          <w:p>
            <w:pPr>
              <w:jc w:val="center"/>
              <w:ind w:left="1010"/>
              <w:spacing w:after="0"/>
              <w:rPr>
                <w:sz w:val="20"/>
                <w:szCs w:val="20"/>
                <w:color w:val="auto"/>
              </w:rPr>
            </w:pPr>
            <w:r>
              <w:rPr>
                <w:rFonts w:ascii="Arial" w:cs="Arial" w:eastAsia="Arial" w:hAnsi="Arial"/>
                <w:sz w:val="18"/>
                <w:szCs w:val="18"/>
                <w:color w:val="auto"/>
                <w:w w:val="93"/>
              </w:rPr>
              <w:t>(25)</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40" w:type="dxa"/>
            <w:vAlign w:val="bottom"/>
            <w:gridSpan w:val="2"/>
            <w:shd w:val="clear" w:color="auto" w:fill="CCEEFF"/>
          </w:tcPr>
          <w:p>
            <w:pPr>
              <w:jc w:val="center"/>
              <w:ind w:left="101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440" w:type="dxa"/>
            <w:vAlign w:val="bottom"/>
            <w:tcBorders>
              <w:bottom w:val="single" w:sz="8" w:color="CCEEFF"/>
            </w:tcBorders>
            <w:gridSpan w:val="2"/>
            <w:shd w:val="clear" w:color="auto" w:fill="CCEEFF"/>
          </w:tcPr>
          <w:p>
            <w:pPr>
              <w:jc w:val="center"/>
              <w:ind w:left="1010"/>
              <w:spacing w:after="0"/>
              <w:rPr>
                <w:sz w:val="20"/>
                <w:szCs w:val="20"/>
                <w:color w:val="auto"/>
              </w:rPr>
            </w:pPr>
            <w:r>
              <w:rPr>
                <w:rFonts w:ascii="Arial" w:cs="Arial" w:eastAsia="Arial" w:hAnsi="Arial"/>
                <w:sz w:val="18"/>
                <w:szCs w:val="18"/>
                <w:color w:val="auto"/>
                <w:w w:val="93"/>
              </w:rPr>
              <w:t>(21)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2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SG&amp;A for the three months ended March 31, 2022 of $3.1 million decreased by 21% compared to the three months ended March 31, 2021. The decrease in SG&amp;A was primarily due to lower amortization of intangible assets driven by the completion of the amortization period of certain intangible assets during 2021 and a decrease in professional services from certain non-recurring expenses incurred in the first quarter of 2021. These decreases were partially offset by higher compensation and benefits from the assignment of sales and marketing employees to the business segments beginning in January 1, 2022.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from operations increased to $5.7 million, representing 21% of service revenue, for the three months ended March 31, 2022 compared to $3.0 million, representing 10% of service revenue, for the three months ended March 31, 2021. The increase in operating income as a percentage of service revenue was primarily the result of higher gross profit margins, as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three months ended March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7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6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140"/>
              <w:spacing w:after="0"/>
              <w:rPr>
                <w:sz w:val="20"/>
                <w:szCs w:val="20"/>
                <w:color w:val="auto"/>
              </w:rPr>
            </w:pPr>
            <w:r>
              <w:rPr>
                <w:rFonts w:ascii="Arial" w:cs="Arial" w:eastAsia="Arial" w:hAnsi="Arial"/>
                <w:sz w:val="18"/>
                <w:szCs w:val="18"/>
                <w:color w:val="auto"/>
              </w:rPr>
              <w:t>Lenders One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6,842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Solutions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Technology and SaaS Products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44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service revenue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Solutions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4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3"/>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reimbursable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0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recognized service revenue of $10.6 million for the three months ended March 31, 2022, a (37)% decrease compared to the three months ended March 31, 2021. We also recognized reimbursable expense revenue of $0.2 million for the three months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ended March 31, 2022, a 344% increase compared to the three months ended March 31, 2021. The decrease in service revenue in the Origination segment was primarily driven by the overall market decline in mortgage originations. The decline in Lenders One revenue was lower than the overall market decline from Lenders One member adoption of our newer product launches. The decline in the Solutions business revenue was greater than the overall market decline as some customers brought certain services in-house to retain their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three months ended March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6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6,981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 of revenue for the three months ended March 31, 2022 of $9.3 million decreased by 35% compared to the three months ended March 31, 2021. The decrease in cost of revenue was primarily driven by lower compensation and benefits and outside fees and services, consistent with the decrease in service revenue discussed above. Compensation and benefits declined due to cost reductions from lower revenue as well as efficiency initiatives. In addition, the decreases in reimbursable expenses were consistent with the changes in reimbursable expense revenue discussed in the revenue section above.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decreased to $1.7 million, representing 16% of service revenue, for the three months ended March 31, 2022 compared to $3.0 million, representing 18% of service revenue, for the three months ended March 31, 2021. Gross profit as a percentage of service revenue decreased primarily as costs did not decline at the same rate that revenue declined.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three months ended March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6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Marketing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4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440" w:type="dxa"/>
            <w:vAlign w:val="bottom"/>
            <w:gridSpan w:val="2"/>
          </w:tcPr>
          <w:p>
            <w:pPr>
              <w:jc w:val="right"/>
              <w:ind w:right="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three months ended March 31, 2022 of $2.1 million increased by 62% compared to the three months ended March 31, 2021. The increase in SG&amp;A was primarily due to higher compensation and benefits from the assignment of sales and marketing employees to the business segments beginning in January 1, 2022. In addition, the increase in marketing costs and other was from Lenders One convention activities that were cancelled in first quarter of 2021 due to the pandemic.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Operations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(Loss) income from operations decreased to $(0.4) million, representing (4)% of service revenue, for the three months ended March 31, 2022 compared to $1.7 million, representing 10% of service revenue, for the three months ended March 31, 2021. The decrease in operating (loss) income as a percentage of service revenue was primarily the result of lower gross profit margins and higher SG&amp;A costs, as discussed above.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three months ended March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6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140"/>
              <w:spacing w:after="0"/>
              <w:rPr>
                <w:sz w:val="20"/>
                <w:szCs w:val="20"/>
                <w:color w:val="auto"/>
              </w:rPr>
            </w:pPr>
            <w:r>
              <w:rPr>
                <w:rFonts w:ascii="Arial" w:cs="Arial" w:eastAsia="Arial" w:hAnsi="Arial"/>
                <w:sz w:val="18"/>
                <w:szCs w:val="18"/>
                <w:color w:val="auto"/>
              </w:rPr>
              <w:t>Pointillist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service revenue</w:t>
            </w: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recognized service revenue of $0.6 million for the three months ended March 31, 2021 (no comparative amount for the three months ended March 31, 2022). The decrease in service revenue was driven by the December 1, 2021, Pointillist sale.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consisted of the following for the three months ended March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6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three months ended March 31, 2022 of $4.8 million decreased by 52% compared to the three months ended March 31, 2021. The decrease in cost of revenue was primarily driven by lower compensation and benefits due to cash cost savings measures taken in 2021 and the December 1, 2021, Pointillist sale. In addition, technology and telecommunications decreased due to lower service contract costs as a result of the December 1, 2021, Pointillist sale and cost savings initiatives.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SG&amp;A in Corporate and Others include costs related to the corporate functions including executive, finance, law, compliance, human resources, vendor management, facilities, risk management and eliminations between reportable segments.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consisted of the following for the three months ended March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Pr>
          <w:p>
            <w:pPr>
              <w:jc w:val="right"/>
              <w:ind w:right="24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88"/>
        </w:trPr>
        <w:tc>
          <w:tcPr>
            <w:tcW w:w="7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2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7"/>
        </w:trPr>
        <w:tc>
          <w:tcPr>
            <w:tcW w:w="6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Occupancy related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Professional services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Marketing costs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44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for the three months ended March 31, 2022 of $8.8 million decreased by 36% compared to the three months ended March 31, 2021. Compensation and benefits decreased primarily due to cash cost savings measures taken in 2021, and from the assignment of sales and marketing employees to the business segments beginning in January 1, 2022. In addition, the decrease in occupancy related costs primarily resulted from facility consolidation initiatives.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principally includes interest expense and other non-operating gains and losses.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(expense), net was $(2.8) million for the three months ended March 31, 2022 compared to $(2.5) million for the three months ended March 31, 2021. The change was primarily driven by a $0.2 million decrease in other income from interest recognized in 2021 from a short-term receivable related to the second installment from the August 2018 sale of the rental property management business to RESI and an increase of $0.1 million in interest expense driven by higher amortization on debt issuance costs and interest expense of our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primary source of liquidity has historically been cash flow from operations, cash proceeds from sales of businesses and cash on hand. However, due to the COVID-19 pandemic revenue has declined significantly. The lower revenue, partially offset by cost savings initiatives, resulted in negative operating cash flow from operations for three months ended March 31, 2022. To increase our liquidity we entered into a $20 million revolving credit facility during the second quarter of 2021. In addition, Altisource’s December 1, 2021, sale of its equity interest in Pointillist increased our liquidity. The Pointillist sale generated approximately $106.0 million in cash, with $102.2 million received at closing, approximately $0.3 million deposited into the Working Capital Escrow and approximately $3.5 million deposited into the Indemnification Escrow. Finally, we believe the anticipated 2022 growth in our Origination and Servicer and Real Estate businesses along with our reduced cost structure should help reduce negative operating cash flow. 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We also use cash for repayments of our long-term debt and capital investments. In addition, from time to time we consider and evaluate business acquisitions, dispositions, closures or other similar actions that are aligned with our strategy.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3, 2018, Altisource Portfolio Solutions S.A. and its wholly-owned subsidiary, Altisource S.à r.l. entered into a credit agreement (the “Credit Agreement”) pursuant to which Altisource borrowed $412.0 million in the form of Term B Loans and obtained a $15.0 million revolving credit facility. The Term B Loans mature in April 2024. We terminated the revolving credit facility on December 1, 2021. As of March 31, 2022, the principal balance of the Term B Loans was $247.2 million.</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no mandatory repayments of the Term B Loans due until maturity in April 2024, except as otherwise described herein and in the Credit Agreement. All amounts outstanding under the Term B Loans will become due on the earlier of (i) April 3, 2024, and (ii) the date on which the loans are declared to be due and owing by the administrative agent at the request (or with the consent) of the Required Lenders (as defined in the Credit Agreement; other capitalized terms, unless defined herein, are defined in the Credit Agreement) or as otherwise provided in the Credit Agreement upon the occurrence of any event of default.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scheduled principal payments, subject to certain exceptions, the Term B Loans are subject to mandatory prepayment upon issuances of debt, certain casualty and condemnation events and sales of assets, as well as from a percentage of Consolidated Excess Cash Flow if our leverage ratio as of each year-end computation date is greater than 3.00 to 1.00, as calculated in accordance with the provisions of the Credit Agreement (the percentage increases if our leverage ratio exceeds 3.50 to 1.00).</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interest rate on the Term B Loans as of March 31, 2022 was 5.00%, representing the sum of (i) the greater of (x) the Adjusted Eurodollar Rate for a three month interest period and (y) 1.00% plus (ii) 4.00%.</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Altisource may incur incremental indebtedness under the Credit Agreement from one or more incremental lenders, which may include existing lenders, in an aggregate incremental principal amount not to exceed $125.0 million, subject to certain conditions set forth in the Credit Agreement, including a sublimit of $80.0 million with respect to incremental revolving credit commitments and, after giving effect to the incremental borrowing, the Company’s leverage ratio does not exceed 3.00 to 1.00. The lenders have no obligation to provide any incremental indebtedness.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includes covenants that restrict or limit, among other things, our ability, subject to certain exceptions and baskets, to incur additional debt, pay dividends and repurchase shares of our common stock. In the event we require additional liquidity, our ability to obtain it may be limited by the Credit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22, 2021 Altisource S.à r.l, a subsidiary of Altisource Portfolio Solutions S.A., entered into a revolving credit facility with a related party, STS. STS is an investment fund managed by Deer Park Road Management Company, LP. Deer Park Road Management Company, LP owns approximately 24% of Altisource’s common stock as of March 31, 2022. Deer Park’s Chief Investment Officer and managing partner was a member of Altisource’s Board of Directors until his resignation on March 1, 2022. The replacement director appointed by the Board of Directors is a current employee of Deer Park. Under the terms of the Credit Facility, STS will make loans to Altisource from time to time, in amounts requested by Altisource and Altisource may voluntarily prepay all or any portion of the outstanding loans at any time. The Credit Facility provides Altisource the ability to borrow a maximum amount of $20.0 million through June 22, 2022, $15.0 million through June 22, 2023, and $10.0 million until the end of the term. Amounts that are repaid may be re-borrowed in accordance with the limitations set forth below.</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amounts borrowed pursuant to the Credit Facility will amortize over the three-year term as follows: on June 22, 2022, the difference between the then outstanding balance above $15.0 million and $15.0 million, will be due and payable by Altisource; on June 22, 2023, the difference between the then outstanding balance above $10.0 million and $10.0 million, will be due and payable by Altisource; and on June 22, 2024, the then outstanding balance of the loan will be due and payable by Altisource.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Credit Facility bear interest of 9.00% per annum and are payable quarterly on the last business day of each March, June, September and December, commencing on September 30, 2021. In connection with the Credit Facility, Altisource is required to pay customary fees, including an upfront fee equal to $0.5 million at the initial extension of credit pursuant to the facility, an unused line fee of 0.5% and, an early termination fee in the event of a refinancing transaction.</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Altisource’s obligations under the Credit Facility are secured by a lien on all equity in Altisource’s subsidiary incorporated in India, Altisource Business Solutions Private Limited, pursuant to a pledge agreement entered into by Altisource Asia Holdings Ltd I, a wholly owned Altisource subsidiary.</w:t>
      </w:r>
    </w:p>
    <w:p>
      <w:pPr>
        <w:spacing w:after="0" w:line="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Credit Facility contains additional representations, warranties, covenants, terms and conditions customary for transactions of this type, that restrict or limit, among other things, our ability to use the proceeds of credit only for general corporate purposes.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Facility contains certain events of default including (i) failure to pay principal when due or interest or any other amount owing on any other obligation under the Credit Facility within three business days of becoming due, (ii) failure to perform or observe any material provisions of the Credit Documents to be performed or complied with, (iii) material incorrectness of representations and warranties when made, (iv) default on any other debt that equals or exceeds $40.0 million that causes, or gives the holder or holders of such debt the ability to cause, an acceleration of such debt, (v) entry by a court of one or more judgments against us in an amount in excess of $40.0 million that remain unbonded, undischarged or unstayed for a certain number of days after the entry thereof, (vi) occurrence of a Change of Control, (vii) bankruptcy and insolvency events. If any event of default occurs and is not cured within applicable grace periods set forth in the Credit Facility or waived, all loans and other obligations could become due and immediately payable and the facility could be terminated.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there was no outstanding debt under the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 Increase (decrease)</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(16,502)</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Cash, cash equivalents and restricted cash at the beginning of the period</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62,096</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45,594</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53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enter into the determination of net loss. For the three months ended March 31, 2022, cash flows used in operating activities were $(16.9) million compared to cash flows used in operating activities of $(16.8) million for the three months ended March 31, 2021. During the three months ended March 31, 2022, the increase in cash used in operating activities was driven by a $9.9 million decrease in net loss that was more than offset by a $2.2 million decrease in non-cash depreciation, amortization of intangibles, stock based compensation and deferred income tax expenses, and a $7.9 million increase in cash used for working capital. The decrease in net loss was primarily due to higher gross profit during the three months ended March 31, 2022 from revenue mix with higher revenue from the higher margin businesses in Servicer and Real Estate, our cash cost savings measures and lower SG&amp;A expenses, partially offset by modestly lower gross profit in the Origination business. The increase in cash used for changes in working capital was primarily driven by higher cash payments for annual incentive compensation bonuses in the first quarter of 2022 by $3.7 million and by an increase in accounts receivable of $0.7 million for the three months ended March 31, 2022 compared to a decrease in accounts receivable of $2.2 million during the three months ended March 31, 2021, largely driven by the timing of collections.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flows from investing activities for the three months ended March 31, 2022 and 2021 consisted of additions to premises and equipment and proceeds from the sale of a business. Cash flows (used in) provided by investing activities were $(0.1) million and $2.5 million for the three months ended March 31, 2022 and 2021, respectively. The change in cash provided by investing activities was driven by $3.0 million in proceeds received in the quarter ended March 31, 2021 in connection with the second installment from the August 2018 sale of the rental property management business to RESI. In addition, we used $(0.1) million for the three months ended March 31, 2022 compared to $(0.5) million in 2021, for additions to premises and equipment primarily related to investments in the development of certain software applications and facility improvements.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flows from financing activities for the three months ended March 31, 2022 and 2021 primarily included payments of tax withholdings on issuance of restricted share units and restricted shares and distributions to non-controlling interests. Cash flows used in financing activities were $(1.3) million and $(2.2) million for the three months ended March 31, 2022 and 2021, respectively. During the three months ended March 31, 2022 and 2021, we made payments of $(1.0) million and $(0.8) million, respectively, to satisfy employee tax withholding obligations on the issuance of restricted share units and restricted shares. These payments were made to tax authorities, at the employees’ direction, to satisfy the employees’ tax obligations rather than issuing a portion of vested restricted share units and restricted shares to employees. In addition, during the three months ended March 31, 2022 and 2021, we distributed $(0.3) million and $(1.4) million, respectively, to non-controlling interests.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Liquidity Requirements after March 31, 2022</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significant future short-term liquidity obligations primarily pertain to interest expense under the Credit Agreement (see Liquidity section above), lease payments and distributions to Lenders One members. During the next 12 months, we expect to pay $12.4 million of interest expense (assuming no further principal repayments and the March 31, 2022 interest rate) under the Credit Agreement and make lease payments of $2.2 million.</w:t>
      </w:r>
    </w:p>
    <w:p>
      <w:pPr>
        <w:spacing w:after="0" w:line="1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that our existing cash and cash equivalents balances and available borrowings under the Credit Facility, net of our anticipated cash flows used in operations, will be sufficient to meet our liquidity needs, including required interest and lease payments, for the next 12 months.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Liquidity Requirements after March 31, 2022</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significant future long-term liquidity obligations primarily pertain to long-term debt repayments, interest expense under the Credit Agreement (see Liquidity section above) and operating lease payments on certain of our premises and equipment. The outstanding balance of our Credit Agreement of $247.2 million is due on April 1, 2024. During 2023 and 2024, we expect to pay $15.5 million of interest expense under the Credit Agreement (estimated future interest payments based on the interest rate as of March 31, 2022 and the April 1, 2024 maturity date). During 2023 and 2024, we expect to make lease payments of $3.6 million. During 2025 and 2026 we expect to make lease payments of $1.7 million. For further information, see Note 11 and Note 21 to the condensed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fund long-term liquidity requirements with a combination of existing cash balances, cash anticipated to be generated by operating activities and anticipated proceeds from a refinancing of our Credit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arrangements.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customers’ assets in escrow accounts at various financial institutions pending completion of certain real estate activities. These amounts are held in escrow accounts for limited periods of time and are not included in the condensed consolidated balance sheets. Amounts held in escrow accounts were $23.3 million and $27.5 million as of March 31, 2022 and December 31, 2021,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there were no significant changes to our contractual obligations from those identified in our Form 10-K for the fiscal year ended December 31, 2021 and this Form 10-Q, other than those that occur in the normal course of business. See Note 21 to the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critical accounting policies are described in the MD&amp;A section of our Form 10-K for the year ended December 31, 2021 filed with the SEC on March 3, 2022. There have been no material changes to our critical accounting policies during the three months ended March 31, 2022.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to the condensed consolidated financial statements for a discussion of recently issued accounting pronouncements, including pronouncements that were adopted in the current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March 31, 2022, the interest rate charged on the Term B Loan was 5.00%. The interest rate is calculated based on the Adjusted Eurodollar Rate for a three month interest period (as defined in the senior secured term loan agreement) with a minimum floor of 1.00% plus 4.00%.</w:t>
      </w:r>
    </w:p>
    <w:p>
      <w:pPr>
        <w:spacing w:after="0" w:line="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principal amount outstanding and the Adjusted Eurodollar Rate as of March 31, 2022, a one percentage point increase in the Eurodollar rate above the minimum floor would increase our annual interest expense by approximately $2.5 million. There would be no decrease in our annual interest expense if there was a one percentage point decrease in the Eurodollar Rate, as a result of the 1.00% minimum floor.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first quarter of 2022, a one percentage point increase or decrease in value of the Indian rupee in relation to the United States dollar would increase or decrease our annual expenses by approximately $0.2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March 31, 2022.</w:t>
      </w:r>
    </w:p>
    <w:p>
      <w:pPr>
        <w:spacing w:after="0" w:line="13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are currently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2021 filed with the SEC on March 3,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no purchases of shares of common stock during the three months ended March 31, 2022. On May 15, 2018, our shareholders approved the renewal and replacement of the share repurchase program previously approved by the shareholders on May 17, 2017. Under the program, we are authorized to purchase up to 4.3 million shares of our common stock in the open market, subject to certain parameters, for a period of five years from the date of approval. As of March 31, 2022, the maximum number of shares that may be purchased under the repurchase program is 2.4 million shares of the Company’s common stock. In addition to the share repurchase program, during the three months ended March 31, 2022, 90,388 common shares were withheld from employees to satisfy tax withholding obligations that arose from the vesting of restricted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14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1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000000"/>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5"/>
          </w:tcPr>
          <w:p>
            <w:pPr>
              <w:ind w:left="20"/>
              <w:spacing w:after="0"/>
              <w:rPr>
                <w:rFonts w:ascii="Arial" w:cs="Arial" w:eastAsia="Arial" w:hAnsi="Arial"/>
                <w:sz w:val="18"/>
                <w:szCs w:val="18"/>
                <w:color w:val="0000FF"/>
                <w:w w:val="94"/>
              </w:rPr>
            </w:pPr>
            <w:hyperlink w:anchor="page47">
              <w:r>
                <w:rPr>
                  <w:rFonts w:ascii="Arial" w:cs="Arial" w:eastAsia="Arial" w:hAnsi="Arial"/>
                  <w:sz w:val="18"/>
                  <w:szCs w:val="18"/>
                  <w:color w:val="0000FF"/>
                  <w:w w:val="94"/>
                </w:rPr>
                <w:t>Director Restricted Share Award Agreement dated as of April 13, 2022 between Mary C. Hickok and Altisource Portfolio Solutions S.A.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10140" w:type="dxa"/>
            <w:vAlign w:val="bottom"/>
            <w:gridSpan w:val="5"/>
          </w:tcPr>
          <w:p>
            <w:pPr>
              <w:ind w:left="20"/>
              <w:spacing w:after="0"/>
              <w:rPr>
                <w:rFonts w:ascii="Arial" w:cs="Arial" w:eastAsia="Arial" w:hAnsi="Arial"/>
                <w:sz w:val="18"/>
                <w:szCs w:val="18"/>
                <w:color w:val="0000FF"/>
              </w:rPr>
            </w:pPr>
            <w:hyperlink w:anchor="page51">
              <w:r>
                <w:rPr>
                  <w:rFonts w:ascii="Arial" w:cs="Arial" w:eastAsia="Arial" w:hAnsi="Arial"/>
                  <w:sz w:val="18"/>
                  <w:szCs w:val="18"/>
                  <w:color w:val="0000FF"/>
                </w:rPr>
                <w:t>Section 302 Certification of the Chief Executive Officer pursuant to Exchange Act Rule 13a-14(a)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480" w:type="dxa"/>
            <w:vAlign w:val="bottom"/>
            <w:tcBorders>
              <w:left w:val="single" w:sz="8" w:color="0000FF"/>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10140" w:type="dxa"/>
            <w:vAlign w:val="bottom"/>
            <w:gridSpan w:val="5"/>
          </w:tcPr>
          <w:p>
            <w:pPr>
              <w:ind w:left="20"/>
              <w:spacing w:after="0"/>
              <w:rPr>
                <w:rFonts w:ascii="Arial" w:cs="Arial" w:eastAsia="Arial" w:hAnsi="Arial"/>
                <w:sz w:val="18"/>
                <w:szCs w:val="18"/>
                <w:color w:val="0000FF"/>
              </w:rPr>
            </w:pPr>
            <w:hyperlink w:anchor="page52">
              <w:r>
                <w:rPr>
                  <w:rFonts w:ascii="Arial" w:cs="Arial" w:eastAsia="Arial" w:hAnsi="Arial"/>
                  <w:sz w:val="18"/>
                  <w:szCs w:val="18"/>
                  <w:color w:val="0000FF"/>
                </w:rPr>
                <w:t>Section 302 Certification of the Chief Financial Officer pursuant to Exchange Act Rule 13a-14(a)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gridSpan w:val="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w:t>
              </w:r>
            </w:hyperlink>
            <w:r>
              <w:rPr>
                <w:rFonts w:ascii="Arial" w:cs="Arial" w:eastAsia="Arial" w:hAnsi="Arial"/>
                <w:sz w:val="18"/>
                <w:szCs w:val="18"/>
                <w:color w:val="2C2C2C"/>
              </w:rPr>
              <w:t>*</w:t>
            </w:r>
          </w:p>
        </w:tc>
        <w:tc>
          <w:tcPr>
            <w:tcW w:w="100" w:type="dxa"/>
            <w:vAlign w:val="bottom"/>
          </w:tcPr>
          <w:p>
            <w:pPr>
              <w:spacing w:after="0"/>
              <w:rPr>
                <w:sz w:val="22"/>
                <w:szCs w:val="22"/>
                <w:color w:val="auto"/>
              </w:rPr>
            </w:pPr>
          </w:p>
        </w:tc>
        <w:tc>
          <w:tcPr>
            <w:tcW w:w="10140" w:type="dxa"/>
            <w:vAlign w:val="bottom"/>
            <w:gridSpan w:val="5"/>
          </w:tcPr>
          <w:p>
            <w:pPr>
              <w:ind w:left="20"/>
              <w:spacing w:after="0"/>
              <w:rPr>
                <w:rFonts w:ascii="Arial" w:cs="Arial" w:eastAsia="Arial" w:hAnsi="Arial"/>
                <w:sz w:val="18"/>
                <w:szCs w:val="18"/>
                <w:color w:val="0000FF"/>
                <w:w w:val="98"/>
              </w:rPr>
            </w:pPr>
            <w:hyperlink w:anchor="page53">
              <w:r>
                <w:rPr>
                  <w:rFonts w:ascii="Arial" w:cs="Arial" w:eastAsia="Arial" w:hAnsi="Arial"/>
                  <w:sz w:val="18"/>
                  <w:szCs w:val="18"/>
                  <w:color w:val="0000FF"/>
                  <w:w w:val="98"/>
                </w:rPr>
                <w:t>Certification by the Chief Executive Officer and Chief Financial Officer pursuant to Section 906 of the Sarbanes-Oxley Act of 2002</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0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3"/>
          </w:tcPr>
          <w:p>
            <w:pPr>
              <w:ind w:left="2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C2C2C"/>
              </w:rPr>
              <w:t>*</w:t>
            </w:r>
          </w:p>
        </w:tc>
        <w:tc>
          <w:tcPr>
            <w:tcW w:w="100" w:type="dxa"/>
            <w:vAlign w:val="bottom"/>
          </w:tcPr>
          <w:p>
            <w:pPr>
              <w:spacing w:after="0"/>
              <w:rPr>
                <w:sz w:val="21"/>
                <w:szCs w:val="21"/>
                <w:color w:val="auto"/>
              </w:rPr>
            </w:pPr>
          </w:p>
        </w:tc>
        <w:tc>
          <w:tcPr>
            <w:tcW w:w="10140" w:type="dxa"/>
            <w:vAlign w:val="bottom"/>
            <w:gridSpan w:val="5"/>
          </w:tcPr>
          <w:p>
            <w:pPr>
              <w:ind w:left="20"/>
              <w:spacing w:after="0"/>
              <w:rPr>
                <w:sz w:val="20"/>
                <w:szCs w:val="20"/>
                <w:color w:val="auto"/>
              </w:rPr>
            </w:pPr>
            <w:r>
              <w:rPr>
                <w:rFonts w:ascii="Arial" w:cs="Arial" w:eastAsia="Arial" w:hAnsi="Arial"/>
                <w:sz w:val="18"/>
                <w:szCs w:val="18"/>
                <w:color w:val="auto"/>
                <w:w w:val="94"/>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3"/>
              </w:rPr>
              <w:t>period ended March 31, 2022 is formatted in Inline XBRL interactive data files: (i) Condensed Consolidated Balance Sheets as of March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2"/>
              </w:rPr>
              <w:t>31, 2022 and December 31, 2021; (ii) Condensed Consolidated Statements of Operations and Comprehensive Loss for the three months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1"/>
              </w:rPr>
              <w:t>ended March 31, 2022 and 2021; (iii) Condensed Consolidated Statements of Equity for the three months ended March 31, 2022 and 2021;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0"/>
              </w:rPr>
              <w:t>(iv) Condensed Consolidated Statements of Cash Flows for the three months ended March 31, 2022 and 2021; and (v) Notes to Condensed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gridSpan w:val="5"/>
          </w:tcPr>
          <w:p>
            <w:pPr>
              <w:ind w:left="20"/>
              <w:spacing w:after="0"/>
              <w:rPr>
                <w:sz w:val="20"/>
                <w:szCs w:val="20"/>
                <w:color w:val="auto"/>
              </w:rPr>
            </w:pPr>
            <w:r>
              <w:rPr>
                <w:rFonts w:ascii="Arial" w:cs="Arial" w:eastAsia="Arial" w:hAnsi="Arial"/>
                <w:sz w:val="18"/>
                <w:szCs w:val="18"/>
                <w:color w:val="auto"/>
              </w:rPr>
              <w:t>Consolidated Financial Statements.</w:t>
            </w:r>
          </w:p>
        </w:tc>
        <w:tc>
          <w:tcPr>
            <w:tcW w:w="0" w:type="dxa"/>
            <w:vAlign w:val="bottom"/>
          </w:tcPr>
          <w:p>
            <w:pPr>
              <w:spacing w:after="0"/>
              <w:rPr>
                <w:sz w:val="1"/>
                <w:szCs w:val="1"/>
                <w:color w:val="auto"/>
              </w:rPr>
            </w:pPr>
          </w:p>
        </w:tc>
      </w:tr>
      <w:tr>
        <w:trPr>
          <w:trHeight w:val="283"/>
        </w:trPr>
        <w:tc>
          <w:tcPr>
            <w:tcW w:w="1000" w:type="dxa"/>
            <w:vAlign w:val="bottom"/>
            <w:gridSpan w:val="3"/>
          </w:tcPr>
          <w:p>
            <w:pPr>
              <w:ind w:left="20"/>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24"/>
                <w:szCs w:val="24"/>
                <w:color w:val="auto"/>
              </w:rPr>
            </w:pPr>
          </w:p>
        </w:tc>
        <w:tc>
          <w:tcPr>
            <w:tcW w:w="10140" w:type="dxa"/>
            <w:vAlign w:val="bottom"/>
            <w:gridSpan w:val="5"/>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1120" w:hanging="1094"/>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8"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774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Michelle D. Esterman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(On behalf of the Registrant and as its Principal Financial</w:t>
      </w:r>
    </w:p>
    <w:p>
      <w:pPr>
        <w:ind w:left="6880"/>
        <w:spacing w:after="0"/>
        <w:rPr>
          <w:sz w:val="20"/>
          <w:szCs w:val="20"/>
          <w:color w:val="auto"/>
        </w:rPr>
      </w:pPr>
      <w:r>
        <w:rPr>
          <w:rFonts w:ascii="Arial" w:cs="Arial" w:eastAsia="Arial" w:hAnsi="Arial"/>
          <w:sz w:val="18"/>
          <w:szCs w:val="18"/>
          <w:color w:val="auto"/>
        </w:rPr>
        <w:t>Officer and Principal Accounting Officer)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5006340</wp:posOffset>
            </wp:positionH>
            <wp:positionV relativeFrom="paragraph">
              <wp:posOffset>120015</wp:posOffset>
            </wp:positionV>
            <wp:extent cx="1508760" cy="720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0876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20"/>
        <w:spacing w:after="0"/>
        <w:rPr>
          <w:sz w:val="20"/>
          <w:szCs w:val="20"/>
          <w:color w:val="auto"/>
        </w:rPr>
      </w:pPr>
      <w:r>
        <w:rPr>
          <w:rFonts w:ascii="Arial" w:cs="Arial" w:eastAsia="Arial" w:hAnsi="Arial"/>
          <w:sz w:val="20"/>
          <w:szCs w:val="20"/>
          <w:b w:val="1"/>
          <w:bCs w:val="1"/>
          <w:color w:val="151515"/>
        </w:rPr>
        <w:t>DIRECTOR RESTRICTED SHARE AWARD AGREEMENT</w:t>
      </w:r>
    </w:p>
    <w:p>
      <w:pPr>
        <w:spacing w:after="0" w:line="221" w:lineRule="exact"/>
        <w:rPr>
          <w:sz w:val="20"/>
          <w:szCs w:val="20"/>
          <w:color w:val="auto"/>
        </w:rPr>
      </w:pPr>
    </w:p>
    <w:p>
      <w:pPr>
        <w:jc w:val="both"/>
        <w:ind w:right="700" w:firstLine="647"/>
        <w:spacing w:after="0" w:line="241" w:lineRule="auto"/>
        <w:rPr>
          <w:sz w:val="20"/>
          <w:szCs w:val="20"/>
          <w:color w:val="auto"/>
        </w:rPr>
      </w:pPr>
      <w:r>
        <w:rPr>
          <w:rFonts w:ascii="Arial" w:cs="Arial" w:eastAsia="Arial" w:hAnsi="Arial"/>
          <w:sz w:val="20"/>
          <w:szCs w:val="20"/>
          <w:color w:val="151515"/>
        </w:rPr>
        <w:t xml:space="preserve">THIS </w:t>
      </w:r>
      <w:r>
        <w:rPr>
          <w:rFonts w:ascii="Arial" w:cs="Arial" w:eastAsia="Arial" w:hAnsi="Arial"/>
          <w:sz w:val="20"/>
          <w:szCs w:val="20"/>
          <w:color w:val="000000"/>
        </w:rPr>
        <w:t>DIRECTOR</w:t>
      </w:r>
      <w:r>
        <w:rPr>
          <w:rFonts w:ascii="Arial" w:cs="Arial" w:eastAsia="Arial" w:hAnsi="Arial"/>
          <w:sz w:val="20"/>
          <w:szCs w:val="20"/>
          <w:color w:val="151515"/>
        </w:rPr>
        <w:t xml:space="preserve"> RESTRICTED SHARE AWARD AGREEMENT (this “Agreement”) is made in the City of Luxembourg, the Grand Duchy of Luxembourg, as of April 13, 2022, by and between </w:t>
      </w:r>
      <w:r>
        <w:rPr>
          <w:rFonts w:ascii="Arial" w:cs="Arial" w:eastAsia="Arial" w:hAnsi="Arial"/>
          <w:sz w:val="20"/>
          <w:szCs w:val="20"/>
          <w:b w:val="1"/>
          <w:bCs w:val="1"/>
          <w:color w:val="151515"/>
        </w:rPr>
        <w:t>Altisource</w:t>
      </w:r>
      <w:r>
        <w:rPr>
          <w:rFonts w:ascii="Arial" w:cs="Arial" w:eastAsia="Arial" w:hAnsi="Arial"/>
          <w:sz w:val="20"/>
          <w:szCs w:val="20"/>
          <w:color w:val="151515"/>
        </w:rPr>
        <w:t xml:space="preserve"> </w:t>
      </w:r>
      <w:r>
        <w:rPr>
          <w:rFonts w:ascii="Arial" w:cs="Arial" w:eastAsia="Arial" w:hAnsi="Arial"/>
          <w:sz w:val="20"/>
          <w:szCs w:val="20"/>
          <w:b w:val="1"/>
          <w:bCs w:val="1"/>
          <w:color w:val="151515"/>
        </w:rPr>
        <w:t>Portfolio Solutions S.A.</w:t>
      </w:r>
      <w:r>
        <w:rPr>
          <w:rFonts w:ascii="Arial" w:cs="Arial" w:eastAsia="Arial" w:hAnsi="Arial"/>
          <w:sz w:val="20"/>
          <w:szCs w:val="20"/>
          <w:color w:val="151515"/>
        </w:rPr>
        <w:t>, a Luxembourg public limited liability company (société anonyme), (the</w:t>
      </w:r>
      <w:r>
        <w:rPr>
          <w:rFonts w:ascii="Arial" w:cs="Arial" w:eastAsia="Arial" w:hAnsi="Arial"/>
          <w:sz w:val="20"/>
          <w:szCs w:val="20"/>
          <w:b w:val="1"/>
          <w:bCs w:val="1"/>
          <w:color w:val="151515"/>
        </w:rPr>
        <w:t xml:space="preserve"> </w:t>
      </w:r>
      <w:r>
        <w:rPr>
          <w:rFonts w:ascii="Arial" w:cs="Arial" w:eastAsia="Arial" w:hAnsi="Arial"/>
          <w:sz w:val="20"/>
          <w:szCs w:val="20"/>
          <w:color w:val="151515"/>
        </w:rPr>
        <w:t xml:space="preserve">“Company”), and </w:t>
      </w:r>
      <w:r>
        <w:rPr>
          <w:rFonts w:ascii="Arial" w:cs="Arial" w:eastAsia="Arial" w:hAnsi="Arial"/>
          <w:sz w:val="20"/>
          <w:szCs w:val="20"/>
          <w:b w:val="1"/>
          <w:bCs w:val="1"/>
          <w:color w:val="151515"/>
        </w:rPr>
        <w:t>Mary C. Hickok</w:t>
      </w:r>
      <w:r>
        <w:rPr>
          <w:rFonts w:ascii="Arial" w:cs="Arial" w:eastAsia="Arial" w:hAnsi="Arial"/>
          <w:sz w:val="20"/>
          <w:szCs w:val="20"/>
          <w:color w:val="151515"/>
        </w:rPr>
        <w:t>, a Director of the Company (the “Director”).</w:t>
      </w:r>
    </w:p>
    <w:p>
      <w:pPr>
        <w:spacing w:after="0" w:line="218" w:lineRule="exact"/>
        <w:rPr>
          <w:sz w:val="20"/>
          <w:szCs w:val="20"/>
          <w:color w:val="auto"/>
        </w:rPr>
      </w:pPr>
    </w:p>
    <w:p>
      <w:pPr>
        <w:jc w:val="both"/>
        <w:ind w:right="720" w:firstLine="647"/>
        <w:spacing w:after="0" w:line="239" w:lineRule="auto"/>
        <w:rPr>
          <w:sz w:val="20"/>
          <w:szCs w:val="20"/>
          <w:color w:val="auto"/>
        </w:rPr>
      </w:pPr>
      <w:r>
        <w:rPr>
          <w:rFonts w:ascii="Arial" w:cs="Arial" w:eastAsia="Arial" w:hAnsi="Arial"/>
          <w:sz w:val="20"/>
          <w:szCs w:val="20"/>
          <w:b w:val="1"/>
          <w:bCs w:val="1"/>
          <w:color w:val="151515"/>
        </w:rPr>
        <w:t xml:space="preserve">WHEREAS, </w:t>
      </w:r>
      <w:r>
        <w:rPr>
          <w:rFonts w:ascii="Arial" w:cs="Arial" w:eastAsia="Arial" w:hAnsi="Arial"/>
          <w:sz w:val="20"/>
          <w:szCs w:val="20"/>
          <w:color w:val="151515"/>
        </w:rPr>
        <w:t>the Board of Directors of the Company (the “Board”) recommended and the</w:t>
      </w:r>
      <w:r>
        <w:rPr>
          <w:rFonts w:ascii="Arial" w:cs="Arial" w:eastAsia="Arial" w:hAnsi="Arial"/>
          <w:sz w:val="20"/>
          <w:szCs w:val="20"/>
          <w:b w:val="1"/>
          <w:bCs w:val="1"/>
          <w:color w:val="151515"/>
        </w:rPr>
        <w:t xml:space="preserve"> </w:t>
      </w:r>
      <w:r>
        <w:rPr>
          <w:rFonts w:ascii="Arial" w:cs="Arial" w:eastAsia="Arial" w:hAnsi="Arial"/>
          <w:sz w:val="20"/>
          <w:szCs w:val="20"/>
          <w:color w:val="151515"/>
        </w:rPr>
        <w:t>shareholders of the Company adopted that certain Altisource Portfolio Solutions S.A. 2009 Equity Incentive Plan (the “Plan”); and</w:t>
      </w:r>
    </w:p>
    <w:p>
      <w:pPr>
        <w:spacing w:after="0" w:line="204" w:lineRule="exact"/>
        <w:rPr>
          <w:sz w:val="20"/>
          <w:szCs w:val="20"/>
          <w:color w:val="auto"/>
        </w:rPr>
      </w:pPr>
    </w:p>
    <w:p>
      <w:pPr>
        <w:jc w:val="both"/>
        <w:ind w:right="720" w:firstLine="647"/>
        <w:spacing w:after="0" w:line="253" w:lineRule="auto"/>
        <w:rPr>
          <w:sz w:val="20"/>
          <w:szCs w:val="20"/>
          <w:color w:val="auto"/>
        </w:rPr>
      </w:pPr>
      <w:r>
        <w:rPr>
          <w:rFonts w:ascii="Arial" w:cs="Arial" w:eastAsia="Arial" w:hAnsi="Arial"/>
          <w:sz w:val="20"/>
          <w:szCs w:val="20"/>
          <w:b w:val="1"/>
          <w:bCs w:val="1"/>
          <w:color w:val="151515"/>
        </w:rPr>
        <w:t xml:space="preserve">WHEREAS, </w:t>
      </w:r>
      <w:r>
        <w:rPr>
          <w:rFonts w:ascii="Arial" w:cs="Arial" w:eastAsia="Arial" w:hAnsi="Arial"/>
          <w:sz w:val="20"/>
          <w:szCs w:val="20"/>
          <w:color w:val="151515"/>
        </w:rPr>
        <w:t>the shareholders have approved a one-time grant of 500 restricted shares of common</w:t>
      </w:r>
      <w:r>
        <w:rPr>
          <w:rFonts w:ascii="Arial" w:cs="Arial" w:eastAsia="Arial" w:hAnsi="Arial"/>
          <w:sz w:val="20"/>
          <w:szCs w:val="20"/>
          <w:b w:val="1"/>
          <w:bCs w:val="1"/>
          <w:color w:val="151515"/>
        </w:rPr>
        <w:t xml:space="preserve"> </w:t>
      </w:r>
      <w:r>
        <w:rPr>
          <w:rFonts w:ascii="Arial" w:cs="Arial" w:eastAsia="Arial" w:hAnsi="Arial"/>
          <w:sz w:val="20"/>
          <w:szCs w:val="20"/>
          <w:color w:val="151515"/>
        </w:rPr>
        <w:t>stock, par value $1.00 per share, to each new non-management Director on the date of his or her initial election to the Board of Directors.</w:t>
      </w:r>
    </w:p>
    <w:p>
      <w:pPr>
        <w:spacing w:after="0" w:line="191" w:lineRule="exact"/>
        <w:rPr>
          <w:sz w:val="20"/>
          <w:szCs w:val="20"/>
          <w:color w:val="auto"/>
        </w:rPr>
      </w:pPr>
    </w:p>
    <w:p>
      <w:pPr>
        <w:jc w:val="both"/>
        <w:ind w:right="720" w:firstLine="647"/>
        <w:spacing w:after="0" w:line="253" w:lineRule="auto"/>
        <w:rPr>
          <w:sz w:val="20"/>
          <w:szCs w:val="20"/>
          <w:color w:val="auto"/>
        </w:rPr>
      </w:pPr>
      <w:r>
        <w:rPr>
          <w:rFonts w:ascii="Arial" w:cs="Arial" w:eastAsia="Arial" w:hAnsi="Arial"/>
          <w:sz w:val="20"/>
          <w:szCs w:val="20"/>
          <w:b w:val="1"/>
          <w:bCs w:val="1"/>
          <w:color w:val="151515"/>
        </w:rPr>
        <w:t xml:space="preserve">NOW THEREFORE, </w:t>
      </w:r>
      <w:r>
        <w:rPr>
          <w:rFonts w:ascii="Arial" w:cs="Arial" w:eastAsia="Arial" w:hAnsi="Arial"/>
          <w:sz w:val="20"/>
          <w:szCs w:val="20"/>
          <w:color w:val="151515"/>
        </w:rPr>
        <w:t>in consideration of the mutual covenants hereinafter set forth and for other good</w:t>
      </w:r>
      <w:r>
        <w:rPr>
          <w:rFonts w:ascii="Arial" w:cs="Arial" w:eastAsia="Arial" w:hAnsi="Arial"/>
          <w:sz w:val="20"/>
          <w:szCs w:val="20"/>
          <w:b w:val="1"/>
          <w:bCs w:val="1"/>
          <w:color w:val="151515"/>
        </w:rPr>
        <w:t xml:space="preserve"> </w:t>
      </w:r>
      <w:r>
        <w:rPr>
          <w:rFonts w:ascii="Arial" w:cs="Arial" w:eastAsia="Arial" w:hAnsi="Arial"/>
          <w:sz w:val="20"/>
          <w:szCs w:val="20"/>
          <w:color w:val="151515"/>
        </w:rPr>
        <w:t>and valuable consideration, and intending to be legally bound hereby, the parties hereto have agreed, and do hereby agree,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151515"/>
        </w:rPr>
        <w:t>1. GRANT OF RESTRICTED SHARES</w:t>
      </w:r>
    </w:p>
    <w:p>
      <w:pPr>
        <w:spacing w:after="0" w:line="235" w:lineRule="exact"/>
        <w:rPr>
          <w:sz w:val="20"/>
          <w:szCs w:val="20"/>
          <w:color w:val="auto"/>
        </w:rPr>
      </w:pPr>
    </w:p>
    <w:p>
      <w:pPr>
        <w:jc w:val="both"/>
        <w:ind w:right="700"/>
        <w:spacing w:after="0" w:line="243" w:lineRule="auto"/>
        <w:rPr>
          <w:sz w:val="20"/>
          <w:szCs w:val="20"/>
          <w:color w:val="auto"/>
        </w:rPr>
      </w:pPr>
      <w:r>
        <w:rPr>
          <w:rFonts w:ascii="Arial" w:cs="Arial" w:eastAsia="Arial" w:hAnsi="Arial"/>
          <w:sz w:val="20"/>
          <w:szCs w:val="20"/>
          <w:color w:val="151515"/>
        </w:rPr>
        <w:t xml:space="preserve">The </w:t>
      </w:r>
      <w:r>
        <w:rPr>
          <w:rFonts w:ascii="Arial" w:cs="Arial" w:eastAsia="Arial" w:hAnsi="Arial"/>
          <w:sz w:val="20"/>
          <w:szCs w:val="20"/>
          <w:color w:val="000000"/>
        </w:rPr>
        <w:t>Company hereby grants to the Director, pursuant to and subject to the Plan, an aggregate of 500</w:t>
      </w:r>
      <w:r>
        <w:rPr>
          <w:rFonts w:ascii="Arial" w:cs="Arial" w:eastAsia="Arial" w:hAnsi="Arial"/>
          <w:sz w:val="20"/>
          <w:szCs w:val="20"/>
          <w:color w:val="151515"/>
        </w:rPr>
        <w:t xml:space="preserve"> </w:t>
      </w:r>
      <w:r>
        <w:rPr>
          <w:rFonts w:ascii="Arial" w:cs="Arial" w:eastAsia="Arial" w:hAnsi="Arial"/>
          <w:sz w:val="20"/>
          <w:szCs w:val="20"/>
          <w:color w:val="000000"/>
        </w:rPr>
        <w:t xml:space="preserve">restricted shares </w:t>
      </w:r>
      <w:r>
        <w:rPr>
          <w:rFonts w:ascii="Arial" w:cs="Arial" w:eastAsia="Arial" w:hAnsi="Arial"/>
          <w:sz w:val="20"/>
          <w:szCs w:val="20"/>
          <w:color w:val="151515"/>
        </w:rPr>
        <w:t>of common stock of the Company (“Restricted Shares”), on the terms and conditions herein</w:t>
      </w:r>
      <w:r>
        <w:rPr>
          <w:rFonts w:ascii="Arial" w:cs="Arial" w:eastAsia="Arial" w:hAnsi="Arial"/>
          <w:sz w:val="20"/>
          <w:szCs w:val="20"/>
          <w:color w:val="000000"/>
        </w:rPr>
        <w:t xml:space="preserve"> </w:t>
      </w:r>
      <w:r>
        <w:rPr>
          <w:rFonts w:ascii="Arial" w:cs="Arial" w:eastAsia="Arial" w:hAnsi="Arial"/>
          <w:sz w:val="20"/>
          <w:szCs w:val="20"/>
          <w:color w:val="151515"/>
        </w:rPr>
        <w:t>set forth (the “Award”).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151515"/>
        </w:rPr>
        <w:t>2. VESTING OF AWARD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151515"/>
        </w:rPr>
        <w:t>A. Generally</w:t>
      </w:r>
    </w:p>
    <w:p>
      <w:pPr>
        <w:spacing w:after="0" w:line="202" w:lineRule="exact"/>
        <w:rPr>
          <w:sz w:val="20"/>
          <w:szCs w:val="20"/>
          <w:color w:val="auto"/>
        </w:rPr>
      </w:pPr>
    </w:p>
    <w:p>
      <w:pPr>
        <w:jc w:val="both"/>
        <w:ind w:right="700"/>
        <w:spacing w:after="0" w:line="241" w:lineRule="auto"/>
        <w:rPr>
          <w:sz w:val="20"/>
          <w:szCs w:val="20"/>
          <w:color w:val="auto"/>
        </w:rPr>
      </w:pPr>
      <w:r>
        <w:rPr>
          <w:rFonts w:ascii="Arial" w:cs="Arial" w:eastAsia="Arial" w:hAnsi="Arial"/>
          <w:sz w:val="20"/>
          <w:szCs w:val="20"/>
          <w:color w:val="151515"/>
        </w:rPr>
        <w:t>The Restricted Shares will vest in four equal installments annually on the date of our annual meeting of shareholders, with the first installment vesting on the date of the Company’s 2022 Annual Meeting of Shareholders. Except as provided in Paragraphs B. and C. of this Section 2, the Award will not vest unless the Director is elected at a general meeting of shareholders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151515"/>
        </w:rPr>
        <w:t>B. Retirement or Disability</w:t>
      </w:r>
    </w:p>
    <w:p>
      <w:pPr>
        <w:spacing w:after="0" w:line="216" w:lineRule="exact"/>
        <w:rPr>
          <w:sz w:val="20"/>
          <w:szCs w:val="20"/>
          <w:color w:val="auto"/>
        </w:rPr>
      </w:pPr>
    </w:p>
    <w:p>
      <w:pPr>
        <w:jc w:val="both"/>
        <w:ind w:right="720"/>
        <w:spacing w:after="0" w:line="241" w:lineRule="auto"/>
        <w:rPr>
          <w:sz w:val="20"/>
          <w:szCs w:val="20"/>
          <w:color w:val="auto"/>
        </w:rPr>
      </w:pPr>
      <w:r>
        <w:rPr>
          <w:rFonts w:ascii="Arial" w:cs="Arial" w:eastAsia="Arial" w:hAnsi="Arial"/>
          <w:sz w:val="20"/>
          <w:szCs w:val="20"/>
          <w:color w:val="151515"/>
        </w:rPr>
        <w:t>If service as a Director is terminated by reason of Retirement or disability prior to vesting of the entire Award, the Award shall continue to vest on the dates set forth in Paragraph A of Section 2 above. As used herein, “Retirement” sh</w:t>
      </w:r>
      <w:r>
        <w:rPr>
          <w:rFonts w:ascii="Arial" w:cs="Arial" w:eastAsia="Arial" w:hAnsi="Arial"/>
          <w:sz w:val="20"/>
          <w:szCs w:val="20"/>
          <w:color w:val="000000"/>
        </w:rPr>
        <w:t>all mean the voluntary cessation of service as a director by a director who is 60 years of age</w:t>
      </w:r>
      <w:r>
        <w:rPr>
          <w:rFonts w:ascii="Arial" w:cs="Arial" w:eastAsia="Arial" w:hAnsi="Arial"/>
          <w:sz w:val="20"/>
          <w:szCs w:val="20"/>
          <w:color w:val="151515"/>
        </w:rPr>
        <w:t xml:space="preserve"> </w:t>
      </w:r>
      <w:r>
        <w:rPr>
          <w:rFonts w:ascii="Arial" w:cs="Arial" w:eastAsia="Arial" w:hAnsi="Arial"/>
          <w:sz w:val="20"/>
          <w:szCs w:val="20"/>
          <w:color w:val="000000"/>
        </w:rPr>
        <w:t>or older and who has served on the Board for at least three years.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131313"/>
        </w:rPr>
        <w:t>C. Death</w:t>
      </w:r>
    </w:p>
    <w:p>
      <w:pPr>
        <w:spacing w:after="0" w:line="216" w:lineRule="exact"/>
        <w:rPr>
          <w:sz w:val="20"/>
          <w:szCs w:val="20"/>
          <w:color w:val="auto"/>
        </w:rPr>
      </w:pPr>
    </w:p>
    <w:p>
      <w:pPr>
        <w:jc w:val="both"/>
        <w:ind w:right="720"/>
        <w:spacing w:after="0" w:line="243" w:lineRule="auto"/>
        <w:rPr>
          <w:sz w:val="20"/>
          <w:szCs w:val="20"/>
          <w:color w:val="auto"/>
        </w:rPr>
      </w:pPr>
      <w:r>
        <w:rPr>
          <w:rFonts w:ascii="Arial" w:cs="Arial" w:eastAsia="Arial" w:hAnsi="Arial"/>
          <w:sz w:val="20"/>
          <w:szCs w:val="20"/>
          <w:color w:val="131313"/>
        </w:rPr>
        <w:t>If service as a Director is terminated by reason of death, any portion of the Award remaining unvested will be forfeited. The vested portion of the Award at the time of death shall pass by will or by the applicable laws of descent or distribution.</w:t>
      </w:r>
    </w:p>
    <w:p>
      <w:pPr>
        <w:sectPr>
          <w:pgSz w:w="11900" w:h="16838" w:orient="portrait"/>
          <w:cols w:equalWidth="0" w:num="1">
            <w:col w:w="10260"/>
          </w:cols>
          <w:pgMar w:left="1300" w:top="756"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842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w:t>
      </w:r>
      <w:r>
        <w:rPr>
          <w:rFonts w:ascii="Arial" w:cs="Arial" w:eastAsia="Arial" w:hAnsi="Arial"/>
          <w:sz w:val="19"/>
          <w:szCs w:val="19"/>
          <w:color w:val="auto"/>
        </w:rPr>
        <w:t xml:space="preserve"> of </w:t>
      </w:r>
      <w:r>
        <w:rPr>
          <w:rFonts w:ascii="Arial" w:cs="Arial" w:eastAsia="Arial" w:hAnsi="Arial"/>
          <w:sz w:val="19"/>
          <w:szCs w:val="19"/>
          <w:b w:val="1"/>
          <w:bCs w:val="1"/>
          <w:color w:val="auto"/>
        </w:rPr>
        <w:t>4</w:t>
      </w:r>
    </w:p>
    <w:p>
      <w:pPr>
        <w:sectPr>
          <w:pgSz w:w="11900" w:h="16838" w:orient="portrait"/>
          <w:cols w:equalWidth="0" w:num="1">
            <w:col w:w="10260"/>
          </w:cols>
          <w:pgMar w:left="1300" w:top="756"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20"/>
          <w:szCs w:val="20"/>
          <w:b w:val="1"/>
          <w:bCs w:val="1"/>
          <w:color w:val="131313"/>
        </w:rPr>
        <w:t>3. METHOD OF AWARD</w:t>
      </w:r>
    </w:p>
    <w:p>
      <w:pPr>
        <w:spacing w:after="0" w:line="235" w:lineRule="exact"/>
        <w:rPr>
          <w:sz w:val="20"/>
          <w:szCs w:val="20"/>
          <w:color w:val="auto"/>
        </w:rPr>
      </w:pPr>
    </w:p>
    <w:p>
      <w:pPr>
        <w:jc w:val="both"/>
        <w:ind w:right="20"/>
        <w:spacing w:after="0"/>
        <w:rPr>
          <w:sz w:val="20"/>
          <w:szCs w:val="20"/>
          <w:color w:val="auto"/>
        </w:rPr>
      </w:pPr>
      <w:r>
        <w:rPr>
          <w:rFonts w:ascii="Arial" w:cs="Arial" w:eastAsia="Arial" w:hAnsi="Arial"/>
          <w:sz w:val="20"/>
          <w:szCs w:val="20"/>
          <w:color w:val="131313"/>
        </w:rPr>
        <w:t>A. On the date of vesting, the Director receiving Company shares of common stock, par value $1.00 per share (“Shares”) shall pay to the Company the full amount of any required withholdings applicable to the taxable income of such Director resulting from the Award in cash unless the Compensation Committee of the Board of Directors, in its sole discretion, shall permit such taxes to be paid in Shares. As soon as practicable after receipt of notice that all required payments by the person receiving the Award have been made, the Company shall deliver a certificate or certificates representing said vested Shares to the Director receiving the Award, or cause such Shares to be delivered through electronic delivery to the Director’s account at American Stock Transfer &amp; Trust Company, LLC.</w:t>
      </w:r>
    </w:p>
    <w:p>
      <w:pPr>
        <w:spacing w:after="0" w:line="226" w:lineRule="exact"/>
        <w:rPr>
          <w:sz w:val="20"/>
          <w:szCs w:val="20"/>
          <w:color w:val="auto"/>
        </w:rPr>
      </w:pPr>
    </w:p>
    <w:p>
      <w:pPr>
        <w:jc w:val="both"/>
        <w:ind w:right="20"/>
        <w:spacing w:after="0" w:line="253" w:lineRule="auto"/>
        <w:rPr>
          <w:sz w:val="20"/>
          <w:szCs w:val="20"/>
          <w:color w:val="auto"/>
        </w:rPr>
      </w:pPr>
      <w:r>
        <w:rPr>
          <w:rFonts w:ascii="Arial" w:cs="Arial" w:eastAsia="Arial" w:hAnsi="Arial"/>
          <w:sz w:val="19"/>
          <w:szCs w:val="19"/>
          <w:color w:val="131313"/>
        </w:rPr>
        <w:t>B. The Director hereby represents and covenants that (a) any Shares acquired upon the vesting of the Award will be acquired for investment and not with a view to the distribution thereof within the meaning of the Securities Act of 1933, as amended (the “Securities Act”), unless such acquisition has been registered under the Securities Act and any applicable state securities law; (b) any subsequent sale of any such Shares shall be made either pursuant to an effective registration statement under the Securities Act and any applicable state securities laws, or pursuant to an exemption from registration under the Securities Act and such state securities laws; and (c) if requested by the Company, the Director shall submit a written statement, in a form satisfactory to the Company, to the effect that such representation (x) is true and correct as of the date of acquisition of any Shares hereunder or (y) is true and correct as of the date of any sale of any such Shares, as applicable. As a further condition precedent to the delivery to the Director of any Shares subject to the Award, the Director shall comply with all regulations and requirements of any regulatory authority having control of or supervision over the issuance of the Shares and, in connection therewith, shall execute any documents which the Company shall in its sole discretion deem necessary or advisable.</w:t>
      </w:r>
    </w:p>
    <w:p>
      <w:pPr>
        <w:spacing w:after="0" w:line="232" w:lineRule="exact"/>
        <w:rPr>
          <w:sz w:val="20"/>
          <w:szCs w:val="20"/>
          <w:color w:val="auto"/>
        </w:rPr>
      </w:pPr>
    </w:p>
    <w:p>
      <w:pPr>
        <w:jc w:val="both"/>
        <w:ind w:right="20"/>
        <w:spacing w:after="0" w:line="255" w:lineRule="auto"/>
        <w:rPr>
          <w:sz w:val="20"/>
          <w:szCs w:val="20"/>
          <w:color w:val="auto"/>
        </w:rPr>
      </w:pPr>
      <w:r>
        <w:rPr>
          <w:rFonts w:ascii="Arial" w:cs="Arial" w:eastAsia="Arial" w:hAnsi="Arial"/>
          <w:sz w:val="19"/>
          <w:szCs w:val="19"/>
          <w:color w:val="131313"/>
        </w:rPr>
        <w:t>C. The Award is subject to the condition that if the listing, registration or qualification of the Shares subject to the Award upon any securities exchange or under any law, or the consent or approval of any governmental body, or the taking of any other action is necessary or desirable as a condition of, or in connection with, the vesting or delivery of the Shares hereunder, the Shares subject to the Award shall not vest or be delivered, in whole or in part, unless such listing, registration, qualification, consent or approval shall have been effected or obtained, free of any conditions not acceptable to the Company. The Company agrees to use reasonable efforts to effect or obtain any such listing, registration, qualification, consent or approval.</w:t>
      </w:r>
    </w:p>
    <w:p>
      <w:pPr>
        <w:spacing w:after="0" w:line="225"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131313"/>
        </w:rPr>
        <w:t>D. The Director authorizes Company to disclose Director’s personal data (including Director’s full name, date of birth, tax identification number, e-mail, address, postal address and other contact information), as well as information regarding the Award to Solium Capital LLC, American Stock Transfer &amp; Trust Company, LLC and other vendors, providers and third parties to facilitate the administration of the 2009 Plan and the management of the awards granted to the Director.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131313"/>
        </w:rPr>
        <w:t>4. TERMINATION OF AWARD</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131313"/>
        </w:rPr>
        <w:t>A. If the Director ceases to serve as a Director of the Company other than by reason of Retirement or disability prior to vesting of the entire Award, the Award shall terminate and be cancelled for the Shares that have not already vested on the last day of the Director’s service on the Company’s Board of Directors.</w:t>
      </w:r>
    </w:p>
    <w:p>
      <w:pPr>
        <w:spacing w:after="0" w:line="23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131313"/>
        </w:rPr>
        <w:t>B. In no event shall the granting of the Award or its acceptance by the Director give or be deemed to give the Director any right to continued service on the Board of Directors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131313"/>
        </w:rPr>
        <w:t>5. CONTINUED SERVICE</w:t>
      </w:r>
    </w:p>
    <w:p>
      <w:pPr>
        <w:spacing w:after="0" w:line="221"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131313"/>
        </w:rPr>
        <w:t>The Director agrees that she will remain in the service of the Company on the Board of Directors at least until the date of the 2022 Annual General Meeting of Shareholders and that she will, during such service, spend the time and effort necessary to properly discharge his/her responsibilities. In the event of</w:t>
      </w:r>
    </w:p>
    <w:p>
      <w:pPr>
        <w:spacing w:after="0" w:line="92" w:lineRule="exact"/>
        <w:rPr>
          <w:sz w:val="20"/>
          <w:szCs w:val="20"/>
          <w:color w:val="auto"/>
        </w:rPr>
      </w:pPr>
    </w:p>
    <w:p>
      <w:pPr>
        <w:ind w:left="842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2</w:t>
      </w:r>
      <w:r>
        <w:rPr>
          <w:rFonts w:ascii="Arial" w:cs="Arial" w:eastAsia="Arial" w:hAnsi="Arial"/>
          <w:sz w:val="20"/>
          <w:szCs w:val="20"/>
          <w:color w:val="auto"/>
        </w:rPr>
        <w:t xml:space="preserve"> of </w:t>
      </w:r>
      <w:r>
        <w:rPr>
          <w:rFonts w:ascii="Arial" w:cs="Arial" w:eastAsia="Arial" w:hAnsi="Arial"/>
          <w:sz w:val="20"/>
          <w:szCs w:val="20"/>
          <w:b w:val="1"/>
          <w:bCs w:val="1"/>
          <w:color w:val="auto"/>
        </w:rPr>
        <w:t>4</w:t>
      </w:r>
    </w:p>
    <w:p>
      <w:pPr>
        <w:sectPr>
          <w:pgSz w:w="11900" w:h="16838" w:orient="portrait"/>
          <w:cols w:equalWidth="0" w:num="1">
            <w:col w:w="9560"/>
          </w:cols>
          <w:pgMar w:left="1300" w:top="738" w:right="1039" w:bottom="1440" w:gutter="0" w:footer="0" w:header="0"/>
        </w:sectPr>
      </w:pPr>
    </w:p>
    <w:bookmarkStart w:id="48" w:name="page49"/>
    <w:bookmarkEnd w:id="48"/>
    <w:p>
      <w:pPr>
        <w:ind w:right="260"/>
        <w:spacing w:after="0" w:line="246" w:lineRule="auto"/>
        <w:rPr>
          <w:sz w:val="20"/>
          <w:szCs w:val="20"/>
          <w:color w:val="auto"/>
        </w:rPr>
      </w:pPr>
      <w:r>
        <w:rPr>
          <w:rFonts w:ascii="Arial" w:cs="Arial" w:eastAsia="Arial" w:hAnsi="Arial"/>
          <w:sz w:val="20"/>
          <w:szCs w:val="20"/>
          <w:color w:val="131313"/>
        </w:rPr>
        <w:t>the termination of the Director’s service on the Board of Directors during said period, the Award, to the extent not theretofore vested, shall terminate.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131313"/>
        </w:rPr>
        <w:t>6. ADJUSTMENT UPON CHANGES IN SHARES</w:t>
      </w:r>
    </w:p>
    <w:p>
      <w:pPr>
        <w:spacing w:after="0" w:line="23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131313"/>
        </w:rPr>
        <w:t>If there shall be any change in the Shares subject to the Award granted hereunder, through merger, consolidation, reorganization, recapitalization, stock dividend, stock split or other change in the corporate structure, appropriate adjustments may be made by the Board of Directors of the Company (or if the Company is not the surviving Company in any such transaction, the Board of Directors of the surviving Company) in the aggregate number, kind of shares and price per share subject to the Award.</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131313"/>
        </w:rPr>
        <w:t>7. OWNERSHIP OF RESTRICTED SHARES; DIVIDENDS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151515"/>
        </w:rPr>
        <w:t>A. Ownership of Shares</w:t>
      </w:r>
    </w:p>
    <w:p>
      <w:pPr>
        <w:spacing w:after="0" w:line="216" w:lineRule="exact"/>
        <w:rPr>
          <w:sz w:val="20"/>
          <w:szCs w:val="20"/>
          <w:color w:val="auto"/>
        </w:rPr>
      </w:pPr>
    </w:p>
    <w:p>
      <w:pPr>
        <w:jc w:val="both"/>
        <w:ind w:right="60"/>
        <w:spacing w:after="0"/>
        <w:rPr>
          <w:sz w:val="20"/>
          <w:szCs w:val="20"/>
          <w:color w:val="auto"/>
        </w:rPr>
      </w:pPr>
      <w:r>
        <w:rPr>
          <w:rFonts w:ascii="Arial" w:cs="Arial" w:eastAsia="Arial" w:hAnsi="Arial"/>
          <w:sz w:val="20"/>
          <w:szCs w:val="20"/>
          <w:color w:val="auto"/>
        </w:rPr>
        <w:t>Subject to the restrictions set forth in the Plan, the Director shall possess all incidents of ownership of the Restricted Shares granted hereunder, including, without limitation, but subject to Paragraph B of this Section 7, the right to receive dividends with respect to such Restricted Shares (but only to the extent declared and paid to holders of common stock by the Company in accordance with Luxembourg law), provided, however, that any such dividends shall accrue, but only be delivered to the Director with respect to Restricted Shares that have vested, and such dividends shall be treated, to the extent required by applicable law, as additional compensation for tax purposes if paid on Restricted Shares. Notwithstanding the foregoing, the Director shall have no right to vote the Restricted Shares unless and only to the extent the Restricted Shares have vested in accordance with this Agreement.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151515"/>
        </w:rPr>
        <w:t>B. Dividends</w:t>
      </w:r>
    </w:p>
    <w:p>
      <w:pPr>
        <w:spacing w:after="0" w:line="202" w:lineRule="exact"/>
        <w:rPr>
          <w:sz w:val="20"/>
          <w:szCs w:val="20"/>
          <w:color w:val="auto"/>
        </w:rPr>
      </w:pPr>
    </w:p>
    <w:p>
      <w:pPr>
        <w:jc w:val="both"/>
        <w:ind w:right="60"/>
        <w:spacing w:after="0" w:line="257" w:lineRule="auto"/>
        <w:rPr>
          <w:sz w:val="20"/>
          <w:szCs w:val="20"/>
          <w:color w:val="auto"/>
        </w:rPr>
      </w:pPr>
      <w:r>
        <w:rPr>
          <w:rFonts w:ascii="Arial" w:cs="Arial" w:eastAsia="Arial" w:hAnsi="Arial"/>
          <w:sz w:val="19"/>
          <w:szCs w:val="19"/>
          <w:color w:val="auto"/>
        </w:rPr>
        <w:t>Any dividends with respect to Restricted Shares (whether such dividends are paid in cash, stock or other property) (i) shall be subject to the same restrictions (including the risk of forfeiture) as the Restricted Shares with respect to which they are issued; (ii) shall herein be encompassed within the term “Restricted Shares;” (iii) shall be held by the Company for the Director prior to vesting; and (iv) shall be paid or otherwise released to the Director, without interest, following the vesting of Restricted Shares with respect to which they were issued.</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151515"/>
        </w:rPr>
        <w:t>C. Non-Transferability of the Award</w:t>
      </w:r>
    </w:p>
    <w:p>
      <w:pPr>
        <w:spacing w:after="0" w:line="202" w:lineRule="exact"/>
        <w:rPr>
          <w:sz w:val="20"/>
          <w:szCs w:val="20"/>
          <w:color w:val="auto"/>
        </w:rPr>
      </w:pPr>
    </w:p>
    <w:p>
      <w:pPr>
        <w:jc w:val="both"/>
        <w:ind w:right="60"/>
        <w:spacing w:after="0" w:line="241" w:lineRule="auto"/>
        <w:rPr>
          <w:sz w:val="20"/>
          <w:szCs w:val="20"/>
          <w:color w:val="auto"/>
        </w:rPr>
      </w:pPr>
      <w:r>
        <w:rPr>
          <w:rFonts w:ascii="Arial" w:cs="Arial" w:eastAsia="Arial" w:hAnsi="Arial"/>
          <w:sz w:val="19"/>
          <w:szCs w:val="19"/>
          <w:color w:val="131313"/>
        </w:rPr>
        <w:t>The Award shall not be transferable otherwise than by will or by the applicable laws of descent and distribution. More particularly (but without limiting the generality of the foregoing), the Award may not be assigned, transferred (except as aforesaid), pledged or hypothecated in any way (whether by operation of law or otherwise) and shall not be subject to execution, attachment or similar process. Any attempted assignment, transfer, pledge, hypothecation or other disposition of the Award contrary to the provisions hereof, and the levy of any execution, attachment or similar process upon the Award, shall be null and void and without effect.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131313"/>
        </w:rPr>
        <w:t>8. PAYMENT OF EXPENSES AND COMPLIANCE WITH LAWS</w:t>
      </w:r>
    </w:p>
    <w:p>
      <w:pPr>
        <w:spacing w:after="0" w:line="235"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color w:val="131313"/>
        </w:rPr>
        <w:t>The Company shall reserve and keep available such number of Shares as will be sufficient to satisfy the requirements of this Agreement, shall pay all original issue and/or transfer taxes with respect to the issue and/or transfer of Shares pursuant hereto and all other fees and expenses necessarily incurred by the Company in connection therewith and will from time to time use its best efforts to comply with all laws and regulations which, in the opinion of counsel for the Company, shall be applicable thereto.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400"/>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3</w:t>
      </w:r>
      <w:r>
        <w:rPr>
          <w:rFonts w:ascii="Arial" w:cs="Arial" w:eastAsia="Arial" w:hAnsi="Arial"/>
          <w:sz w:val="20"/>
          <w:szCs w:val="20"/>
          <w:color w:val="auto"/>
        </w:rPr>
        <w:t xml:space="preserve"> of </w:t>
      </w:r>
      <w:r>
        <w:rPr>
          <w:rFonts w:ascii="Arial" w:cs="Arial" w:eastAsia="Arial" w:hAnsi="Arial"/>
          <w:sz w:val="20"/>
          <w:szCs w:val="20"/>
          <w:b w:val="1"/>
          <w:bCs w:val="1"/>
          <w:color w:val="auto"/>
        </w:rPr>
        <w:t>4</w:t>
      </w:r>
    </w:p>
    <w:p>
      <w:pPr>
        <w:sectPr>
          <w:pgSz w:w="11900" w:h="16838" w:orient="portrait"/>
          <w:cols w:equalWidth="0" w:num="1">
            <w:col w:w="9760"/>
          </w:cols>
          <w:pgMar w:left="1140" w:top="770" w:right="999" w:bottom="1440" w:gutter="0" w:footer="0" w:header="0"/>
        </w:sectPr>
      </w:pPr>
    </w:p>
    <w:bookmarkStart w:id="49" w:name="page50"/>
    <w:bookmarkEnd w:id="49"/>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141414"/>
        </w:rPr>
        <w:t>9. AMENDMENT</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141414"/>
        </w:rPr>
        <w:t>In the event that the shareholders of the Company shall amend the Plan and such amendment shall modify or otherwise affect the subject matter of this Agreement, this Agreement shall, to that extent, be deemed to be amended by such amendment to the Plan.</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141414"/>
        </w:rPr>
        <w:t>10. CONSTRUCTION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141414"/>
        </w:rPr>
        <w:t>This Agreement shall be governed in all respects by the laws of the Grand Duchy of Luxembourg.</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141414"/>
        </w:rPr>
        <w:t>11. ENTIRE AGREEMENT</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141414"/>
        </w:rPr>
        <w:t>This Agreement constitutes the entire agreement between the Company and the Director and supersedes all other discussions, correspondence, representations, understandings and agreements between the parties, with respect to the subject matter hereof.</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141414"/>
        </w:rPr>
        <w:t>12. HEADINGS</w:t>
      </w:r>
    </w:p>
    <w:p>
      <w:pPr>
        <w:spacing w:after="0" w:line="235" w:lineRule="exact"/>
        <w:rPr>
          <w:sz w:val="20"/>
          <w:szCs w:val="20"/>
          <w:color w:val="auto"/>
        </w:rPr>
      </w:pPr>
    </w:p>
    <w:p>
      <w:pPr>
        <w:ind w:right="700"/>
        <w:spacing w:after="0" w:line="236" w:lineRule="auto"/>
        <w:rPr>
          <w:sz w:val="20"/>
          <w:szCs w:val="20"/>
          <w:color w:val="auto"/>
        </w:rPr>
      </w:pPr>
      <w:r>
        <w:rPr>
          <w:rFonts w:ascii="Arial" w:cs="Arial" w:eastAsia="Arial" w:hAnsi="Arial"/>
          <w:sz w:val="20"/>
          <w:szCs w:val="20"/>
          <w:color w:val="141414"/>
        </w:rPr>
        <w:t>The headings of the paragraphs of this Agreement are inserted for convenience only and shall not be deemed a part hereof</w:t>
      </w:r>
      <w:r>
        <w:rPr>
          <w:rFonts w:ascii="Arial" w:cs="Arial" w:eastAsia="Arial" w:hAnsi="Arial"/>
          <w:sz w:val="20"/>
          <w:szCs w:val="20"/>
          <w:color w:val="454545"/>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b w:val="1"/>
          <w:bCs w:val="1"/>
          <w:color w:val="auto"/>
        </w:rPr>
        <w:t>ATTEST:</w:t>
      </w:r>
      <w:r>
        <w:rPr>
          <w:sz w:val="20"/>
          <w:szCs w:val="20"/>
          <w:color w:val="auto"/>
        </w:rPr>
        <w:tab/>
      </w:r>
      <w:r>
        <w:rPr>
          <w:rFonts w:ascii="Arial" w:cs="Arial" w:eastAsia="Arial" w:hAnsi="Arial"/>
          <w:sz w:val="20"/>
          <w:szCs w:val="20"/>
          <w:b w:val="1"/>
          <w:bCs w:val="1"/>
          <w:color w:val="auto"/>
        </w:rPr>
        <w:t>ALTISOURCE PORTFOLIO SOLUTIONS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305435</wp:posOffset>
            </wp:positionV>
            <wp:extent cx="4843145" cy="7454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43145" cy="74549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1685925</wp:posOffset>
            </wp:positionV>
            <wp:extent cx="1671320" cy="891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71320" cy="891540"/>
                    </a:xfrm>
                    <a:prstGeom prst="rect">
                      <a:avLst/>
                    </a:prstGeom>
                    <a:noFill/>
                  </pic:spPr>
                </pic:pic>
              </a:graphicData>
            </a:graphic>
          </wp:anchor>
        </w:drawing>
      </w:r>
    </w:p>
    <w:p>
      <w:pPr>
        <w:sectPr>
          <w:pgSz w:w="11900" w:h="16838" w:orient="portrait"/>
          <w:cols w:equalWidth="0" w:num="1">
            <w:col w:w="9540"/>
          </w:cols>
          <w:pgMar w:left="13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42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4</w:t>
      </w:r>
      <w:r>
        <w:rPr>
          <w:rFonts w:ascii="Arial" w:cs="Arial" w:eastAsia="Arial" w:hAnsi="Arial"/>
          <w:sz w:val="19"/>
          <w:szCs w:val="19"/>
          <w:color w:val="auto"/>
        </w:rPr>
        <w:t xml:space="preserve"> of </w:t>
      </w:r>
      <w:r>
        <w:rPr>
          <w:rFonts w:ascii="Arial" w:cs="Arial" w:eastAsia="Arial" w:hAnsi="Arial"/>
          <w:sz w:val="19"/>
          <w:szCs w:val="19"/>
          <w:b w:val="1"/>
          <w:bCs w:val="1"/>
          <w:color w:val="auto"/>
        </w:rPr>
        <w:t>4</w:t>
      </w:r>
    </w:p>
    <w:p>
      <w:pPr>
        <w:sectPr>
          <w:pgSz w:w="11900" w:h="16838" w:orient="portrait"/>
          <w:cols w:equalWidth="0" w:num="1">
            <w:col w:w="9540"/>
          </w:cols>
          <w:pgMar w:left="1300" w:top="1440" w:right="105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71"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Altisource Portfolio Solutions S.A.;</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April 28, 2022</w:t>
            </w:r>
          </w:p>
        </w:tc>
        <w:tc>
          <w:tcPr>
            <w:tcW w:w="7160" w:type="dxa"/>
            <w:vAlign w:val="bottom"/>
            <w:gridSpan w:val="2"/>
          </w:tcPr>
          <w:p>
            <w:pPr>
              <w:ind w:left="2300"/>
              <w:spacing w:after="0"/>
              <w:rPr>
                <w:sz w:val="20"/>
                <w:szCs w:val="20"/>
                <w:color w:val="auto"/>
              </w:rPr>
            </w:pPr>
            <w:r>
              <w:rPr>
                <w:rFonts w:ascii="Arial" w:cs="Arial" w:eastAsia="Arial" w:hAnsi="Arial"/>
                <w:sz w:val="18"/>
                <w:szCs w:val="18"/>
                <w:color w:val="auto"/>
              </w:rPr>
              <w:t>By:   /s/ William B. Shepro</w:t>
            </w:r>
          </w:p>
        </w:tc>
      </w:tr>
      <w:tr>
        <w:trPr>
          <w:trHeight w:val="222"/>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William B. Shepro</w:t>
            </w:r>
          </w:p>
        </w:tc>
      </w:tr>
      <w:tr>
        <w:trPr>
          <w:trHeight w:val="230"/>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171"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Altisource Portfolio Solutions S.A.;</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4"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10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111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hanging="324"/>
        <w:spacing w:after="0" w:line="342" w:lineRule="auto"/>
        <w:tabs>
          <w:tab w:leader="none" w:pos="113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980" w:hanging="324"/>
        <w:spacing w:after="0" w:line="263" w:lineRule="auto"/>
        <w:tabs>
          <w:tab w:leader="none" w:pos="104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5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1176"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hanging="324"/>
        <w:spacing w:after="0" w:line="277"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April 28, 2022</w:t>
            </w:r>
          </w:p>
        </w:tc>
        <w:tc>
          <w:tcPr>
            <w:tcW w:w="7160" w:type="dxa"/>
            <w:vAlign w:val="bottom"/>
            <w:gridSpan w:val="2"/>
          </w:tcPr>
          <w:p>
            <w:pPr>
              <w:ind w:left="2300"/>
              <w:spacing w:after="0"/>
              <w:rPr>
                <w:sz w:val="20"/>
                <w:szCs w:val="20"/>
                <w:color w:val="auto"/>
              </w:rPr>
            </w:pPr>
            <w:r>
              <w:rPr>
                <w:rFonts w:ascii="Arial" w:cs="Arial" w:eastAsia="Arial" w:hAnsi="Arial"/>
                <w:sz w:val="18"/>
                <w:szCs w:val="18"/>
                <w:color w:val="auto"/>
              </w:rPr>
              <w:t>By:   /s/ Michelle D. Esterman</w:t>
            </w:r>
          </w:p>
        </w:tc>
      </w:tr>
      <w:tr>
        <w:trPr>
          <w:trHeight w:val="222"/>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Michelle D. Esterman</w:t>
            </w:r>
          </w:p>
        </w:tc>
      </w:tr>
      <w:tr>
        <w:trPr>
          <w:trHeight w:val="230"/>
        </w:trPr>
        <w:tc>
          <w:tcPr>
            <w:tcW w:w="37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37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180"/>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2022</w:t>
      </w: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Altisource Portfolio Solutions S.A. (the “Company”) for the quarterly period ended March 31, 2022,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33" w:lineRule="exact"/>
        <w:rPr>
          <w:sz w:val="20"/>
          <w:szCs w:val="20"/>
          <w:color w:val="auto"/>
        </w:rPr>
      </w:pPr>
    </w:p>
    <w:p>
      <w:pPr>
        <w:ind w:left="720" w:hanging="388"/>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82" w:lineRule="exact"/>
        <w:rPr>
          <w:rFonts w:ascii="Arial" w:cs="Arial" w:eastAsia="Arial" w:hAnsi="Arial"/>
          <w:sz w:val="17"/>
          <w:szCs w:val="17"/>
          <w:color w:val="auto"/>
        </w:rPr>
      </w:pPr>
    </w:p>
    <w:p>
      <w:pPr>
        <w:ind w:left="720" w:hanging="388"/>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B. Shepro</w:t>
            </w:r>
          </w:p>
        </w:tc>
        <w:tc>
          <w:tcPr>
            <w:tcW w:w="1040" w:type="dxa"/>
            <w:vAlign w:val="bottom"/>
          </w:tcPr>
          <w:p>
            <w:pPr>
              <w:ind w:left="5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D. Esterman</w:t>
            </w:r>
          </w:p>
        </w:tc>
      </w:tr>
      <w:tr>
        <w:trPr>
          <w:trHeight w:val="222"/>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William B. Shepro</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Michelle D. Esterman</w:t>
            </w:r>
          </w:p>
        </w:tc>
      </w:tr>
      <w:tr>
        <w:trPr>
          <w:trHeight w:val="230"/>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April 28, 2022</w:t>
            </w:r>
          </w:p>
        </w:tc>
        <w:tc>
          <w:tcPr>
            <w:tcW w:w="104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April 28, 2022</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2022-04-28T06:16:21Z</dcterms:created>
  <dcterms:modified xsi:type="dcterms:W3CDTF">2022-04-28T06:16:21Z</dcterms:modified>
</cp:coreProperties>
</file>