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97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100965</wp:posOffset>
            </wp:positionV>
            <wp:extent cx="199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09" w:lineRule="exact"/>
        <w:rPr>
          <w:sz w:val="24"/>
          <w:szCs w:val="24"/>
          <w:color w:val="auto"/>
        </w:rPr>
      </w:pPr>
    </w:p>
    <w:p>
      <w:pPr>
        <w:ind w:left="160"/>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p>
    <w:p>
      <w:pPr>
        <w:ind w:left="1020" w:hanging="614"/>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September 30, 2021</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6" w:lineRule="exact"/>
        <w:rPr>
          <w:sz w:val="24"/>
          <w:szCs w:val="24"/>
          <w:color w:val="auto"/>
        </w:rPr>
      </w:pPr>
    </w:p>
    <w:p>
      <w:pPr>
        <w:ind w:left="1020" w:hanging="614"/>
        <w:spacing w:after="0"/>
        <w:tabs>
          <w:tab w:leader="none" w:pos="102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154305</wp:posOffset>
            </wp:positionV>
            <wp:extent cx="1997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9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jc w:val="center"/>
              <w:ind w:left="1804"/>
              <w:spacing w:after="0"/>
              <w:rPr>
                <w:sz w:val="20"/>
                <w:szCs w:val="20"/>
                <w:color w:val="auto"/>
              </w:rPr>
            </w:pPr>
            <w:r>
              <w:rPr>
                <w:rFonts w:ascii="Arial" w:cs="Arial" w:eastAsia="Arial" w:hAnsi="Arial"/>
                <w:sz w:val="18"/>
                <w:szCs w:val="18"/>
                <w:b w:val="1"/>
                <w:bCs w:val="1"/>
                <w:color w:val="auto"/>
                <w:w w:val="91"/>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jc w:val="right"/>
              <w:ind w:right="2324"/>
              <w:spacing w:after="0"/>
              <w:rPr>
                <w:sz w:val="20"/>
                <w:szCs w:val="20"/>
                <w:color w:val="auto"/>
              </w:rPr>
            </w:pPr>
            <w:r>
              <w:rPr>
                <w:rFonts w:ascii="Arial" w:cs="Arial" w:eastAsia="Arial" w:hAnsi="Arial"/>
                <w:sz w:val="18"/>
                <w:szCs w:val="18"/>
                <w:b w:val="1"/>
                <w:bCs w:val="1"/>
                <w:color w:val="auto"/>
              </w:rPr>
              <w:t>98-0554932</w:t>
            </w:r>
          </w:p>
        </w:tc>
      </w:tr>
      <w:tr>
        <w:trPr>
          <w:trHeight w:val="182"/>
        </w:trPr>
        <w:tc>
          <w:tcPr>
            <w:tcW w:w="7260" w:type="dxa"/>
            <w:vAlign w:val="bottom"/>
            <w:gridSpan w:val="6"/>
          </w:tcPr>
          <w:p>
            <w:pPr>
              <w:jc w:val="center"/>
              <w:ind w:right="16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80" w:type="dxa"/>
            <w:vAlign w:val="bottom"/>
          </w:tcPr>
          <w:p>
            <w:pPr>
              <w:jc w:val="center"/>
              <w:ind w:right="1624"/>
              <w:spacing w:after="0"/>
              <w:rPr>
                <w:sz w:val="20"/>
                <w:szCs w:val="20"/>
                <w:color w:val="auto"/>
              </w:rPr>
            </w:pPr>
            <w:r>
              <w:rPr>
                <w:rFonts w:ascii="Arial" w:cs="Arial" w:eastAsia="Arial" w:hAnsi="Arial"/>
                <w:sz w:val="14"/>
                <w:szCs w:val="14"/>
                <w:color w:val="auto"/>
                <w:w w:val="96"/>
              </w:rPr>
              <w:t>(I.R.S. Employer Identification No.)</w:t>
            </w:r>
          </w:p>
        </w:tc>
      </w:tr>
      <w:tr>
        <w:trPr>
          <w:trHeight w:val="358"/>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42, avenue Monterey</w:t>
            </w:r>
          </w:p>
        </w:tc>
        <w:tc>
          <w:tcPr>
            <w:tcW w:w="39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L-2163 Luxembourg</w:t>
            </w:r>
          </w:p>
        </w:tc>
        <w:tc>
          <w:tcPr>
            <w:tcW w:w="39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Grand Duchy of Luxembourg</w:t>
            </w:r>
          </w:p>
        </w:tc>
        <w:tc>
          <w:tcPr>
            <w:tcW w:w="3980" w:type="dxa"/>
            <w:vAlign w:val="bottom"/>
          </w:tcPr>
          <w:p>
            <w:pPr>
              <w:spacing w:after="0"/>
              <w:rPr>
                <w:sz w:val="18"/>
                <w:szCs w:val="18"/>
                <w:color w:val="auto"/>
              </w:rPr>
            </w:pPr>
          </w:p>
        </w:tc>
      </w:tr>
      <w:tr>
        <w:trPr>
          <w:trHeight w:val="182"/>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4"/>
                <w:szCs w:val="14"/>
                <w:color w:val="auto"/>
                <w:w w:val="95"/>
              </w:rPr>
              <w:t>(Address of principal executive offices)</w:t>
            </w:r>
          </w:p>
        </w:tc>
        <w:tc>
          <w:tcPr>
            <w:tcW w:w="3980" w:type="dxa"/>
            <w:vAlign w:val="bottom"/>
          </w:tcPr>
          <w:p>
            <w:pPr>
              <w:spacing w:after="0"/>
              <w:rPr>
                <w:sz w:val="15"/>
                <w:szCs w:val="15"/>
                <w:color w:val="auto"/>
              </w:rPr>
            </w:pPr>
          </w:p>
        </w:tc>
      </w:tr>
      <w:tr>
        <w:trPr>
          <w:trHeight w:val="304"/>
        </w:trPr>
        <w:tc>
          <w:tcPr>
            <w:tcW w:w="3720" w:type="dxa"/>
            <w:vAlign w:val="bottom"/>
          </w:tcPr>
          <w:p>
            <w:pPr>
              <w:spacing w:after="0"/>
              <w:rPr>
                <w:sz w:val="24"/>
                <w:szCs w:val="24"/>
                <w:color w:val="auto"/>
              </w:rPr>
            </w:pPr>
          </w:p>
        </w:tc>
        <w:tc>
          <w:tcPr>
            <w:tcW w:w="304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90"/>
              </w:rPr>
              <w:t>(352) 27 61 49 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2"/>
        </w:trPr>
        <w:tc>
          <w:tcPr>
            <w:tcW w:w="3720" w:type="dxa"/>
            <w:vAlign w:val="bottom"/>
          </w:tcPr>
          <w:p>
            <w:pPr>
              <w:spacing w:after="0"/>
              <w:rPr>
                <w:sz w:val="15"/>
                <w:szCs w:val="15"/>
                <w:color w:val="auto"/>
              </w:rPr>
            </w:pPr>
          </w:p>
        </w:tc>
        <w:tc>
          <w:tcPr>
            <w:tcW w:w="3540" w:type="dxa"/>
            <w:vAlign w:val="bottom"/>
            <w:gridSpan w:val="5"/>
          </w:tcPr>
          <w:p>
            <w:pPr>
              <w:jc w:val="center"/>
              <w:ind w:left="179"/>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5"/>
                <w:szCs w:val="15"/>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303"/>
        </w:trPr>
        <w:tc>
          <w:tcPr>
            <w:tcW w:w="3720" w:type="dxa"/>
            <w:vAlign w:val="bottom"/>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Trading Symbol</w:t>
            </w:r>
          </w:p>
        </w:tc>
        <w:tc>
          <w:tcPr>
            <w:tcW w:w="3980" w:type="dxa"/>
            <w:vAlign w:val="bottom"/>
          </w:tcPr>
          <w:p>
            <w:pPr>
              <w:jc w:val="center"/>
              <w:ind w:right="324"/>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720" w:type="dxa"/>
            <w:vAlign w:val="bottom"/>
            <w:tcBorders>
              <w:top w:val="single" w:sz="8" w:color="auto"/>
            </w:tcBorders>
          </w:tcPr>
          <w:p>
            <w:pPr>
              <w:ind w:left="1320"/>
              <w:spacing w:after="0"/>
              <w:rPr>
                <w:sz w:val="20"/>
                <w:szCs w:val="20"/>
                <w:color w:val="auto"/>
              </w:rPr>
            </w:pPr>
            <w:r>
              <w:rPr>
                <w:rFonts w:ascii="Arial" w:cs="Arial" w:eastAsia="Arial" w:hAnsi="Arial"/>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ASPS</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324"/>
              <w:spacing w:after="0"/>
              <w:rPr>
                <w:sz w:val="20"/>
                <w:szCs w:val="20"/>
                <w:color w:val="auto"/>
              </w:rPr>
            </w:pPr>
            <w:r>
              <w:rPr>
                <w:rFonts w:ascii="Arial" w:cs="Arial" w:eastAsia="Arial" w:hAnsi="Arial"/>
                <w:sz w:val="14"/>
                <w:szCs w:val="14"/>
                <w:color w:val="auto"/>
                <w:w w:val="96"/>
              </w:rPr>
              <w:t>NASDAQ Global Select Market</w:t>
            </w:r>
          </w:p>
        </w:tc>
      </w:tr>
    </w:tbl>
    <w:p>
      <w:pPr>
        <w:spacing w:after="0" w:line="69"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03" w:right="339" w:bottom="1440" w:gutter="0" w:footer="0" w:header="0"/>
        </w:sectPr>
      </w:pPr>
    </w:p>
    <w:p>
      <w:pPr>
        <w:spacing w:after="0" w:line="93" w:lineRule="exact"/>
        <w:rPr>
          <w:sz w:val="24"/>
          <w:szCs w:val="24"/>
          <w:color w:val="auto"/>
        </w:rPr>
      </w:pPr>
    </w:p>
    <w:p>
      <w:pPr>
        <w:ind w:left="140"/>
        <w:spacing w:after="0" w:line="355"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tabs>
          <w:tab w:leader="none" w:pos="1300" w:val="left"/>
        </w:tabs>
        <w:rPr>
          <w:sz w:val="20"/>
          <w:szCs w:val="20"/>
          <w:color w:val="auto"/>
        </w:rPr>
      </w:pP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4">
            <w:col w:w="1440" w:space="340"/>
            <w:col w:w="5520" w:space="720"/>
            <w:col w:w="1580" w:space="480"/>
            <w:col w:w="1160"/>
          </w:cols>
          <w:pgMar w:left="320" w:top="1403" w:right="339" w:bottom="1440" w:gutter="0" w:footer="0" w:header="0"/>
          <w:type w:val="continuous"/>
        </w:sectPr>
      </w:pPr>
    </w:p>
    <w:p>
      <w:pPr>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29, 2021, there were 15,904,323 outstanding shares of the registrant’s common stock (excluding 9,508,425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Page</w:t>
            </w:r>
          </w:p>
        </w:tc>
      </w:tr>
      <w:tr>
        <w:trPr>
          <w:trHeight w:val="175"/>
        </w:trPr>
        <w:tc>
          <w:tcPr>
            <w:tcW w:w="10120" w:type="dxa"/>
            <w:vAlign w:val="bottom"/>
            <w:gridSpan w:val="22"/>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60" w:type="dxa"/>
            <w:vAlign w:val="bottom"/>
            <w:gridSpan w:val="18"/>
          </w:tcPr>
          <w:p>
            <w:pPr>
              <w:ind w:left="140"/>
              <w:spacing w:after="0"/>
              <w:rPr>
                <w:rFonts w:ascii="Arial" w:cs="Arial" w:eastAsia="Arial" w:hAnsi="Arial"/>
                <w:sz w:val="18"/>
                <w:szCs w:val="18"/>
                <w:color w:val="0000FF"/>
              </w:rPr>
            </w:pPr>
            <w:hyperlink w:anchor="page3">
              <w:r>
                <w:rPr>
                  <w:rFonts w:ascii="Arial" w:cs="Arial" w:eastAsia="Arial" w:hAnsi="Arial"/>
                  <w:sz w:val="18"/>
                  <w:szCs w:val="18"/>
                  <w:color w:val="0000FF"/>
                </w:rPr>
                <w:t>Interim Condensed Consolidated Financial Statements (Unaudited)</w:t>
              </w:r>
            </w:hyperlink>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09"/>
        </w:trPr>
        <w:tc>
          <w:tcPr>
            <w:tcW w:w="24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9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1700" w:type="dxa"/>
            <w:vAlign w:val="bottom"/>
            <w:tcBorders>
              <w:top w:val="single" w:sz="8" w:color="0000FF"/>
            </w:tcBorders>
            <w:gridSpan w:val="6"/>
          </w:tcPr>
          <w:p>
            <w:pPr>
              <w:spacing w:after="0"/>
              <w:rPr>
                <w:sz w:val="18"/>
                <w:szCs w:val="18"/>
                <w:color w:val="auto"/>
              </w:rPr>
            </w:pPr>
          </w:p>
        </w:tc>
        <w:tc>
          <w:tcPr>
            <w:tcW w:w="418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and Comprehensive Loss</w:t>
              </w:r>
            </w:hyperlink>
          </w:p>
        </w:tc>
        <w:tc>
          <w:tcPr>
            <w:tcW w:w="640" w:type="dxa"/>
            <w:vAlign w:val="bottom"/>
            <w:gridSpan w:val="2"/>
          </w:tcPr>
          <w:p>
            <w:pPr>
              <w:jc w:val="center"/>
              <w:ind w:left="372"/>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Equity</w:t>
              </w:r>
            </w:hyperlink>
          </w:p>
        </w:tc>
        <w:tc>
          <w:tcPr>
            <w:tcW w:w="2160" w:type="dxa"/>
            <w:vAlign w:val="bottom"/>
            <w:tcBorders>
              <w:top w:val="single" w:sz="8" w:color="0000FF"/>
            </w:tcBorders>
            <w:gridSpan w:val="6"/>
          </w:tcPr>
          <w:p>
            <w:pPr>
              <w:spacing w:after="0"/>
              <w:rPr>
                <w:sz w:val="18"/>
                <w:szCs w:val="18"/>
                <w:color w:val="auto"/>
              </w:rPr>
            </w:pPr>
          </w:p>
        </w:tc>
        <w:tc>
          <w:tcPr>
            <w:tcW w:w="33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Cash Flows</w:t>
              </w:r>
            </w:hyperlink>
          </w:p>
        </w:tc>
        <w:tc>
          <w:tcPr>
            <w:tcW w:w="51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4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460" w:type="dxa"/>
            <w:vAlign w:val="bottom"/>
          </w:tcPr>
          <w:p>
            <w:pPr>
              <w:spacing w:after="0"/>
              <w:rPr>
                <w:sz w:val="18"/>
                <w:szCs w:val="18"/>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9160" w:type="dxa"/>
            <w:vAlign w:val="bottom"/>
            <w:gridSpan w:val="18"/>
          </w:tcPr>
          <w:p>
            <w:pPr>
              <w:ind w:left="140"/>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66"/>
        </w:trPr>
        <w:tc>
          <w:tcPr>
            <w:tcW w:w="10120" w:type="dxa"/>
            <w:vAlign w:val="bottom"/>
            <w:gridSpan w:val="2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PART II — Other Information</w:t>
              </w:r>
            </w:hyperlink>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w:t>
              </w:r>
            </w:hyperlink>
          </w:p>
        </w:tc>
        <w:tc>
          <w:tcPr>
            <w:tcW w:w="9160" w:type="dxa"/>
            <w:vAlign w:val="bottom"/>
            <w:gridSpan w:val="18"/>
          </w:tcPr>
          <w:p>
            <w:pPr>
              <w:ind w:left="140"/>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1A</w:t>
              </w:r>
            </w:hyperlink>
          </w:p>
        </w:tc>
        <w:tc>
          <w:tcPr>
            <w:tcW w:w="9160" w:type="dxa"/>
            <w:vAlign w:val="bottom"/>
            <w:gridSpan w:val="18"/>
          </w:tcPr>
          <w:p>
            <w:pPr>
              <w:ind w:left="140"/>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0"/>
        </w:trPr>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0"/>
        </w:trPr>
        <w:tc>
          <w:tcPr>
            <w:tcW w:w="2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40" w:type="dxa"/>
            <w:vAlign w:val="bottom"/>
            <w:gridSpan w:val="11"/>
            <w:shd w:val="clear" w:color="auto" w:fill="0000FF"/>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6</w:t>
              </w:r>
            </w:hyperlink>
          </w:p>
        </w:tc>
        <w:tc>
          <w:tcPr>
            <w:tcW w:w="9160" w:type="dxa"/>
            <w:vAlign w:val="bottom"/>
            <w:gridSpan w:val="18"/>
          </w:tcPr>
          <w:p>
            <w:pPr>
              <w:ind w:left="140"/>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45</w:t>
              </w:r>
            </w:hyperlink>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66"/>
        </w:trPr>
        <w:tc>
          <w:tcPr>
            <w:tcW w:w="1120" w:type="dxa"/>
            <w:vAlign w:val="bottom"/>
            <w:gridSpan w:val="5"/>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SIGNATURES</w:t>
              </w:r>
            </w:hyperlink>
          </w:p>
        </w:tc>
        <w:tc>
          <w:tcPr>
            <w:tcW w:w="9000" w:type="dxa"/>
            <w:vAlign w:val="bottom"/>
            <w:gridSpan w:val="17"/>
          </w:tcPr>
          <w:p>
            <w:pPr>
              <w:spacing w:after="0"/>
              <w:rPr>
                <w:sz w:val="24"/>
                <w:szCs w:val="24"/>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46</w:t>
              </w:r>
            </w:hyperlink>
          </w:p>
        </w:tc>
      </w:tr>
      <w:tr>
        <w:trPr>
          <w:trHeight w:val="20"/>
        </w:trPr>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100,155</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73,849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Arial" w:cs="Arial" w:eastAsia="Arial" w:hAnsi="Arial"/>
                <w:sz w:val="16"/>
                <w:szCs w:val="16"/>
                <w:color w:val="auto"/>
              </w:rPr>
              <w:t>LIABILITIES AND EQUITY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56,779</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71,545</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payable to related parties (Note 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Commitments, contingencies and regulatory matters (Note 23)</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Equity (deficit):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Common stock ($1.00 par value; 100,000 shares authorized, 25,413 issued and 15,899 outstanding as of</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September 30, 2021; 15,664 outstanding as of December 31, 2020)</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141,473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3"/>
              </w:rPr>
              <w:t>Treasury stock, at cost (9,514 shares as of September 30, 2021 and 9,749 shares as of December 31, 2020)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(441,034)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Altisource deficit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(83,765)</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deficit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(82,556)</w:t>
            </w:r>
          </w:p>
        </w:tc>
        <w:tc>
          <w:tcPr>
            <w:tcW w:w="0" w:type="dxa"/>
            <w:vAlign w:val="bottom"/>
          </w:tcPr>
          <w:p>
            <w:pPr>
              <w:spacing w:after="0"/>
              <w:rPr>
                <w:sz w:val="1"/>
                <w:szCs w:val="1"/>
                <w:color w:val="auto"/>
              </w:rPr>
            </w:pPr>
          </w:p>
        </w:tc>
      </w:tr>
      <w:tr>
        <w:trPr>
          <w:trHeight w:val="142"/>
        </w:trPr>
        <w:tc>
          <w:tcPr>
            <w:tcW w:w="8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Total liabilities and deficit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265,685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6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83"/>
        </w:trPr>
        <w:tc>
          <w:tcPr>
            <w:tcW w:w="6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2020</w:t>
            </w:r>
          </w:p>
        </w:tc>
      </w:tr>
      <w:tr>
        <w:trPr>
          <w:trHeight w:val="197"/>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305,581</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249,779</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55,802</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73,606</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r>
      <w:tr>
        <w:trPr>
          <w:trHeight w:val="196"/>
        </w:trPr>
        <w:tc>
          <w:tcPr>
            <w:tcW w:w="6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(28,725)</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(13,265)</w:t>
            </w: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Unrealized gain (loss) on investment in equity securities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(12,433)</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23"/>
        </w:trPr>
        <w:tc>
          <w:tcPr>
            <w:tcW w:w="648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(25,286)</w:t>
            </w:r>
          </w:p>
        </w:tc>
      </w:t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Loss before income taxes and non-controlling interests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(11,140)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(54,011)</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(59,306)</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196"/>
        </w:trPr>
        <w:tc>
          <w:tcPr>
            <w:tcW w:w="6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(13,237)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(59,948)</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5"/>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5"/>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15,831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15,637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15,816</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15,578</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Comprehensive loss, net of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(12,897)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(58,897)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(59,306)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5"/>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(59,948)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Altisource Equity (Deficit)</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700" w:type="dxa"/>
            <w:vAlign w:val="bottom"/>
            <w:gridSpan w:val="4"/>
            <w:vMerge w:val="restart"/>
          </w:tcPr>
          <w:p>
            <w:pPr>
              <w:jc w:val="right"/>
              <w:ind w:right="2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220" w:type="dxa"/>
            <w:vAlign w:val="bottom"/>
          </w:tcPr>
          <w:p>
            <w:pPr>
              <w:spacing w:after="0"/>
              <w:rPr>
                <w:sz w:val="11"/>
                <w:szCs w:val="11"/>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(64,850)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(12,897)</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September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(76,578)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Altisource Equity (Deficit)</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700" w:type="dxa"/>
            <w:vAlign w:val="bottom"/>
            <w:gridSpan w:val="4"/>
            <w:vMerge w:val="restart"/>
          </w:tcPr>
          <w:p>
            <w:pPr>
              <w:jc w:val="right"/>
              <w:ind w:right="2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200" w:type="dxa"/>
            <w:vAlign w:val="bottom"/>
          </w:tcPr>
          <w:p>
            <w:pPr>
              <w:spacing w:after="0"/>
              <w:rPr>
                <w:sz w:val="11"/>
                <w:szCs w:val="11"/>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190,383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(441,034)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(82,556)</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(105,258)</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(123,724)</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September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(427,214)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(141,683)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Nine months ended</w:t>
      </w:r>
    </w:p>
    <w:p>
      <w:pPr>
        <w:ind w:left="93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89"/>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(58,897)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(59,306)</w:t>
            </w:r>
          </w:p>
        </w:tc>
      </w:tr>
      <w:tr>
        <w:trPr>
          <w:trHeight w:val="230"/>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11,521</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11,344</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investment in equity securities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6,556</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fixed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Other non-cash items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10,136</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Current and non-current 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(8,518)</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(14,077)</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the sale of business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Proceeds from convertible debt payable to related parties (Note 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Payments of tax withholding on issuance of restricted share units and restricted shares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86,583</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70,840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Income taxes paid,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right-of-use assets with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Reduction of right-of-use assets from operating lease modifications or reassessments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(decrease) increase in payables for purchases of premises and equipment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w:t>
      </w:r>
    </w:p>
    <w:p>
      <w:pPr>
        <w:spacing w:after="0" w:line="1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September 30, 2021, Lenders One had total assets of $1.2 million and total liabilities of $0.8 million. As of December 31, 2020, Lenders One had total assets of $2.3 million and total liabilities of $0.1 million.</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2019, Altisource created Pointillist, Inc. (“Pointillist”) and contributed the Pointillist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journey analytics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On May 27, 2021, Pointillist issued $1.3 million in principal of convertible notes to related parties with a maturity date of January 1, 2023. The notes bear interest at a rate of 7% per annum. The principal and unpaid accrued interest then outstanding under the notes (1) automatically converts to Pointillist equity at the earlier of the time Pointillist receives proceeds of $5.0 million or more from the sale of its equity or January 1, 2023, or (2) are repaid in cash or converted into Pointillist common stock equity based on a $13.1 million Pointillist valuation (at the Lenders’ option) in the event of a corporate transaction or initial public offering of Pointillist. Altisource has no ongoing obligation to provide future funding to Pointillist. Pointillist is presented in the accompanying condensed consolidated financial statements on a consolidated basis and the portion of Pointillist owned by Pointillist management is reported as non-controlling interests.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6, 2021, Altisource entered into a definitive Stock Purchase Agreement to sell all of our equity interest in Pointillist to Genesys Cloud Services, Inc. (“Genesys”). On a fully diluted basis, Altisource owns approximately 69% of the equity in Pointillist. See Note 24, Subsequent Event.</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2020, as filed with the SEC on March 11,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No. 2019-12,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740): Simplifying the Accounting for Income Taxes</w:t>
      </w:r>
      <w:r>
        <w:rPr>
          <w:rFonts w:ascii="Arial" w:cs="Arial" w:eastAsia="Arial" w:hAnsi="Arial"/>
          <w:sz w:val="18"/>
          <w:szCs w:val="18"/>
          <w:color w:val="auto"/>
        </w:rPr>
        <w:t>. This standard is part of the FASB’s initiative to reduce complexity in accounting standards by</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instituting several simplifying provisions and removing several exceptions pertaining to income tax accounting. This standard is effective for annual periods beginning after December 15, 2020, including interim periods within that reporting period. The Company adopted this standard effective January 1, 2021 and has applied it prospectively. Adoption of this new standard did not have any impact on the Company’s condensed consolidated financial statements.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 - Debt with Conversion and Other Options (Topic 470) and Derivatives and Hedging -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in Entity’s Own Equity (Topic 815)</w:t>
      </w:r>
      <w:r>
        <w:rPr>
          <w:rFonts w:ascii="Arial" w:cs="Arial" w:eastAsia="Arial" w:hAnsi="Arial"/>
          <w:sz w:val="18"/>
          <w:szCs w:val="18"/>
          <w:color w:val="auto"/>
        </w:rPr>
        <w:t>. This standard simplifies the accounting for certain financial instruments with characteristics of liability and equity,</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convertible debt instruments. This standard is effective for annual periods beginning after December 15, 2021, including interim periods within that reporting period. Early adoption is permitted for annual periods beginning after December 15, 2020. The Company early adopted this standard effective January 1, 2021 and has applied it prospectively. Adoption of this new standard did not have a material impact on the Company’s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and in January 2021, the FASB issued ASU No.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This standard applies only to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relationships, and other transactions that reference the London Interbank Offered Rate (“LIBOR”)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2021, Ocwen was our largest customer, accounting for 32% of our total revenue for the nine months ended September 30, 2021 (31% of our revenue for the third quarter of 2021). Ocwen purchases certain mortgage services from us under the terms of services agreements and amendments thereto (collectively, the “Ocwen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Agreements”) with terms extending through August 2030. Certain of the Ocwen Services Agreements contain a “most favored nation” provision and also grant the parties the right to renegotiate pricing, among other things.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nine months ended September 30, 2021 and 2020, we recognized revenue from Ocwen of $44.7 million and $174.1 million, respectively ($13.6 million and $42.5 million for the third quarter of 2021 and 2020, respectively). Revenue from Ocwen as a percentage of consolidated revenue was 32% and 57% for the nine months ended September 30, 2021 and 2020, respectively (31% and 48% for the third quarter of 2021 and 2020, respectively).</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additional revenue related to the portfolios serviced and subserviced by Ocwen when a party other than Ocwen or the MSR owner selects Altisource as the service provider. For the nine months ended September 30, 2021 and 2020, we recognized revenue of $7.4 million and $19.9 million, respectively ($1.9 million and $7.2 million for the third quarter of 2021 and 2020, respectively), related to the portfolios serviced by Ocwen when a party other than Ocwen or the MSRs owner selected Altisource as the service provider. These amounts are not included in deriving revenue from Ocwen and revenue from Ocwen as a percentage of revenue discussed above.</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New Residential Investment Corp. (individually, together with one or more of its subsidiaries or one or more of its subsidiaries individually,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$0.4 million and $69.1 million of service revenue from Ocwen for the nine months ended September 30, 2021 and 2020, respectively ($0.1 million and $14.1 million for the third quarter of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$2.5 million and $16.7 million of service revenue from Ocwen for the nine months ended September 30, 2021 and 2020, respectively ($0.6 million and $3.9 million for the third quarter of 2021 and 2020, 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(the “Agreement”)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Federal Housing Administration (“FHA”) loans and field services on Ocwen’s FHA, Veterans Affairs and United States Department of Agriculture loans (collectively, “Government Loans”), and title services on FHA and Veterans Affairs loans, subject to a process to confirm Altisource’s ability to meet reasonable performance requirements, which process is continuing.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Since the date of the Agreement, Ocwen has transitioned over 2,100 of its FHA first chance auction inventory to us and increased our percentage of field services referrals on its Government Loans.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accounts receivable from Ocwen totaled $4.5 million, $4.2 million of which was billed and $0.3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accounts receivable from Ocwen totaled $5.9 million, $5.1 million of which was billed and $0.8 million of which was unbilled.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NRZ is a real estate investment trust that invests in and manages investments primarily related to residential real estate, including MSRs and excess MSRs.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June 30, 2021, approximately 26% of loans serviced and subserviced by Ocwen (measured in unpaid principal balance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real estate owned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September 30, 2021 and 2020, we recognized revenue from NRZ of $2.4 million and $7.1 million, respectively ($0.7 million and $2.5 million for the third quarter of 2021 and 2020, respectively), under the Brokerage Agreement. For the nine months ended September 30, 2021 and 2020, we recognized additional revenue of $10.9 million and $29.3 million, respectively ($3.4 million and $10.2 million for the third quarter of 2021 and 2020, respectively), relating to the Subject MSRs when a party other than NRZ selects Altisource as the service provider.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SALE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 Business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2019, Altisource sold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On July 1, 2020, the Company received net proceeds of $3.3 million representing TSI’s final installment payment less certain amounts owed to TSI.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Property Management Business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 proceeds from the transaction totaled $18.0 million, payable in two installments. The first installment of $15.0 million was received on the closing date of August 8, 2018. The second installment of $3.0 million was to be received on the earlier of a RESI change of control or on August 8, 2023. On October 19, 2020, RESI announced that it had entered into a definitive merger agreement to sell RESI. The merger closed on January 11, 2021 and the Company subsequently received the $3.0 million payment. The present value of the second installment is included in other assets in the accompanying condensed consolidated balance sheets at a discounted value of $2.5 million as of December 31, 2020 (no comparative amount as of September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IN EQUITY SECURITIES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2016, we purchased 4.1 million shares of RESI common stock. This investment is reflected in the accompanying condensed consolidated balance sheets at fair value and changes in fair value are included in other income (expense), net in the accompanying condensed consolidated statements of operations and comprehensive loss. As of September 30, 2021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December 31, 2020, we held no shares of RESI common stock. During the three and nine months ended September 30, 2020, we recognized an unrealized gain (loss) from the change in fair value of $0.1 million and $(12.4) million, respectively (no comparative amount for the three and nine months ended September 30, 2021). During the nine months ended September 30, 2020, we earned dividends of $0.5 million related to this investment (no comparative amount for the three and nine months ended September 30, 2021 and for the third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Allowance for credit losses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 for expected credit losses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3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740" w:type="dxa"/>
            <w:vAlign w:val="bottom"/>
            <w:gridSpan w:val="3"/>
          </w:tcPr>
          <w:p>
            <w:pPr>
              <w:jc w:val="center"/>
              <w:ind w:right="120"/>
              <w:spacing w:after="0" w:line="122" w:lineRule="exact"/>
              <w:rPr>
                <w:sz w:val="20"/>
                <w:szCs w:val="20"/>
                <w:color w:val="auto"/>
              </w:rPr>
            </w:pPr>
            <w:r>
              <w:rPr>
                <w:rFonts w:ascii="Arial" w:cs="Arial" w:eastAsia="Arial" w:hAnsi="Arial"/>
                <w:sz w:val="14"/>
                <w:szCs w:val="14"/>
                <w:b w:val="1"/>
                <w:bCs w:val="1"/>
                <w:color w:val="auto"/>
                <w:w w:val="91"/>
              </w:rPr>
              <w:t>Balance at Beginning of</w:t>
            </w:r>
          </w:p>
        </w:tc>
        <w:tc>
          <w:tcPr>
            <w:tcW w:w="140" w:type="dxa"/>
            <w:vAlign w:val="bottom"/>
          </w:tcPr>
          <w:p>
            <w:pPr>
              <w:spacing w:after="0"/>
              <w:rPr>
                <w:sz w:val="10"/>
                <w:szCs w:val="10"/>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Charged to Expenses</w:t>
            </w:r>
          </w:p>
        </w:tc>
        <w:tc>
          <w:tcPr>
            <w:tcW w:w="180" w:type="dxa"/>
            <w:vAlign w:val="bottom"/>
          </w:tcPr>
          <w:p>
            <w:pPr>
              <w:spacing w:after="0"/>
              <w:rPr>
                <w:sz w:val="10"/>
                <w:szCs w:val="10"/>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Deductions Note </w:t>
            </w:r>
            <w:r>
              <w:rPr>
                <w:rFonts w:ascii="Arial" w:cs="Arial" w:eastAsia="Arial" w:hAnsi="Arial"/>
                <w:sz w:val="9"/>
                <w:szCs w:val="9"/>
                <w:b w:val="1"/>
                <w:bCs w:val="1"/>
                <w:color w:val="auto"/>
              </w:rPr>
              <w:t>(1)</w:t>
            </w:r>
          </w:p>
        </w:tc>
        <w:tc>
          <w:tcPr>
            <w:tcW w:w="1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Balance at End of Period</w:t>
            </w:r>
          </w:p>
        </w:tc>
        <w:tc>
          <w:tcPr>
            <w:tcW w:w="0" w:type="dxa"/>
            <w:vAlign w:val="bottom"/>
          </w:tcPr>
          <w:p>
            <w:pPr>
              <w:spacing w:after="0"/>
              <w:rPr>
                <w:sz w:val="1"/>
                <w:szCs w:val="1"/>
                <w:color w:val="auto"/>
              </w:rPr>
            </w:pPr>
          </w:p>
        </w:tc>
      </w:tr>
      <w:tr>
        <w:trPr>
          <w:trHeight w:val="188"/>
        </w:trPr>
        <w:tc>
          <w:tcPr>
            <w:tcW w:w="4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expected credit losses: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Twelve months ended December 31, 2020</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63" w:lineRule="exact"/>
        <w:rPr>
          <w:sz w:val="20"/>
          <w:szCs w:val="20"/>
          <w:color w:val="auto"/>
        </w:rPr>
      </w:pPr>
    </w:p>
    <w:p>
      <w:pPr>
        <w:ind w:left="5540" w:right="5180" w:hanging="5532"/>
        <w:spacing w:after="0" w:line="1042" w:lineRule="auto"/>
        <w:tabs>
          <w:tab w:leader="none" w:pos="32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Amounts written off as uncollectible or transferred to other accounts or utilized.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Maintenance agreements,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PREMISES AND EQUIPMENT, NET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Premises and equipment, net consists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Office equipment and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(63,434)</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amounted to $3.5 million and $11.5 million for the nine months ended September 30, 2021 and 2020, respectively ($1.1 million and $3.8 million for the third quarter of 2021 and 2020, respectively), and is included in cost of revenue for operating assets and in selling, general and administrative expenses for non-operating assets in the accompanying condensed consolidated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Uruguay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RIGHT-OF-USE ASSETS UNDER OPERATING LEASES, NET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Right-of-use assets under operating leases, net consists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operating leases was $6.3 million and $8.1 million for the nine months ended September 30, 2021 and 2020, respectively ($1.8 million and $2.6 million for the third quarter of 2021 and 2020, respectively), and is included in cost of</w:t>
      </w:r>
    </w:p>
    <w:p>
      <w:pPr>
        <w:sectPr>
          <w:pgSz w:w="11900" w:h="16838" w:orient="portrait"/>
          <w:cols w:equalWidth="0" w:num="1">
            <w:col w:w="11240"/>
          </w:cols>
          <w:pgMar w:left="320" w:top="125" w:right="339" w:bottom="1155"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155"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operating assets and in selling, general and administrative expenses for non-operating assets in the accompanying condensed consolidated statements of operations and comprehensive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9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 and December 31, 2020</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80" w:type="dxa"/>
            <w:vAlign w:val="bottom"/>
            <w:gridSpan w:val="4"/>
          </w:tcPr>
          <w:p>
            <w:pPr>
              <w:spacing w:after="0"/>
              <w:rPr>
                <w:sz w:val="20"/>
                <w:szCs w:val="20"/>
                <w:color w:val="auto"/>
              </w:rPr>
            </w:pPr>
            <w:r>
              <w:rPr>
                <w:rFonts w:ascii="Arial" w:cs="Arial" w:eastAsia="Arial" w:hAnsi="Arial"/>
                <w:sz w:val="18"/>
                <w:szCs w:val="18"/>
                <w:color w:val="auto"/>
              </w:rPr>
              <w:t>Intangible assets, net consist of the following:</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Gross carrying amount</w:t>
            </w:r>
          </w:p>
        </w:tc>
        <w:tc>
          <w:tcPr>
            <w:tcW w:w="120" w:type="dxa"/>
            <w:vAlign w:val="bottom"/>
          </w:tcPr>
          <w:p>
            <w:pPr>
              <w:spacing w:after="0"/>
              <w:rPr>
                <w:sz w:val="14"/>
                <w:szCs w:val="14"/>
                <w:color w:val="auto"/>
              </w:rPr>
            </w:pPr>
          </w:p>
        </w:tc>
        <w:tc>
          <w:tcPr>
            <w:tcW w:w="2440" w:type="dxa"/>
            <w:vAlign w:val="bottom"/>
            <w:gridSpan w:val="5"/>
          </w:tcPr>
          <w:p>
            <w:pPr>
              <w:ind w:left="280"/>
              <w:spacing w:after="0"/>
              <w:rPr>
                <w:sz w:val="20"/>
                <w:szCs w:val="20"/>
                <w:color w:val="auto"/>
              </w:rPr>
            </w:pPr>
            <w:r>
              <w:rPr>
                <w:rFonts w:ascii="Arial" w:cs="Arial" w:eastAsia="Arial" w:hAnsi="Arial"/>
                <w:sz w:val="14"/>
                <w:szCs w:val="14"/>
                <w:b w:val="1"/>
                <w:bCs w:val="1"/>
                <w:color w:val="auto"/>
              </w:rPr>
              <w:t>Accumulated amortization</w:t>
            </w:r>
          </w:p>
        </w:tc>
        <w:tc>
          <w:tcPr>
            <w:tcW w:w="140" w:type="dxa"/>
            <w:vAlign w:val="bottom"/>
          </w:tcPr>
          <w:p>
            <w:pPr>
              <w:spacing w:after="0"/>
              <w:rPr>
                <w:sz w:val="14"/>
                <w:szCs w:val="14"/>
                <w:color w:val="auto"/>
              </w:rPr>
            </w:pPr>
          </w:p>
        </w:tc>
        <w:tc>
          <w:tcPr>
            <w:tcW w:w="2320" w:type="dxa"/>
            <w:vAlign w:val="bottom"/>
            <w:gridSpan w:val="6"/>
          </w:tcPr>
          <w:p>
            <w:pPr>
              <w:jc w:val="right"/>
              <w:ind w:right="675"/>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98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estimated</w:t>
            </w: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
                <w:szCs w:val="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
                <w:szCs w:val="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
                <w:szCs w:val="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
                <w:szCs w:val="2"/>
                <w:color w:val="auto"/>
              </w:rPr>
            </w:pPr>
          </w:p>
        </w:tc>
        <w:tc>
          <w:tcPr>
            <w:tcW w:w="11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
                <w:szCs w:val="2"/>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line="20" w:lineRule="exact"/>
              <w:rPr>
                <w:sz w:val="1"/>
                <w:szCs w:val="1"/>
                <w:color w:val="auto"/>
              </w:rPr>
            </w:pPr>
          </w:p>
        </w:tc>
      </w:tr>
      <w:tr>
        <w:trPr>
          <w:trHeight w:val="135"/>
        </w:trPr>
        <w:tc>
          <w:tcPr>
            <w:tcW w:w="2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1"/>
                <w:szCs w:val="11"/>
                <w:color w:val="auto"/>
              </w:rPr>
            </w:pPr>
          </w:p>
        </w:tc>
        <w:tc>
          <w:tcPr>
            <w:tcW w:w="9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useful life</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120" w:type="dxa"/>
            <w:vAlign w:val="bottom"/>
          </w:tcPr>
          <w:p>
            <w:pPr>
              <w:spacing w:after="0"/>
              <w:rPr>
                <w:sz w:val="16"/>
                <w:szCs w:val="16"/>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2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Definite lived intangible assets: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80"/>
              <w:spacing w:after="0" w:line="176" w:lineRule="exact"/>
              <w:rPr>
                <w:sz w:val="20"/>
                <w:szCs w:val="20"/>
                <w:color w:val="auto"/>
              </w:rPr>
            </w:pPr>
            <w:r>
              <w:rPr>
                <w:rFonts w:ascii="Arial" w:cs="Arial" w:eastAsia="Arial" w:hAnsi="Arial"/>
                <w:sz w:val="18"/>
                <w:szCs w:val="18"/>
                <w:color w:val="auto"/>
              </w:rPr>
              <w:t>Customer related intangible</w:t>
            </w:r>
          </w:p>
        </w:tc>
        <w:tc>
          <w:tcPr>
            <w:tcW w:w="9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214,307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214,973</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(193,844)</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(187,923)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29"/>
        </w:trPr>
        <w:tc>
          <w:tcPr>
            <w:tcW w:w="2600" w:type="dxa"/>
            <w:vAlign w:val="bottom"/>
          </w:tcPr>
          <w:p>
            <w:pPr>
              <w:ind w:left="360"/>
              <w:spacing w:after="0"/>
              <w:rPr>
                <w:sz w:val="20"/>
                <w:szCs w:val="20"/>
                <w:color w:val="auto"/>
              </w:rPr>
            </w:pPr>
            <w:r>
              <w:rPr>
                <w:rFonts w:ascii="Arial" w:cs="Arial" w:eastAsia="Arial" w:hAnsi="Arial"/>
                <w:sz w:val="18"/>
                <w:szCs w:val="18"/>
                <w:color w:val="auto"/>
              </w:rPr>
              <w:t>assets</w:t>
            </w: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30"/>
        </w:trPr>
        <w:tc>
          <w:tcPr>
            <w:tcW w:w="260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262,712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(220,873)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38,143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46,326</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for definite lived intangible assets was $8.2 million and $11.3 million for the nine months ended September 30, 2021 and 2020, respectively ($2.7 million and $4.3 million for the third quarter of 2021 and 2020, respectively)</w:t>
      </w:r>
      <w:r>
        <w:rPr>
          <w:rFonts w:ascii="Arial" w:cs="Arial" w:eastAsia="Arial" w:hAnsi="Arial"/>
          <w:sz w:val="15"/>
          <w:szCs w:val="15"/>
          <w:color w:val="auto"/>
        </w:rPr>
        <w:t>.</w:t>
      </w:r>
      <w:r>
        <w:rPr>
          <w:rFonts w:ascii="Arial" w:cs="Arial" w:eastAsia="Arial" w:hAnsi="Arial"/>
          <w:sz w:val="17"/>
          <w:szCs w:val="17"/>
          <w:color w:val="auto"/>
        </w:rPr>
        <w:t xml:space="preserve"> Expected annual definite lived intangible asset amortization expense for 2021 through 2025 is $9.5 million, $5.1 million, $5.1 million, $5.1 million and $5.1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Security deposits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ind w:right="3180"/>
        <w:spacing w:after="0" w:line="420" w:lineRule="auto"/>
        <w:rPr>
          <w:sz w:val="20"/>
          <w:szCs w:val="20"/>
          <w:color w:val="auto"/>
        </w:rPr>
      </w:pPr>
      <w:r>
        <w:rPr>
          <w:rFonts w:ascii="Arial" w:cs="Arial" w:eastAsia="Arial" w:hAnsi="Arial"/>
          <w:sz w:val="18"/>
          <w:szCs w:val="18"/>
          <w:b w:val="1"/>
          <w:bCs w:val="1"/>
          <w:color w:val="auto"/>
        </w:rPr>
        <w:t xml:space="preserve">NOTE 11 — ACCOUNTS PAYABLE, ACCRUED EXPENSES AND OTHER CURRENT LIABILITIES </w:t>
      </w:r>
      <w:r>
        <w:rPr>
          <w:rFonts w:ascii="Arial" w:cs="Arial" w:eastAsia="Arial" w:hAnsi="Arial"/>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4"/>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220" w:type="dxa"/>
            <w:vAlign w:val="bottom"/>
          </w:tcPr>
          <w:p>
            <w:pPr>
              <w:jc w:val="center"/>
              <w:ind w:right="135"/>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Accrued expenses - general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24,422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56,779</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LONG-TERM DEBT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1"/>
                <w:szCs w:val="21"/>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Less: Debt issuance costs,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Unamortized discount,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Senior secured term loans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Credit Facility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Debt issuance costs,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Credit Facility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Credit Facility, less current portion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Long-term debt, less current portion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no mandatory repayments of the Term B Loans due until April 2024, when the balance is due at maturity, except as otherwise described herein.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Consolidated Excess Cash Flow if our leverage ratio as of each year-end computation date is greater than 3.00 to 1.00, as calculated in accordance with the provisions of the Credit Agreement (the percentage increases if our leverage ratio exceeds 3.50 to 1.00). Our leverage ratio exceeded 3.50 to 1.00 for the twelve months ended September 30, 2021. The Company did not generate any Consolidated Excess Cash Flow for the twelve months ended September 30, 2021.</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for the twelve months ended September 30, 2021. The lenders have no obligation to provide any incremental indebtedness.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September 30, 2021 was 5.00%.</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w:t>
      </w:r>
    </w:p>
    <w:p>
      <w:pPr>
        <w:jc w:val="both"/>
        <w:ind w:firstLine="8"/>
        <w:spacing w:after="0" w:line="302"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4.00%. Base Rate revolving loans bear interest at a rate per annum equal to the sum of (i) the Base Rate plus (ii) 3.00%. The unused commitment fee is 0.50%. Borrowings under the revolving credit facility are not permitted if our leverage ratio exceeds 3.50 to 1.00. Our leverage ratio exceeded 3.50 to 1.00 for the twelve months ended September 30, 2021. There were no borrowings outstanding under the revolving credit facility as of September 30, 2021.</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 (xi)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2021, debt issuance costs were $1.8 million, net of $2.7 million of accumulated amortization. As of December 31, 2020, debt issuance costs were $2.4 million, net of $2.2 million of accumulated amortization.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22, 2021 Altisource S.à r.l, a subsidiary of Altisource Portfolio Solutions S.A., entered into a revolving credit facility with a related party, STS Master Fund, Ltd. (“STS”) (the “Credit Facility”). STS is an investment fund managed by Deer Park Road Management Company, LP. Deer Park Road Management Company, LP owns approximately 24% of Altisource’s common stock as of September 30, 2021 and its Chief Investment Officer and managing partner is a member of Altisource’s Board of Directors.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 million through June 22, 2022, $15 million through June 22, 2023, and $10 million until the end of the term. Amounts that are repaid may be re-borrowed in accordance with the limitations set forth below.</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Outstanding amounts borrowed pursuant to the Credit Facility will amortize over the three-year term as follows: on June 22, 2022, the difference between the then outstanding balance above $15 million and $15 million, on June 22, 2023, the difference between the then outstanding balance above $10 million and $10 million, and on June 22, 2024, the then outstanding balance of the loan will be due and payable by Altisource.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at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subsidiary Altisource.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outstanding debt under the Credit Facility was $20.0 million and debt issuance costs were $0.5 million, net of less than $0.1 million of accumulated amortization.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Income tax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12,414</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 MEASUREMENTS AND FINANCIAL INSTRUMENTS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September 30, 2021 and December 31, 2020. The following fair values are estimated using market information and what the Company believes to be appropriate valuation methodologies under GAAP: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September 30, 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7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80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receivable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Credit Facility</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56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Convertible debt payable to</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related parties</w:t>
            </w: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Credit Facility was measured using Level 3 inputs based on the present value of the future payments. As a quoted market price is not available, there is no trading, and the interest rate environment has remained relatively consistent as has our debt rating, we believe that the contractual interest rate represents the market rate at the measurement date and therefore the fair value equals the Credit Facility book value.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Convertible debt payable to related parties was measured using Level 3 inputs based on the present value of the future payments. As a quoted market price is not available, there is no trading, and the interest rate environment has remained relatively consistent as has our debt rating, we believe that the contractual interest rate represents the market rate at the measurement date and therefore the fair value equals the convertible debt payable to related parties book value.</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sale of the rental property management business in August 2018, Altisource was to receive $3.0 million on the earlier of a RESI change of control or on August 8, 2023. On October 19, 2020, RESI announced that it had entered into a definitive merger agreement to sell RESI. The merger closed on January 11, 2021 and the Company subsequently received the $3.0 million payment (See Note 3 for additional information). We measure long-term receivables without a stated interest rate based on the present value of the future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31% and 32% of its revenue from Ocwen for the three and nine months ended September 30, 2021, respectively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ind w:right="4640"/>
        <w:spacing w:after="0" w:line="440" w:lineRule="auto"/>
        <w:rPr>
          <w:sz w:val="20"/>
          <w:szCs w:val="20"/>
          <w:color w:val="auto"/>
        </w:rPr>
      </w:pPr>
      <w:r>
        <w:rPr>
          <w:rFonts w:ascii="Arial" w:cs="Arial" w:eastAsia="Arial" w:hAnsi="Arial"/>
          <w:sz w:val="18"/>
          <w:szCs w:val="18"/>
          <w:b w:val="1"/>
          <w:bCs w:val="1"/>
          <w:color w:val="auto"/>
        </w:rPr>
        <w:t>NOTE 15 — SHAREHOLDERS’ EQUITY AND SHARE-BASED COMPENSATION Share Repurchase Program</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September 30, 2021, approximately 2.4 million shares of common stock remain available for repurchase under the program. There were no purchases of shares of common stock during the nine months ended September 30, 2021 and 2020. Luxembourg law limits share repurchases to the balance of Altisource Portfolio Solutions S.A. (unconsolidated parent company) retained earnings, less the value of shares repurchased. As of September 30, 2021, we can repurchase up to approximately $81 million of our common stock under Luxembourg law. Our Credit Agreement also limits the amount we can spend on share repurchases, which limit was approximately $376 million as of September 30, 2021, and may prevent repurchases in certain circumstances, including if our leverage ratio exceeds 3.50 to 1.00. Our leverage ratio exceeded 3.50 to 1.00 for the twelve months ended September 30,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$2.5 million and $6.6 million for the nine months ended September 30, 2021 and 2020, respectively ($0.4 million and $1.7 million for the third quarter of 2021 and 2020, respectively). As of September 30, 2021, estimated unrecognized compensation costs related to share-based awards amounted to $3.3 million, which we expect to recognize over a weighted average remaining requisite service period of approximately 1.27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Service-Based Options. </w:t>
      </w:r>
      <w:r>
        <w:rPr>
          <w:rFonts w:ascii="Arial" w:cs="Arial" w:eastAsia="Arial" w:hAnsi="Arial"/>
          <w:sz w:val="16"/>
          <w:szCs w:val="16"/>
          <w:color w:val="auto"/>
        </w:rPr>
        <w:t>These options generally vest over three or four years with equal annual vesting and generally expire on the earlier of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of grant or following termination of service. A total of 213 thousand service-based options were outstanding as of September 30, 2021.</w:t>
      </w:r>
    </w:p>
    <w:p>
      <w:pPr>
        <w:spacing w:after="0" w:line="7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155 thousand market-based options were outstanding as of September 30, 2021.</w:t>
      </w:r>
    </w:p>
    <w:p>
      <w:pPr>
        <w:spacing w:after="0" w:line="13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generally will vest if certain specific financial measures are achieved; one-fourth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For certain other financial measures, options cliff-vest upon the achievement of the specific performance during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There were 427 thousand performance-based options outstanding as of September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during the nine months ended September 30, 2021 and 2020.</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values of the service-based options and performance-based options are determined using the Black-Scholes option pricing model and the fair values of the market-based options were determined using a lattice (binomial) model.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 date fair value of stock options that vested during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200"/>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amounts)</w:t>
            </w:r>
          </w:p>
        </w:tc>
        <w:tc>
          <w:tcPr>
            <w:tcW w:w="144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date fair value of stock options that vested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200" w:type="dxa"/>
            <w:vAlign w:val="bottom"/>
          </w:tcPr>
          <w:p>
            <w:pPr>
              <w:spacing w:after="0"/>
              <w:rPr>
                <w:sz w:val="11"/>
                <w:szCs w:val="11"/>
                <w:color w:val="auto"/>
              </w:rPr>
            </w:pPr>
          </w:p>
        </w:tc>
        <w:tc>
          <w:tcPr>
            <w:tcW w:w="124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0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42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2"/>
              </w:rPr>
              <w:t>899,914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Forfeited/expired</w:t>
            </w:r>
          </w:p>
        </w:tc>
        <w:tc>
          <w:tcPr>
            <w:tcW w:w="1420" w:type="dxa"/>
            <w:vAlign w:val="bottom"/>
            <w:tcBorders>
              <w:bottom w:val="single" w:sz="8" w:color="auto"/>
            </w:tcBorders>
          </w:tcPr>
          <w:p>
            <w:pPr>
              <w:jc w:val="center"/>
              <w:ind w:left="594"/>
              <w:spacing w:after="0"/>
              <w:rPr>
                <w:sz w:val="20"/>
                <w:szCs w:val="20"/>
                <w:color w:val="auto"/>
              </w:rPr>
            </w:pPr>
            <w:r>
              <w:rPr>
                <w:rFonts w:ascii="Arial" w:cs="Arial" w:eastAsia="Arial" w:hAnsi="Arial"/>
                <w:sz w:val="18"/>
                <w:szCs w:val="18"/>
                <w:color w:val="auto"/>
                <w:w w:val="90"/>
              </w:rPr>
              <w:t>(104,991)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Outstanding as of September 30, 2021</w:t>
            </w:r>
          </w:p>
        </w:tc>
        <w:tc>
          <w:tcPr>
            <w:tcW w:w="142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92"/>
              </w:rPr>
              <w:t>794,923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Exercisable as of September 30, 2021</w:t>
            </w:r>
          </w:p>
        </w:tc>
        <w:tc>
          <w:tcPr>
            <w:tcW w:w="142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92"/>
              </w:rPr>
              <w:t>585,751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other share-based and similar types of awards are composed of restricted shares and restricted share units. The restricted shares and restricted share units are composed of a combination of service-based awards, performance-based awards and market-based awards.</w:t>
      </w:r>
    </w:p>
    <w:p>
      <w:pPr>
        <w:spacing w:after="0" w:line="9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two to four year periods with vesting in equal annual installments. A total of 278 thousand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service-based awards were outstanding as of September 30, 2021. Beginning in 2019, the Company granted service-based restricted share units as a component of most employees’ annual incentive compensation rather than cash.</w:t>
      </w:r>
    </w:p>
    <w:p>
      <w:pPr>
        <w:spacing w:after="0" w:line="13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These awards generally vest if certain specific financial measures are achieved; generally one-third vests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187 thousand performance-based awards were outstanding as of September 30, 2021.</w:t>
      </w:r>
    </w:p>
    <w:p>
      <w:pPr>
        <w:spacing w:after="0" w:line="12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Market-Based Awards. </w:t>
      </w:r>
      <w:r>
        <w:rPr>
          <w:rFonts w:ascii="Arial" w:cs="Arial" w:eastAsia="Arial" w:hAnsi="Arial"/>
          <w:sz w:val="17"/>
          <w:szCs w:val="17"/>
          <w:color w:val="auto"/>
        </w:rPr>
        <w:t>50% of these awards generally vest if certain specific market conditions are achieved over a 30-day period and the remaining</w:t>
      </w:r>
      <w:r>
        <w:rPr>
          <w:rFonts w:ascii="Arial" w:cs="Arial" w:eastAsia="Arial" w:hAnsi="Arial"/>
          <w:sz w:val="17"/>
          <w:szCs w:val="17"/>
          <w:i w:val="1"/>
          <w:iCs w:val="1"/>
          <w:color w:val="auto"/>
        </w:rPr>
        <w:t xml:space="preserve"> </w:t>
      </w:r>
      <w:r>
        <w:rPr>
          <w:rFonts w:ascii="Arial" w:cs="Arial" w:eastAsia="Arial" w:hAnsi="Arial"/>
          <w:sz w:val="17"/>
          <w:szCs w:val="17"/>
          <w:color w:val="auto"/>
        </w:rPr>
        <w:t>50% of these awards generally vest on the one year anniversary of the initial vesting. The Company estimates the grant date fair value of these awards using a lattice (binomial) model. A total of 112 thousand market-based awards were outstanding as of September 30, 2021.</w:t>
      </w:r>
    </w:p>
    <w:p>
      <w:pPr>
        <w:spacing w:after="0" w:line="1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and Market-Based Awards. </w:t>
      </w:r>
      <w:r>
        <w:rPr>
          <w:rFonts w:ascii="Arial" w:cs="Arial" w:eastAsia="Arial" w:hAnsi="Arial"/>
          <w:sz w:val="18"/>
          <w:szCs w:val="18"/>
          <w:color w:val="auto"/>
        </w:rPr>
        <w:t>These awards generally vest if certain specific financial measures are achieved and if certain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77 thousand performance-based and market-based awards were outstanding as of September 30, 2021.</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363 thousand restricted share units (at a weighted average grant date fair value of $9.50 per share) during the nine months ended September 30, 2021. These grants include 29 thousand performance-based awards that include both a performance condition and a market condition. The Company granted 37 thousand performance-based awards that include both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performance condition and a market condition for the nine months ended September 30, 2020. There were no market-based awards granted for the nine months ended September 30,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restricted</w:t>
            </w:r>
          </w:p>
        </w:tc>
      </w:tr>
      <w:tr>
        <w:trPr>
          <w:trHeight w:val="135"/>
        </w:trPr>
        <w:tc>
          <w:tcPr>
            <w:tcW w:w="96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and restricted</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 units</w:t>
            </w:r>
          </w:p>
        </w:tc>
      </w:tr>
      <w:tr>
        <w:trPr>
          <w:trHeight w:val="197"/>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640" w:type="dxa"/>
            <w:vAlign w:val="bottom"/>
            <w:shd w:val="clear" w:color="auto" w:fill="CCEEFF"/>
          </w:tcPr>
          <w:p>
            <w:pPr>
              <w:jc w:val="center"/>
              <w:ind w:left="817"/>
              <w:spacing w:after="0"/>
              <w:rPr>
                <w:sz w:val="20"/>
                <w:szCs w:val="20"/>
                <w:color w:val="auto"/>
              </w:rPr>
            </w:pPr>
            <w:r>
              <w:rPr>
                <w:rFonts w:ascii="Arial" w:cs="Arial" w:eastAsia="Arial" w:hAnsi="Arial"/>
                <w:sz w:val="18"/>
                <w:szCs w:val="18"/>
                <w:color w:val="auto"/>
                <w:w w:val="89"/>
              </w:rPr>
              <w:t>878,521</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center"/>
              <w:ind w:left="817"/>
              <w:spacing w:after="0"/>
              <w:rPr>
                <w:sz w:val="20"/>
                <w:szCs w:val="20"/>
                <w:color w:val="auto"/>
              </w:rPr>
            </w:pPr>
            <w:r>
              <w:rPr>
                <w:rFonts w:ascii="Arial" w:cs="Arial" w:eastAsia="Arial" w:hAnsi="Arial"/>
                <w:sz w:val="18"/>
                <w:szCs w:val="18"/>
                <w:color w:val="auto"/>
                <w:w w:val="89"/>
              </w:rPr>
              <w:t>363,412</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164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(234,579)</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w:t>
            </w:r>
          </w:p>
        </w:tc>
        <w:tc>
          <w:tcPr>
            <w:tcW w:w="1640" w:type="dxa"/>
            <w:vAlign w:val="bottom"/>
            <w:tcBorders>
              <w:bottom w:val="single" w:sz="8" w:color="auto"/>
            </w:tcBorders>
          </w:tcPr>
          <w:p>
            <w:pPr>
              <w:jc w:val="center"/>
              <w:ind w:left="797"/>
              <w:spacing w:after="0"/>
              <w:rPr>
                <w:sz w:val="20"/>
                <w:szCs w:val="20"/>
                <w:color w:val="auto"/>
              </w:rPr>
            </w:pPr>
            <w:r>
              <w:rPr>
                <w:rFonts w:ascii="Arial" w:cs="Arial" w:eastAsia="Arial" w:hAnsi="Arial"/>
                <w:sz w:val="18"/>
                <w:szCs w:val="18"/>
                <w:color w:val="auto"/>
                <w:w w:val="93"/>
              </w:rPr>
              <w:t>(352,799)</w:t>
            </w:r>
          </w:p>
        </w:tc>
      </w:tr>
      <w:tr>
        <w:trPr>
          <w:trHeight w:val="196"/>
        </w:trPr>
        <w:tc>
          <w:tcPr>
            <w:tcW w:w="9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Outstanding as of September 30, 2021</w:t>
            </w:r>
          </w:p>
        </w:tc>
        <w:tc>
          <w:tcPr>
            <w:tcW w:w="164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89"/>
              </w:rPr>
              <w:t>654,555</w:t>
            </w:r>
          </w:p>
        </w:tc>
      </w:tr>
      <w:tr>
        <w:trPr>
          <w:trHeight w:val="21"/>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REVENUE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Service revenue consists of amounts attributable to our fee-based services. Reimbursable expenses and non-controlling interest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Three months ended</w:t>
            </w: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86"/>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700" w:type="dxa"/>
            <w:vAlign w:val="bottom"/>
            <w:gridSpan w:val="3"/>
          </w:tcPr>
          <w:p>
            <w:pPr>
              <w:jc w:val="center"/>
              <w:ind w:right="668"/>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revenue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Reimbursable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Non-controlling interests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Disaggregation of total revenues by major source is as follows:</w:t>
      </w: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17780</wp:posOffset>
            </wp:positionV>
            <wp:extent cx="3111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140" w:type="dxa"/>
        <w:tblCellMar>
          <w:top w:w="0" w:type="dxa"/>
          <w:left w:w="0" w:type="dxa"/>
          <w:bottom w:w="0" w:type="dxa"/>
          <w:right w:w="0" w:type="dxa"/>
        </w:tblCellMar>
      </w:tblP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41,626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85,386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133,672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289,570</w:t>
            </w:r>
          </w:p>
        </w:tc>
      </w:tr>
      <w:tr>
        <w:trPr>
          <w:trHeight w:val="230"/>
        </w:trPr>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14,495</w:t>
            </w:r>
          </w:p>
        </w:tc>
      </w:tr>
      <w:tr>
        <w:trPr>
          <w:trHeight w:val="230"/>
        </w:trPr>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r>
      <w:tr>
        <w:trPr>
          <w:trHeight w:val="425"/>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43,243</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88,795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139,749</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305,581</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-753745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-462280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-179070</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Revenue recognized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Revenue related to</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when services are</w:t>
            </w: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technology platforms</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Reimbursable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performed or assets</w:t>
            </w:r>
          </w:p>
        </w:tc>
        <w:tc>
          <w:tcPr>
            <w:tcW w:w="15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and professional</w:t>
            </w:r>
          </w:p>
        </w:tc>
        <w:tc>
          <w:tcPr>
            <w:tcW w:w="1540" w:type="dxa"/>
            <w:vAlign w:val="bottom"/>
            <w:gridSpan w:val="2"/>
            <w:vMerge w:val="continue"/>
          </w:tcPr>
          <w:p>
            <w:pPr>
              <w:spacing w:after="0"/>
              <w:rPr>
                <w:sz w:val="11"/>
                <w:szCs w:val="11"/>
                <w:color w:val="auto"/>
              </w:rPr>
            </w:pPr>
          </w:p>
        </w:tc>
        <w:tc>
          <w:tcPr>
            <w:tcW w:w="14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88"/>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are sold</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expenses revenue</w:t>
            </w: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60" w:space="520"/>
            <w:col w:w="6160"/>
          </w:cols>
          <w:pgMar w:left="320" w:top="125" w:right="339" w:bottom="1440" w:gutter="0" w:footer="0" w:header="0"/>
          <w:type w:val="continuous"/>
        </w:sectPr>
      </w:pP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2021</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38,147</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43,243</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Three months ended September 30, 2020</w:t>
            </w:r>
          </w:p>
        </w:tc>
        <w:tc>
          <w:tcPr>
            <w:tcW w:w="14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82,067</w:t>
            </w:r>
          </w:p>
        </w:tc>
        <w:tc>
          <w:tcPr>
            <w:tcW w:w="5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3,918</w:t>
            </w:r>
          </w:p>
        </w:tc>
        <w:tc>
          <w:tcPr>
            <w:tcW w:w="5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2,810</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88,795</w:t>
            </w:r>
          </w:p>
        </w:tc>
      </w:tr>
      <w:tr>
        <w:trPr>
          <w:trHeight w:val="216"/>
        </w:trPr>
        <w:tc>
          <w:tcPr>
            <w:tcW w:w="40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Nine months ended September 30, 2021</w:t>
            </w:r>
          </w:p>
        </w:tc>
        <w:tc>
          <w:tcPr>
            <w:tcW w:w="14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124,111</w:t>
            </w:r>
          </w:p>
        </w:tc>
        <w:tc>
          <w:tcPr>
            <w:tcW w:w="5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10,273</w:t>
            </w:r>
          </w:p>
        </w:tc>
        <w:tc>
          <w:tcPr>
            <w:tcW w:w="5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5,365</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139,749</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2020</w:t>
            </w:r>
          </w:p>
        </w:tc>
        <w:tc>
          <w:tcPr>
            <w:tcW w:w="1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277,522</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13,564</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14,495</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305,581</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assets consist of unbilled accounts receivable (see Note 5). Our contract liabilities consist of current deferred revenue and other non-current liabilities as reported on the accompanying condensed consolidated balance sheets. Revenue recognized that was included in the contract liability at the beginning of the period was $4.7 million and $4.5 million for the nine months ended September 30, 2021 and 2020, respectively ($0.9 million and $0.7 million for the third quarter of 2021 and 2020, respectively).</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COST OF REVENUE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5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53"/>
              <w:spacing w:after="0"/>
              <w:rPr>
                <w:sz w:val="20"/>
                <w:szCs w:val="20"/>
                <w:color w:val="auto"/>
              </w:rPr>
            </w:pPr>
            <w:r>
              <w:rPr>
                <w:rFonts w:ascii="Arial" w:cs="Arial" w:eastAsia="Arial" w:hAnsi="Arial"/>
                <w:sz w:val="14"/>
                <w:szCs w:val="14"/>
                <w:b w:val="1"/>
                <w:bCs w:val="1"/>
                <w:color w:val="auto"/>
                <w:w w:val="96"/>
              </w:rPr>
              <w:t>2020</w:t>
            </w:r>
          </w:p>
        </w:tc>
      </w:tr>
      <w:tr>
        <w:trPr>
          <w:trHeight w:val="199"/>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123,914</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27,082</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14,495</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w:t>
            </w:r>
          </w:p>
        </w:tc>
      </w:tr>
      <w:tr>
        <w:trPr>
          <w:trHeight w:val="196"/>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249,779</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3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53"/>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9"/>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30,396</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15,725</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19 — OTHER (EXPENSE) INCOME,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40" w:type="dxa"/>
            <w:vAlign w:val="bottom"/>
            <w:gridSpan w:val="2"/>
          </w:tcPr>
          <w:p>
            <w:pPr>
              <w:spacing w:after="0"/>
              <w:rPr>
                <w:sz w:val="20"/>
                <w:szCs w:val="20"/>
                <w:color w:val="auto"/>
              </w:rPr>
            </w:pPr>
            <w:r>
              <w:rPr>
                <w:rFonts w:ascii="Arial" w:cs="Arial" w:eastAsia="Arial" w:hAnsi="Arial"/>
                <w:sz w:val="18"/>
                <w:szCs w:val="18"/>
                <w:color w:val="auto"/>
              </w:rPr>
              <w:t>Other (expense) income, net consists of the following:</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3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53"/>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9"/>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an income tax provision of $1.9 million and $5.3 million for the nine months ended September 30, 2021 and 2020, respectively ($0.4 million and $1.8 million for the third quarter of 2021 and 2020, respectively). The income tax provision for the three and nine months ended September 30, 2021 was driven by income tax on transfer pricing income from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India, no tax benefit on the pretax loss from our Luxembourg operating company and Pointillist, uncertain tax positions and tax on unrepatriated earnings in India.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LOSS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loss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are calculated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7"/>
                <w:szCs w:val="17"/>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5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53"/>
              <w:spacing w:after="0"/>
              <w:rPr>
                <w:sz w:val="20"/>
                <w:szCs w:val="20"/>
                <w:color w:val="auto"/>
              </w:rPr>
            </w:pPr>
            <w:r>
              <w:rPr>
                <w:rFonts w:ascii="Arial" w:cs="Arial" w:eastAsia="Arial" w:hAnsi="Arial"/>
                <w:sz w:val="14"/>
                <w:szCs w:val="14"/>
                <w:b w:val="1"/>
                <w:bCs w:val="1"/>
                <w:color w:val="auto"/>
                <w:w w:val="96"/>
              </w:rPr>
              <w:t>2020</w:t>
            </w:r>
          </w:p>
        </w:tc>
      </w:tr>
      <w:tr>
        <w:trPr>
          <w:trHeight w:val="199"/>
        </w:trPr>
        <w:tc>
          <w:tcPr>
            <w:tcW w:w="6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8"/>
        </w:trPr>
        <w:tc>
          <w:tcPr>
            <w:tcW w:w="62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15,831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15,637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15,816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15,578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5"/>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and 2020, 1.5 million and 1.6 million, respectively (1.3 million and 1.4 million for the third quarter of 2021 and 2020, respectively), stock options, restricted shares and restricted share units, were excluded from the computation of loss per share, as a result of the following:</w:t>
      </w:r>
    </w:p>
    <w:p>
      <w:pPr>
        <w:spacing w:after="0" w:line="130" w:lineRule="exact"/>
        <w:rPr>
          <w:sz w:val="20"/>
          <w:szCs w:val="20"/>
          <w:color w:val="auto"/>
        </w:rPr>
      </w:pPr>
    </w:p>
    <w:p>
      <w:pPr>
        <w:jc w:val="both"/>
        <w:ind w:left="500" w:hanging="330"/>
        <w:spacing w:after="0" w:line="255"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months ended September 30, 2021 and 2020, 0.2 million and 0.2 million, respectively (0.2 million and 0.2 million for the third quarter of 2021 and 2020, respectively) stock options, restricted shares and restricted share units were anti-dilutive and have been excluded from the computation of diluted loss per share because the Company incurred a net loss</w:t>
      </w:r>
    </w:p>
    <w:p>
      <w:pPr>
        <w:spacing w:after="0" w:line="2" w:lineRule="exact"/>
        <w:rPr>
          <w:rFonts w:ascii="Arial" w:cs="Arial" w:eastAsia="Arial" w:hAnsi="Arial"/>
          <w:sz w:val="18"/>
          <w:szCs w:val="18"/>
          <w:color w:val="auto"/>
        </w:rPr>
      </w:pPr>
    </w:p>
    <w:p>
      <w:pPr>
        <w:jc w:val="both"/>
        <w:ind w:left="500" w:right="20" w:hanging="330"/>
        <w:spacing w:after="0" w:line="250"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months ended September 30, 2021 and 2020, 0.3 million and 0.5 million, respectively (0.3 million and 0.3 million for the third quarter of 2021 and 2020, respectively), stock options were anti-dilutive and have been excluded from the computation of diluted loss per share because their exercise price was greater than the average market price of our common stock</w:t>
      </w:r>
    </w:p>
    <w:p>
      <w:pPr>
        <w:spacing w:after="0" w:line="1" w:lineRule="exact"/>
        <w:rPr>
          <w:rFonts w:ascii="Arial" w:cs="Arial" w:eastAsia="Arial" w:hAnsi="Arial"/>
          <w:sz w:val="18"/>
          <w:szCs w:val="18"/>
          <w:color w:val="auto"/>
        </w:rPr>
      </w:pPr>
    </w:p>
    <w:p>
      <w:pPr>
        <w:jc w:val="both"/>
        <w:ind w:left="500" w:hanging="330"/>
        <w:spacing w:after="0" w:line="273" w:lineRule="auto"/>
        <w:tabs>
          <w:tab w:leader="none" w:pos="495"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nine months ended September 30, 2021 and 2020, 1.0 million and 0.9 million, respectively (0.8 million and 0.9 million for the third quarter of 2021 and 2020,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RESTRUCTURING CHARGES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(finalized in 2020). During the three and nine months ended September 30, 2020, Altisource incurred $2.2 million and $10.9 million, respectively, of severance costs, professional services fees, facility consolidation costs, technology costs and business wind down costs related to the plan (no comparative amount for the three and nine months ended September 30,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During the year ended December 31, 2019, the Company completed the analysis of its services for potential exposure to sales tax in various jurisdictions in the United States. The Company recognized a $(0.6) million net loss reimbursement for the three and nine months ended September 30, 2020 (no comparative amount for the three and nine months ended September 30, 2021), in selling, general and administrative expenses in the accompanying condensed consolidated statements of operations and comprehensive loss. Future changes in our estimated sales tax exposure could result in a material adjustment to our condensed consolidated financial statements, which would impact our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during the nine months ended September 30, 2021, Ocwen was our largest customer, accounting for 32% of our total revenue (31% of our revenue for the third quarter of 2021). Additionally, 5% of our revenue for the nine months ended September 30, 2021 (4% of our revenue for the third quarter of 2021) was earned on the loan portfolios serviced by Ocwen, when a party other than Ocwen or the MSRs owner selected Altisource as the service provider.</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June 30, 2021, approximately 26% of loans serviced and subserviced by Ocwen (measured in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$0.4 million and $69.1 million of service revenue from Ocwen for the nine months ended September 30, 2021 and 2020, respectively ($0.1 million and $14.1 million for the third quarter of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$2.5 million and $16.7 million of service revenue from Ocwen for the nine months ended September 30, 2021 and 2020, respectively ($0.6 million and $3.9 million for the third quarter of 2021 and 2020, 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FHA loans and field services on Ocwen’s Government Loans, and title services on FHA and Veterans Affairs loans, subject to a process to confirm Altisource’s ability to meet reasonable performance requirements, which process is continuing.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Since the date of the Agreement, Ocwen has transitioned over 2,100 of its FHA first chance auction inventory to us and increased our percentage of field services referrals on its Government Loans.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of its GSE servicing rights or subservicing arrangements or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$0.6 million and $1.0 million for the nine months ended September 30, 2021 and 2020, respectively ($0.2 million and $0.3 million for the third quarter of 2021 and 2020, respectively). The amortization periods of right-of-use assets are generally limited by the expected lease term. Our leases generally have expected lease terms at adoption of one to six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 for the nine months ended 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1"/>
              </w:rPr>
              <w:t>3.28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w w:val="92"/>
              </w:rPr>
              <w:t>6.24 %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472"/>
        </w:trPr>
        <w:tc>
          <w:tcPr>
            <w:tcW w:w="6240" w:type="dxa"/>
            <w:vAlign w:val="bottom"/>
            <w:gridSpan w:val="2"/>
          </w:tcPr>
          <w:p>
            <w:pPr>
              <w:spacing w:after="0"/>
              <w:rPr>
                <w:sz w:val="20"/>
                <w:szCs w:val="20"/>
                <w:color w:val="auto"/>
              </w:rPr>
            </w:pPr>
            <w:r>
              <w:rPr>
                <w:rFonts w:ascii="Arial" w:cs="Arial" w:eastAsia="Arial" w:hAnsi="Arial"/>
                <w:sz w:val="18"/>
                <w:szCs w:val="18"/>
                <w:color w:val="auto"/>
              </w:rPr>
              <w:t>Our lease activity during the period is as follows: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80" w:type="dxa"/>
            <w:vAlign w:val="bottom"/>
            <w:gridSpan w:val="8"/>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jc w:val="right"/>
              <w:ind w:right="6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880" w:type="dxa"/>
            <w:vAlign w:val="bottom"/>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6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ind w:left="520"/>
              <w:spacing w:after="0"/>
              <w:rPr>
                <w:sz w:val="20"/>
                <w:szCs w:val="20"/>
                <w:color w:val="auto"/>
              </w:rPr>
            </w:pPr>
            <w:r>
              <w:rPr>
                <w:rFonts w:ascii="Arial" w:cs="Arial" w:eastAsia="Arial" w:hAnsi="Arial"/>
                <w:sz w:val="18"/>
                <w:szCs w:val="18"/>
                <w:color w:val="auto"/>
                <w:w w:val="97"/>
              </w:rPr>
              <w:t>4,696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w w:val="97"/>
              </w:rPr>
              <w:t>1,896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Cash used in operating activities for amounts included in the measurement of lease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4"/>
            <w:vMerge w:val="restart"/>
            <w:shd w:val="clear" w:color="auto" w:fill="CCEEFF"/>
          </w:tcPr>
          <w:p>
            <w:pPr>
              <w:ind w:left="520"/>
              <w:spacing w:after="0"/>
              <w:rPr>
                <w:sz w:val="20"/>
                <w:szCs w:val="20"/>
                <w:color w:val="auto"/>
              </w:rPr>
            </w:pPr>
            <w:r>
              <w:rPr>
                <w:rFonts w:ascii="Arial" w:cs="Arial" w:eastAsia="Arial" w:hAnsi="Arial"/>
                <w:sz w:val="18"/>
                <w:szCs w:val="18"/>
                <w:color w:val="auto"/>
                <w:w w:val="97"/>
              </w:rPr>
              <w:t>7,143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Short-term (twelve months or less) lease costs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5"/>
          </w:tcPr>
          <w:p>
            <w:pPr>
              <w:ind w:left="580"/>
              <w:spacing w:after="0"/>
              <w:rPr>
                <w:sz w:val="20"/>
                <w:szCs w:val="20"/>
                <w:color w:val="auto"/>
              </w:rPr>
            </w:pPr>
            <w:r>
              <w:rPr>
                <w:rFonts w:ascii="Arial" w:cs="Arial" w:eastAsia="Arial" w:hAnsi="Arial"/>
                <w:sz w:val="18"/>
                <w:szCs w:val="18"/>
                <w:color w:val="auto"/>
                <w:w w:val="95"/>
              </w:rPr>
              <w:t>(802)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458"/>
        </w:trPr>
        <w:tc>
          <w:tcPr>
            <w:tcW w:w="624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September 30, 2021 are as follows: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w:t>
            </w:r>
          </w:p>
        </w:tc>
        <w:tc>
          <w:tcPr>
            <w:tcW w:w="0" w:type="dxa"/>
            <w:vAlign w:val="bottom"/>
          </w:tcPr>
          <w:p>
            <w:pPr>
              <w:spacing w:after="0"/>
              <w:rPr>
                <w:sz w:val="1"/>
                <w:szCs w:val="1"/>
                <w:color w:val="auto"/>
              </w:rPr>
            </w:pPr>
          </w:p>
        </w:tc>
      </w:tr>
      <w:tr>
        <w:trPr>
          <w:trHeight w:val="188"/>
        </w:trPr>
        <w:tc>
          <w:tcPr>
            <w:tcW w:w="62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197"/>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6"/>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6"/>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14,197</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$48.1 million and $20.0 million as of September 30, 2021 and December 31, 2020,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SUBSEQUENT EVENT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6, 2021, the shareholders of Pointillist, a majority owned subsidiary of Altisource, entered into a definitive Stock Purchase Agreement to sell all of the equity interests in Pointillist to Genesys for $150 million (the “Purchase Price”). The Purchase Price consists of an up-front payment of $145 million, subject to certain adjustments at closing, including a working capital adjustment, and an additional $5 million to be held in an escrow account to satisfy certain Genesys indemnification claims that may arise on or prior to the first anniversary of the sale closing, with the balance to be paid thereafter. On a fully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basis, Altisource owns approximately 69% of the equity of Pointillist. The Company estimates that it will receive approximately $100 million in cash at closing, subject to a working capital adjustment, and an additional $3.7 million following the one-year anniversary of closing, assuming no indemnification claims. We estimate recognizing a pre-tax and after-tax gain of approximately $107 million from the sale before any potential reduction of goodwill. The transaction is anticipated to close before the end of the 2021 calendar year.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2020 filed with the Securities and Exchange Commission (“SEC”) on March 11, 2021. We determined that as of June 30, 2021, Altisource qualifies as a smaller reporting company (“SRC”) pursuant to Regulation S-K promulgated by the SEC (“Reg. S-K”) since its public float (as defined by Reg. S-K) was less than $250 million as of such date. We have elected to file as an SRC. Altisource remains an accelerated filer for SEC filing purposes based on its annual revenues.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1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affect anticipated expense reductions as a result of Project Catalyst and otherwise in response to lower revenues due to COVID-19, or other factors;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about the variable nature of our cost structure that would allow us to realign our cost structure in line with revenue;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assumptions regarding the impacts of the COVID-19 pandemic and the timeliness and effectiveness of actions taken in response thereto;</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Important factors that could cause actual results to differ materially from those suggested by the forward-looking statements include, but are not limited to, risks relating to the transaction with Genesys Cloud Services, Inc. (“Genesys”) including in respect of the satisfaction of closing conditions and the timing thereof, delays in obtaining regulatory and other third party consents in connection with the transaction, unanticipated expenditures relating to or liabilities arising from the transaction, litigation or regulatory issues relating to the transaction, the risks discussed in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of our Form 10-K for the year ended December 31, 2020 and in our Form 10-Q for the quarterly period ended June 30, 2021 including:</w:t>
      </w:r>
    </w:p>
    <w:p>
      <w:pPr>
        <w:spacing w:after="0" w:line="122"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the anticipated increase in default related referrals following the expiration of foreclosure and eviction moratoriums, forbearance programs and temporary governmental loss mitigation requirements, the timing of the expiration of such moratoriums, programs and requirements, and any other delays occasioned by government, investor or servicer actions;</w:t>
      </w:r>
    </w:p>
    <w:p>
      <w:pPr>
        <w:spacing w:after="0" w:line="2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Ocwen Financial Corporation (together with its subsidiaries, “Ocwen”) as a customer or our ability to receive the anticipated volume of referrals from Ocwen;</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1"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execute on our strategic plan;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governmental regulations and policies and any changes in such regulations and policies;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develop, launch and gain market acceptance of new solutions or recoup our investments in developing such new solutions;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incidents, data breaches and cybersecurity risks;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 and</w:t>
      </w:r>
    </w:p>
    <w:p>
      <w:pPr>
        <w:spacing w:after="0" w:line="63"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risks and uncertainties related to pandemics, epidemics or other force majeure events, including the COVID-19 pandemic, and associated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provide loan servicers and originators with marketplaces, services and technologies that span the residential mortgage lifecycle. We provide buyers, sellers, servicers and investors with the technology enabled marketplaces and other solutions that span the residential real estate lifecycle.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reportable segment (total Company). 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right="1860" w:firstLine="332"/>
        <w:spacing w:after="0" w:line="309" w:lineRule="auto"/>
        <w:tabs>
          <w:tab w:leader="none" w:pos="6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Property preservation and inspection services and vendor management oversight software-as-a-service (“SaaS”) platform </w:t>
      </w:r>
      <w:r>
        <w:rPr>
          <w:rFonts w:ascii="Arial" w:cs="Arial" w:eastAsia="Arial" w:hAnsi="Arial"/>
          <w:sz w:val="18"/>
          <w:szCs w:val="18"/>
          <w:u w:val="single" w:color="auto"/>
          <w:color w:val="auto"/>
        </w:rPr>
        <w:t>Marketplace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online real estate auction platform, real estate auction, real estate brokerage and asset management</w:t>
      </w:r>
    </w:p>
    <w:p>
      <w:pPr>
        <w:spacing w:after="0" w:line="26" w:lineRule="exact"/>
        <w:rPr>
          <w:rFonts w:ascii="Arial" w:cs="Arial" w:eastAsia="Arial" w:hAnsi="Arial"/>
          <w:sz w:val="18"/>
          <w:szCs w:val="18"/>
          <w:color w:val="auto"/>
        </w:rPr>
      </w:pPr>
    </w:p>
    <w:p>
      <w:pPr>
        <w:ind w:right="960" w:firstLine="332"/>
        <w:spacing w:after="0" w:line="254" w:lineRule="auto"/>
        <w:tabs>
          <w:tab w:leader="none" w:pos="6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Equator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 SaaS-based technology to manage real estate owned (“REO”), short sales, foreclosure, bankruptcy and eviction processes </w:t>
      </w:r>
      <w:r>
        <w:rPr>
          <w:rFonts w:ascii="Arial" w:cs="Arial" w:eastAsia="Arial" w:hAnsi="Arial"/>
          <w:sz w:val="18"/>
          <w:szCs w:val="18"/>
          <w:u w:val="single" w:color="auto"/>
          <w:color w:val="auto"/>
        </w:rPr>
        <w:t>Mortgage and Real Estate Solutions</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loan fulfillment, certification and certification insurance services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insurance (as an agent) and settlement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Real estate valuation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Management of the Best Partners Mortgage Cooperative, Inc., doing business as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(“Lenders One”), mortgage banking cooperative</w:t>
      </w:r>
    </w:p>
    <w:p>
      <w:pPr>
        <w:spacing w:after="0" w:line="6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Pointillist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journey analytics platform</w:t>
      </w:r>
    </w:p>
    <w:p>
      <w:pPr>
        <w:spacing w:after="0" w:line="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Other</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loan servicing technology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technology enabled solutions to a broad and diversified customer base of residential loan investors and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out businesses to provide long term value to our shareholders.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our offerings that support residential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in the event delinquency rates remain elevated following the expiration of the foreclosure moratoriums and forbearance plans, or customers and prospects consolidate to larger, full-service providers or outsource services that have historically been performed in-house.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also provide services to mortgage loan originators (or other similar mortgage market participants) in originating, buying and selling residential mortgages.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independent mortgage bankers, credit unions, and mid-size and larger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consolidate to larger, full-service providers or outsource services that have historically been performed in-house. With our Origination business’s unique distribution engine, mission critical solutions and strong growth prospects, we believe this business will be a significant catalyst to create value for shareholders. Notably, there are several companies that we believe have similar business models which recently executed capital market transactions at attractive valuations. Given the attractive market comparables and the progress we are making with the Origination business, we are evaluating ways to enhance shareholder value. These options may include a potential divestiture, joint venture, third party investment in or other strategic transaction, as well as retaining and further investing in this business. There can be no assurance that this exploration will result in any transaction by us. We do not intend to provide updates regarding these matters unless and until we determine that further disclosure is appropriate or required.</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earlier stage business consists of Pointillist, Inc. (“Pointillist”). The Pointillist business was developed by Altisource through our consumer analytics capabilities. We believe the Pointillist business is a potentially disruptive SaaS-based platform which provides unique customer journey analytics at scale and enables customers to engage through our intelligent platform. During 2019, we created Pointillist as a separate legal entity to position it for accelerated growth and outside investment and contributed the Pointillist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On May 27, 2021, Pointillist issued $1.3 million in principal of convertible notes to related parties with a maturity date of January 1, 2023.</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notes bear interest at a rate of 7% per annum. The principal and unpaid accrued interest then outstanding under the notes (1) automatically converts to Pointillist equity at the earlier of the time Pointillist receives proceeds of $5.0 million or more from the sale of its equity or January 1, 2023, or (2) are repaid in cash or converted into Pointillist common stock equity based on a $13.1 million Pointillist valuation (at the Lenders’ option) in the event of a corporate transaction or initial public offering of Pointillist. Altisource has no ongoing obligation to provide future funding to Pointillist. On October 6, 2021, the shareholders of Pointillist, a majority owned subsidiary of Altisource, entered into a definitive Stock Purchase Agreement to sell all of the equity interests in Pointillist to Genesys for $150 million (the “Purchase Price”). The Purchase Price consists of an up-front payment of $145 million, subject to certain adjustments at closing, including a working capital adjustment, and an additional $5 million to be held in an escrow account to satisfy certain Genesys indemnification claims that may arise on or prior to the first anniversary of the sale closing, with the balance to be paid thereafter. On a fully diluted basis, Altisource owns approximately 69% of the equity of Pointillist. The Company estimates that it will receive approximately $100 million in cash at closing, subject to a working capital adjustment, and an additional $3.7 million following the one-year anniversary of closing, assuming no indemnification claims. We estimate recognizing a pre-tax and after-tax gain of approximately $107 million from the sale before any potential reduction of goodwill. The transaction is anticipated to close before the end of the 2021 calendar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22, 2021, we entered into a revolving credit facility with STS Master Fund, Ltd. (“STS”), an investment fund managed by Deer Park Road Management Company, LP (the “Credit Facility”).</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Facility provides us with the ability to borrow up to $20 million through June 22, 2022, up to $15 million through June 22, 2023, and up to $10 million until the end of the term. We may voluntarily prepay all or any portion of the outstanding loans at any time. Amounts available under the Credit Facility are for general corporate purposes. As of September 30, 2021, the outstanding balance on the Credit Facility was $20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response to the COVID-19 pandemic, various governmental entities and servicers implemented unprecedented foreclosure and eviction moratoriums and forbearance programs to help mitigate the impact to borrowers and renters. As a result of these measures and other related actions, foreclosure initiations were 70% and 61% lower for January through September 2021 and 2020, compared to the same period in 2020 and 2019, respectively (with such foreclosure initiations representing 2%, 34% and 73% of seriously delinquent loans as of the beginning of the year in 2021, 2020 and 2019, respectively). The decline in foreclosure initiations resulted in significantly lower REO referrals and negatively impacted virtually all of the default related services performed on delinquent loans, loans in foreclosure and REO.</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same time, beginning in the first half of 2020 the Federal Reserve lowered the target for the federal funds rate to 0% to 0.25% and bought billions of dollars of mortgage backed securities on the secondary market to reduce interest rates. As a result of the lower interest rate environment, mortgage originations were 11% and 86% higher for the nine months ended September 2021 and 2020 compared to the same period in 2020 and 2019, respectively (according to the Mortgage Bankers Association) driving higher demand for origination related services. For the full year, the Mortgage Bankers Association forecasts that origination volume will decline by 6% compared to 2020.</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cannot predict the duration of the pandemic and future governmental measures. However, we have some clarity on the timing of the recovery of the default market. The Federal government’s foreclosure and eviction moratoriums expired at the end of July 2021. The CFPB’s rules on temporary loss mitigation measures essentially prohibit foreclosure initiations until January 1, 2022 other than a few exceptions, including for those loans that were 120 days or more delinquent prior to the pandemic. Based on these events, we believe the demand for our Default business will grow in 2022 after the expiration of the CFPB’s temporary loss mitigation rules, and stabilize during 2023 when we anticipate foreclosures commenced after the expiration of the foreclosure moratoriums, forbearance plans and temporary loss mitigation rules become REO and are sold. We further anticipate that our originations business will continue to grow from new customer wins, and cross selling existing and new offerings to customers.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address the lower anticipated revenue, Altisource is working to (1) reduce our cost structure, (2) maintain the infrastructure to deliver default related services for our customer base and support the anticipated increase in demand following the expiration of the moratoriums and forbearance plans, (3) accelerate the growth of our originations businesses, and (4) generate cash .</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15, 2018, our shareholders approved the renewal and replacement of the share repurchase program previously approved by the shareholders on May 17, 2017. Under the program, we are authorized to purchase up to 4.3 million shares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based on a limit of 25% of the outstanding shares of common stock on the date of approval, at a minimum price of $1.00 per share and a maximum price of $500.00 per share, for a period of five years from the date of approval. As of September 30, 2021, approximately 2.4 million shares of common stock remain available for repurchase under the program. There were no purchases of shares of common stock during the nine months ended September 30, 2021 and 2020. Luxembourg law limits share repurchases to the balance of Altisource Portfolio Solutions S.A. (unconsolidated parent company) retained earnings, less the value of shares repurchased. As of September 30, 2021, we can repurchase up to approximately $81 million of our common stock under Luxembourg law. Our Credit Agreement also limits the amount we can spend on share repurchases, which limit was approximately $376 million as of September 30, 2021, and may prevent repurchases in certain circumstances, including if our leverage ratio exceeds 3.50 to 1.00. Our leverage ratio exceeded 3.50 to 1.00 for the twelve months ended September 30,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2021, Ocwen was our largest customer, accounting for 32% of our total revenue for the nine months ended September 30, 2021 (31% of our revenue for the third quarter of 2021). Additionally, 5% of our revenue for the nine months ended September 30, 2021 (4% of our revenue for the third quarter of 2021) was earned on the loan portfolios serviced by Ocwen, when a party other than Ocwen or the mortgage servicing rights (“MSRs”) owner selected Altisource as the service provider.</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In addition to monetary damages, various complaints have sought to obtain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Ocwen has disclosed that NRZ is its largest client. As of June 30, 2021, approximately 26% of loans serviced and subserviced by Ocwen (measured in unpaid principal balance) were related to NRZ MSRs or rights to MSRs.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NRZ can terminate its sub-servicing agreement with Ocwen in exchange for the payment of a termination fee.</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$0.4 million and $69.1 million of service revenue from Ocwen for the nine months ended September 30, 2021 and 2020, respectively ($0.1 million and $14.1 million for the third quarter of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$2.5 million and $16.7 million of service revenue from Ocwen for the nine months ended September 30, 2021 and 2020, respectively ($0.6 million and $3.9 million for the third quarter of 2021 and 2020, 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(the “Agreement”)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Federal Housing Administration (“FHA”) loans and field services on Ocwen’s FHA, Veterans Affairs and United States Department of Agriculture loans (collectively, “Government Loans”), and title services on FHA and Veterans Affairs loans, subject to a process to confirm Altisource’s ability to meet reasonable performance requirements, which process is continuing.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Since the date of the Agreement, Ocwen has transitioned over 2,100 of its FHA first chance auction inventory to us and increased our percentage of field services referrals on its Government Loans.</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of its GSE servicing rights or subservicing arrangements or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68" w:lineRule="auto"/>
        <w:tabs>
          <w:tab w:leader="none" w:pos="655"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Company’s financial performance in its default businesses was negatively impacted by the COVID-19 pandemic for the three and nine months ended September 30, 2021. Governmental, and in some instances, servicer measures to provide support to borrowers, including foreclosure and eviction moratoriums and forbearance programs, reduced referral volumes and inflows of REO. COVID-19 pandemic related governmental restrictions and changing vendor and consumer behavior also impacted financial performance. These impacts were partially offset by stronger performance from the Company’s origination businesses that benefited from lower interest rates, customer wins and new offerings for the three and nine months ended September 30, 2021 compared to nine months ended September 30, 2020. Across the Company’s three core businesses, service revenue from customers other than Ocwen, NRZ and Front Yard Residential Corporation (“RESI”) for the nine months ended September 30, 2021 decreased by 1% compared to the nine months ended September 30, 2020 (decreased by 14% for the three months ended September 30, 2021 compared to the three months ended September 30, 2020). Compared to the nine months ended September 30, 2020, the decrease is primarily from a 67% decline in our default business, partially offset by a 23% growth in our origination businesses. Service revenue from our default and other business was $84.3 million and $249.1 million for the nine months ended September 30, 2021 and 2020, respectively ($25.4 million and $70.1 million for the third quarter of 2021 and 2020, respectively), and service revenue from our origination business was $45.5 million and $37.1 million for the nine months ended September 30, 2021 and 2020, respectively ($14.2 million and $14.5 million for the third quarter of 2021 and 2020, respectively).</w:t>
      </w:r>
    </w:p>
    <w:p>
      <w:pPr>
        <w:spacing w:after="0" w:line="22" w:lineRule="exact"/>
        <w:rPr>
          <w:rFonts w:ascii="Arial" w:cs="Arial" w:eastAsia="Arial" w:hAnsi="Arial"/>
          <w:sz w:val="17"/>
          <w:szCs w:val="17"/>
          <w:b w:val="1"/>
          <w:bCs w:val="1"/>
          <w:color w:val="auto"/>
        </w:rPr>
      </w:pPr>
    </w:p>
    <w:p>
      <w:pPr>
        <w:jc w:val="both"/>
        <w:ind w:left="660" w:hanging="328"/>
        <w:spacing w:after="0" w:line="26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to date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$0.4 million and $69.1 million of service revenue from Ocwen for the nine months ended September 30, 2021 and 2020, respectively ($0.1 million and $14.1 million for the third quarter of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We anticipate that the transition of such default valuations and title services will continue during the course of 2021. We estimate that $2.5 million and $16.7 million of service revenue from Ocwen for the nine months ended September 30, 2021 and 2020, respectively ($0.6 million and $3.9 million for the third quarter of 2021 and 2020, 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22"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During the three and nine months ended September 30, 2020, we recognized an unrealized gain (loss) of $0.1 million and $(12.4) million, respectively, from the change in fair value on our investment in RESI in other income (expense), net in the condensed consolidated statements of operations and comprehensive loss from a change in the market value of RESI common shares (no comparative amount for the three and nine months ended September 30, 2021).</w:t>
      </w:r>
    </w:p>
    <w:p>
      <w:pPr>
        <w:spacing w:after="0" w:line="24" w:lineRule="exact"/>
        <w:rPr>
          <w:rFonts w:ascii="Arial" w:cs="Arial" w:eastAsia="Arial" w:hAnsi="Arial"/>
          <w:sz w:val="18"/>
          <w:szCs w:val="18"/>
          <w:b w:val="1"/>
          <w:bCs w:val="1"/>
          <w:color w:val="auto"/>
        </w:rPr>
      </w:pPr>
    </w:p>
    <w:p>
      <w:pPr>
        <w:jc w:val="both"/>
        <w:ind w:left="66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August 2018, Altisource initiated Project Catalyst, a project intended to optimize its operations and reduce costs to better align its cost structure with its anticipated revenues and improve its operating margins (finalized in 2020). During the three and nine months ended September 30, 2020, Altisource incurred $2.2 million and $10.9 million, respectively, of severance costs, professional services fees, facility consolidation costs, technology costs and business wind down costs related to the reorganization plan (no comparative amount for the three and nine months ended September 30, 2021).</w:t>
      </w:r>
    </w:p>
    <w:p>
      <w:pPr>
        <w:spacing w:after="0" w:line="25"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recognized an income tax provision of $1.9 million and $5.3 million for the nine months ended September 30, 2021 and 2020, respectively ($0.4 million and $1.8 million for the third quarter of 2021 and 2020, respectively). The income tax provision for the three and nine months ended September 30, 2021 was driven by income tax on transfer pricing income from India, no tax benefit on the pretax loss from our Luxembourg operating company and Pointillist, uncertain tax positions and tax on unrepatriated earnings in India.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w w:val="91"/>
              </w:rPr>
              <w:t>Three months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91"/>
              </w:rPr>
              <w:t>Nine months ended 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92"/>
              </w:rPr>
              <w:t>% Increase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88"/>
        </w:trPr>
        <w:tc>
          <w:tcPr>
            <w:tcW w:w="3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97"/>
        </w:trPr>
        <w:tc>
          <w:tcPr>
            <w:tcW w:w="3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41,626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85,386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133,672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289,570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14,495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43,243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88,795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139,749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305,581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40,667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72,570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134,862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249,779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16,225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4,887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55,802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16,604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20,812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color w:val="auto"/>
              </w:rPr>
              <w:t>52,046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8"/>
                <w:szCs w:val="18"/>
                <w:color w:val="auto"/>
              </w:rPr>
              <w:t>73,606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42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10,921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(14,028)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(6,814)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(47,159)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(28,725)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(4,103)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(10,672)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(13,265)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4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investment in</w:t>
            </w: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(12,433)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(25,286)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2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Loss before income taxes and non-</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(17,898)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(11,140)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(57,040)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(54,011)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(18,328)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(12,897)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(58,897)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(59,306)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42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Net loss (income) attributable to non-</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(13,237)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(58,746)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(59,948)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Margins: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Gross profit/service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from operations/service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15,831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15,637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15,816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15,578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15,831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15,637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consists of the following:</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8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3460" w:type="dxa"/>
            <w:vAlign w:val="bottom"/>
            <w:gridSpan w:val="6"/>
          </w:tcPr>
          <w:p>
            <w:pPr>
              <w:ind w:left="5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4"/>
        </w:trPr>
        <w:tc>
          <w:tcPr>
            <w:tcW w:w="3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88"/>
        </w:trPr>
        <w:tc>
          <w:tcPr>
            <w:tcW w:w="3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7"/>
        </w:trPr>
        <w:tc>
          <w:tcPr>
            <w:tcW w:w="3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36,455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137,050</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3"/>
              </w:rPr>
              <w:t>(73)</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67,403</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3"/>
              </w:rPr>
              <w:t>(58)</w:t>
            </w:r>
          </w:p>
        </w:tc>
        <w:tc>
          <w:tcPr>
            <w:tcW w:w="0" w:type="dxa"/>
            <w:vAlign w:val="bottom"/>
          </w:tcPr>
          <w:p>
            <w:pPr>
              <w:spacing w:after="0"/>
              <w:rPr>
                <w:sz w:val="1"/>
                <w:szCs w:val="1"/>
                <w:color w:val="auto"/>
              </w:rPr>
            </w:pPr>
          </w:p>
        </w:tc>
      </w:tr>
      <w:tr>
        <w:trPr>
          <w:trHeight w:val="230"/>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81,742</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3"/>
              </w:rPr>
              <w:t>(20)</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Earlier Stage Business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080" w:type="dxa"/>
            <w:vAlign w:val="bottom"/>
            <w:tcBorders>
              <w:bottom w:val="single" w:sz="8" w:color="CCEEFF"/>
            </w:tcBorders>
            <w:gridSpan w:val="2"/>
          </w:tcPr>
          <w:p>
            <w:pPr>
              <w:ind w:left="760"/>
              <w:spacing w:after="0"/>
              <w:rPr>
                <w:sz w:val="20"/>
                <w:szCs w:val="20"/>
                <w:color w:val="auto"/>
              </w:rPr>
            </w:pPr>
            <w:r>
              <w:rPr>
                <w:rFonts w:ascii="Arial" w:cs="Arial" w:eastAsia="Arial" w:hAnsi="Arial"/>
                <w:sz w:val="18"/>
                <w:szCs w:val="18"/>
                <w:color w:val="auto"/>
                <w:w w:val="93"/>
              </w:rPr>
              <w:t>(72)</w:t>
            </w: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289,570</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3"/>
              </w:rPr>
              <w:t>(54)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3,861</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3"/>
              </w:rPr>
              <w:t>(69)</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3"/>
              </w:rPr>
              <w:t>(72)</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1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1080" w:type="dxa"/>
            <w:vAlign w:val="bottom"/>
            <w:tcBorders>
              <w:bottom w:val="single" w:sz="8" w:color="CCEEFF"/>
            </w:tcBorders>
            <w:gridSpan w:val="2"/>
          </w:tcPr>
          <w:p>
            <w:pPr>
              <w:ind w:left="760"/>
              <w:spacing w:after="0"/>
              <w:rPr>
                <w:sz w:val="20"/>
                <w:szCs w:val="20"/>
                <w:color w:val="auto"/>
              </w:rPr>
            </w:pPr>
            <w:r>
              <w:rPr>
                <w:rFonts w:ascii="Arial" w:cs="Arial" w:eastAsia="Arial" w:hAnsi="Arial"/>
                <w:sz w:val="18"/>
                <w:szCs w:val="18"/>
                <w:color w:val="auto"/>
                <w:w w:val="93"/>
              </w:rPr>
              <w:t>(34)</w:t>
            </w: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3"/>
              </w:rPr>
              <w:t>(63)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080" w:type="dxa"/>
            <w:vAlign w:val="bottom"/>
            <w:tcBorders>
              <w:bottom w:val="single" w:sz="8" w:color="CCEEFF"/>
            </w:tcBorders>
            <w:gridSpan w:val="2"/>
          </w:tcPr>
          <w:p>
            <w:pPr>
              <w:ind w:left="760"/>
              <w:spacing w:after="0"/>
              <w:rPr>
                <w:sz w:val="20"/>
                <w:szCs w:val="20"/>
                <w:color w:val="auto"/>
              </w:rPr>
            </w:pPr>
            <w:r>
              <w:rPr>
                <w:rFonts w:ascii="Arial" w:cs="Arial" w:eastAsia="Arial" w:hAnsi="Arial"/>
                <w:sz w:val="18"/>
                <w:szCs w:val="18"/>
                <w:color w:val="auto"/>
                <w:w w:val="93"/>
              </w:rPr>
              <w:t>(53)</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88,795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305,581</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93"/>
              </w:rPr>
              <w:t>(54)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service revenue of $133.7 million for the nine months ended September 30, 2021, a 54% decrease compared to the nine months ended September 30, 2020 ($41.6 million for the third quarter of 2021, a 51% decrease compared to the third quarter of 2020), primarily from COVID-19 pandemic related foreclosure and eviction moratoriums and borrower forbearance plans, and an MSR investor’s 2020 instructions to Ocwen to transition field services, title and valuation referrals historically provided to Altisource to the MSR investor’s captive vendors. The decrease for the nine months ended September 30, 2021 was partially offset by an increase in revenue from our origination business of 23%, from higher origination related volumes driven by a lower interest rate environment, customer wins and new offerings.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reimbursable expense revenue of $5.4 million for the nine months ended September 30, 2021, a 63% decrease compared to the nine months ended September 30, 2020 ($1.4 million for the third quarter of 2021, a 50% decrease compared to the third quarter of 2020). The decrease in reimbursable expenses for the nine months ended September 30, 2021 was consistent with the decline in service revenue discussed above.</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pandemic and related measures, the seasonal impact to revenue may not follow historical patterns.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and depreciation and amortization of operating assets.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260" w:type="dxa"/>
            <w:vAlign w:val="bottom"/>
            <w:gridSpan w:val="6"/>
          </w:tcPr>
          <w:p>
            <w:pPr>
              <w:jc w:val="right"/>
              <w:ind w:right="6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4"/>
        </w:trPr>
        <w:tc>
          <w:tcPr>
            <w:tcW w:w="41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8"/>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4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14,495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249,779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recognized cost of revenue of $134.9 million for the nine months ended September 30, 2021, a 46% decrease compared to the nine months ended September 30, 2020 ($40.7 million for the third quarter of 2021, a 44% decrease compared to the third quarter of 2020). The decreases in outside fees and services were primarily driven by lower service revenue in the Field Services, Marketplace and Mortgage and Real Estate Solutions businesses, discussed in the revenue section above. Compensation and benefits for the three and nine months ended September 30, 2021 decreased primarily due to cash cost savings measures taken in 2020 in response to the COVID-19 related decreases in service revenue and reduction in revenue from Ocwen discussed in the revenue section above. The Company also continued to reduce employee costs in the three and nine months ended September 30, 2021 as a result of the extension of the expiration of foreclosure moratoriums and forbearance plans. In addition, depreciation and amortization was lower from the completion of the depreciation periods of certain premises and equipment and the reduction in capital expenditures, and the decreases in reimbursable expenses were consistent with the changes in reimbursable expense revenue discussed in the revenue section above.</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Gross profit decreased to $4.9 million, representing 4% of service revenue, for the nine months ended September 30, 2021 compared to $55.8 million, representing 19% of service revenue, for the nine months ended September 30, 2020 (decreased to $2.6 million, representing 6% of service revenue, for the third quarter of 2021, compared to $16.2 million, representing 19% of service revenue, for the third quarter of 2020). Gross profit as a percentage of service revenue for the three and nine months ended September 30, 2021 decreased compared to the three and nine months ended September 30, 2020 primarily due to revenue mix with lower revenue from the higher margin Marketplace businesses and lower gross profit margin in the Field Services business. These decreases were partially offset by our COVID-19 cash cost savings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(“SG&amp;A”) expenses include payroll for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35"/>
        </w:trPr>
        <w:tc>
          <w:tcPr>
            <w:tcW w:w="41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8"/>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4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4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120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3"/>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4,636</w:t>
            </w:r>
          </w:p>
        </w:tc>
        <w:tc>
          <w:tcPr>
            <w:tcW w:w="1200" w:type="dxa"/>
            <w:vAlign w:val="bottom"/>
            <w:gridSpan w:val="2"/>
          </w:tcPr>
          <w:p>
            <w:pPr>
              <w:jc w:val="center"/>
              <w:ind w:left="730"/>
              <w:spacing w:after="0"/>
              <w:rPr>
                <w:sz w:val="20"/>
                <w:szCs w:val="20"/>
                <w:color w:val="auto"/>
              </w:rPr>
            </w:pPr>
            <w:r>
              <w:rPr>
                <w:rFonts w:ascii="Arial" w:cs="Arial" w:eastAsia="Arial" w:hAnsi="Arial"/>
                <w:sz w:val="18"/>
                <w:szCs w:val="18"/>
                <w:color w:val="auto"/>
                <w:w w:val="93"/>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20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3"/>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2,129</w:t>
            </w: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3"/>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w:t>
            </w:r>
          </w:p>
        </w:tc>
        <w:tc>
          <w:tcPr>
            <w:tcW w:w="1200" w:type="dxa"/>
            <w:vAlign w:val="bottom"/>
            <w:gridSpan w:val="2"/>
          </w:tcPr>
          <w:p>
            <w:pPr>
              <w:jc w:val="center"/>
              <w:ind w:left="730"/>
              <w:spacing w:after="0"/>
              <w:rPr>
                <w:sz w:val="20"/>
                <w:szCs w:val="20"/>
                <w:color w:val="auto"/>
              </w:rPr>
            </w:pPr>
            <w:r>
              <w:rPr>
                <w:rFonts w:ascii="Arial" w:cs="Arial" w:eastAsia="Arial" w:hAnsi="Arial"/>
                <w:sz w:val="18"/>
                <w:szCs w:val="18"/>
                <w:color w:val="auto"/>
                <w:w w:val="93"/>
              </w:rPr>
              <w:t>(57)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42"/>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20,812</w:t>
            </w:r>
          </w:p>
        </w:tc>
        <w:tc>
          <w:tcPr>
            <w:tcW w:w="1200" w:type="dxa"/>
            <w:vAlign w:val="bottom"/>
            <w:tcBorders>
              <w:bottom w:val="single" w:sz="8" w:color="CCEEFF"/>
            </w:tcBorders>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3"/>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SG&amp;A expenses for the nine months ended September 30, 2021 of $52.0 million decreased by 29% compared to the nine months ended September 30, 2020 ($16.6 million for the third quarter of 2021, a 20% decrease compared to the third quarter of 2020). The decreases were primarily driven by lower compensation and benefits, occupancy related costs and marketing costs. Compensation and benefits for the three and nine months ended September 30, 2021 decreased primarily due to cash cost savings measures taken in 2020 in response to the COVID-19 related decreases in service revenue and reduction in revenue from Ocwen discussed in the revenue section above. The Company also continued to reduce compensation and benefits costs in the three and nine months ended September 30, 2021 as a result of the extension of the expiration of foreclosure moratoriums and forbearance plans. The decreases in occupancy related costs primarily resulted from facility consolidation initiatives. The decreases in marketing costs were primarily driven by COVID-19 cost savings measures and the decline in revenue. For the nine months ended September 30, 2021, the decrease in amortization of intangible assets was driven by the completion of the amortization period of certain intangible assets during 2020 and lower revenue generated from the Homeward Residential, Inc. and Residential Capital, LLC portfolios (revenue-based amortization) consistent with the reduction in the size of Ocwen’s portfolio, discussed in the revenue section above. In addition, Other expenses decreased for the nine months ended September 30, 2021 primarily due to lower travel and entertainment costs driven by COVID-19 travel restrictions, lower billings to Transworld Systems Inc. for transition services in connection with the July 1, 2019 sale of the Financial Services Business and lower bad debt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August 2018, Altisource initiated Project Catalyst, a project intended to optimize its operations and reduce costs to better align its cost structure with its anticipated revenues and improve its operating margins (finalized in 2020). During the three and nine months ended September 30, 2020, Altisource incurred $2.2 million and $10.9 million, respectively, of severance costs, professional services fees, facility consolidation costs, technology costs and business wind down costs related to the reorganization plan (no comparative amount for the three and nine months ended September 30,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from operations for the nine months ended September 30, 2021 was $(47.2) million, representing (35)% of service revenue, compared to $(28.7) million, representing (10)% of service revenue, for the nine months ended September 30, 2020 (decreased to $(14.0) million, representing (34)% of service revenue, for the third quarter of 2021, compared to $(6.8) million, representing (8)% of service revenue, for the third quarter of 2020). Loss from operations as a percentage of service revenue increased for the three and nine months ended September 30, 2021 compared to the three and nine months ended September 30, 2020, primarily as a result of lower gross profit margins during the nine months ended September 30, 2020, partially offset by lower SG&amp;A expenses and restructuring charges, as discussed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principally includes interest expense, unrealized gain (loss) on our investment in RESI common shares and other non-operating gains and losses.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 income (expense), net was $(9.9) million for the nine months ended September 30, 2021 compared to $(25.3) million for the nine months ended September 30, 2020 ($(3.9) million for the third quarter of 2021 and $(4.3) million for the third quarter of 2020). The decrease in other expense for the nine months ended September 30, 2021 was primarily driven by a $(12.4) million unrealized loss on our investment in RESI common shares for the nine months ended September 30, 2020. In addition, other expense also decreased due to lower interest expense during the three and nine months ended September 30, 2021. Interest expense decreased primarily due to the lower average outstanding balances of the senior secured term loan as a result of repayments during 2020 and lower interest rates, partially offset by interest expense on our Credit Facility which closed on June 22, 2021. For the nine months ended September 30, 2021, the interest rate of the senior secured term loan was 5.00% compared to 5.46% for the nine months ended September 30, 2020 (5.00% for the third quarter of 2021 compared to 5.00% for the third quarter of 2020). For the three and nine months ended September 30, 2021 the interest rate of the Credit Facility was 9.00% (no comparative amount for the three and nine months ended September 30,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an income tax provision of $1.9 million and $5.3 million for the nine months ended September 30, 2021 and 2020, respectively ($0.4 million and $1.8 million for the third quarter of 2021 and 2020, respectively). The income tax provision for the three and nine months ended September 30, 2021 was driven by income tax on transfer pricing income from India, no tax benefit on the pretax loss from our Luxembourg operating company and Pointillist, uncertain tax positions and tax on unrepatriated earnings in India.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primary source of liquidity has historically been cash flow from operations, cash proceeds from sales of businesses and cash on hand. However, due to the COVID-19 pandemic and an MSR investor’s instructions to Ocwen to transition field services, valuation and title services to the investor’s captive service providers, revenue has declined significantly. The lower revenue, partially offset by cost savings initiatives, resulted in a negative operating cash flow from operations for nine months ended September 30, 2021. To address our current operating environment, we plan to continue our cost reduction initiatives to reduce cash burn. To increase our liquidity to provide a greater cushion, we entered into a Credit Facility during the second quarter of 2021. In addition, the transaction between the shareholders of Pointillist and Genesys to sell all of the equity interests in Pointillist is anticipated to close before the end of the 2021 calendar year, and we estimate that we will receive approximately $100 million in cash at closing, subject to a working capital adjustment, and an additional $3.7 million following the one-year anniversary of closing, assuming no indemnification claims. We also anticipate that we will continue to grow our origination businesses and that referral volumes from delinquent mortgages will increase following the expiration of the pandemic related foreclosure moratoriums, the CFPB's temporary loss mitigation measures and other pandemic related borrower relief measures.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and capital investments. In addition, from time to time, we consider and evaluate business acquisitions, dispositions, closures or other similar actions that are aligned with our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 As of September 30, 2021, $247.2 million of the Term B Loans were outstanding. Borrowings under the revolving credit facility are not permitted if our leverage ratio exceeds to 3.50 to 1.00. Our leverage ratio exceeded 3.50 to 1.00 for the twelve months ended September 30, 2021. There were no borrowings outstanding under the revolving credit facility as of September 30, 2021.</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no mandatory repayments of the Term B Loans due until maturity in April 2024, except as otherwise described herein.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 Our leverage ratio exceeded 3.50 to 1.00 for the twelve months ended September 30, 2021. The Company did not generate any Consolidated Excess Cash Flow for the twelve months ended September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Term B Loans as of September 30, 2021 was 5.00%.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Our leverage ratio exceeded 3.00 to 1.00 for the twelve months ended September 30, 2021. The lenders have no obligation to provide any incremental indebtedness.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22, 2021 Altisource S.à r.l, a subsidiary of Altisource Portfolio Solutions S.A., entered into a revolving credit facility with a related party, STS. STS is an investment fund managed by Deer Park Road Management Company, LP. Deer Park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Road Management Company, LP owns approximately 24% of Altisource’s common stock as of September 30, 2021 and its Chief Investment Officer and managing partner is a member of Altisource’s Board of Directors.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 million through June 22, 2022, $15 million through June 22, 2023, and $10 million until the end of the term. Amounts that are repaid may be re-borrowed in accordance with the limitations set forth below.</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amounts borrowed pursuant to the Credit Facility will amortize over the three-year term as follows: on June 22, 2022, the difference between the then outstanding balance above $15 million and $15 million, will be due and payable by Altisource; on June 22, 2023, the difference between the then outstanding balance above $10 million and $10 million, will be due and payable by Altisource; and on June 22, 2024, the then outstanding balance of the loan will be due and payable by Altisource.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of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subsidiary Altisource.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outstanding debt under the Credit Facility was $20.0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adjusted for non-cash items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(15,743)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loss. For the nine months ended September 30, 2021, cash flows used in operating activities were $(41.1) million, or approximately $(0.31) for every dollar of service revenue ($(0.44) for every dollar of service revenue for the third quarter of 2021), compared to cash flows used in operating activities of $(14.1) million, or approximately $(0.05) for every dollar of service revenue for the nine months ended September 30, 2020 ($(0.03) for every dollar of service revenue for the third quarter of 2020). During the nine months ended September 30, 2021, the increase in cash used in operating activities was driven by an $29.6 million increase in net loss, adjusted for non-cash items, partially offset by lower cash used for changes in operating assets and liabilities of $2.5 million. The increase in net loss, adjusted for non-cash items, was primarily due to lower gross profit during the nine months ended September 30, 2021 from lower service revenue driven by the COVID-19 pandemic and the loss of certain services relating to one of Ocwen’s subservicing customers, partially offset by decreases in expenses as a result of COVID-19 cash cost savings measures, the Project Catalyst cost reduction initiatives and lower SG&amp;A expenses. The decrease in cash used for changes in operating assets and liabilities was primarily driven by lower cash payments for annual incentive compensation bonuses in the first quarter of 2021 by $7.2 million partially offset by a decrease in accounts receivable of $1.8 million for the nine months ended September 30, 2021 compared to a decrease in accounts receivable of $10.1 million during the nine months ended September 30, 2020, largely driven by the timing of collections.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from investing activities for the nine months ended September 30, 2021 and 2020 consisted of additions to premises and equipment and proceeds from the sale of a business. Cash flows provided by investing activities were $1.9 million and $0.8 million for the nine months ended September 30, 2021 and 2020, respectively. The change in cash provided by investing activities was primarily driven by the use of $(1.1) million for the nine months ended September 30, 2021 compared to $(2.5) million in 2020, for additions to premises and equipment primarily related to investments in the development of certain software applications and facility improvements. In addition, during the nine months ended September 30, 2021, we received $3.0 million in proceeds in connection with the second installment from the August 2018 sale of the rental property management business to RESI and net proceeds of $3.3 million from the sale of the Financial Services Business received on the one year anniversary of the sale closing received during the nine months ended September 30,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Cash flows from financing activities for the nine months ended September 30, 2021 and 2020 primarily included payments of tax withholdings on issuance of restricted share units and restricted shares and distributions to non-controlling interests, and for the nine months ended September 30, 2021, included proceeds from issuance of long-term debt, debt issuance costs and proceeds from convertible notes payable to related parties. Cash flows provided by (used in) financing activities were $17.9 million and $(2.5) million for the nine months ended September 30, 2021 and 2020, respectively. During the nine months ended September 30, 2021 and 2020, we made payments of $(0.9) million and $(1.5)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nine months ended September 30, 2021 and 2020, we distributed $(1.8) million and $(1.0) million, respectively, to non-controlling interests. During the nine months ended September 30, 2021, we received proceeds from the issuance of long-term debt of $20.0 million and used $(0.5) million in debt issuance costs in connection with borrowings under the Credit Facility, and received proceeds from the Pointillist convertible notes payable to related parties of $1.2 million (no comparable amounts for the nine months ended September 30,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September 30, 2021</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future liquidity obligations primarily pertain to long-term debt repayments and interest expense under the Credit Agreement and Credit Facility (see Liquidity section above), lease payments and distributions to Lenders One members. During the next 12 months, we expect to pay $12.4 million of interest expense (assuming no further principal repayments and the September 30, 2021 interest rate) under the Credit Agreement, $1.8 million of interest expense under the Credit Facility and make lease payments of $5.9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existing cash and cash equivalents balances, available borrowings under the Credit Facility and the estimated proceeds from the transaction between the shareholders of Pointillist and Genesys to sell all of the equity interests in Pointillist anticipated to close before the end of the 2021 calendar year, net of our anticipated cash flows used in operations, will be sufficient to meet our liquidity needs, including to fund operating expenses, required interest and lease payments, for the next 12 months.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there were no significant changes to our contractual obligations from those identified in our Form 10-K for the fiscal year ended December 31, 2020 and this Form 10-Q, other than those that occur in the normal course of business. See Note 23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critical accounting policies are described in the MD&amp;A section of our Form 10-K for the year ended December 31, 2020 filed with the SEC on March 11, 2021. There have been no material changes to our critical accounting policies during the nine months ended September 30,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2021, the interest rate charged on the Term B Loan was 5.00%. The interest rate is calculated based on the Adjusted Eurodollar Rate (as defined in the senior secured term loan agreement) with a minimum floor of 1.00% plus 4.00%.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principal amount outstanding and the Adjusted Eurodollar Rate as of September 30, 2021, a one percentage point increase in the Eurodollar rate would increase our annual interest expense by approximately $2.5 million. There would be no decrease in our annual interest expense if there was a one percentage point decrease in the Eurodollar Rate, as a result of the 1.00% minimum floor.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first quarter of 2021, a one percentage point increase or decrease in value of the Indian rupee in relation to the United States dollar would increase or decrease our annual expenses by approximately $0.3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2021.</w:t>
      </w:r>
    </w:p>
    <w:p>
      <w:pPr>
        <w:spacing w:after="0" w:line="13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the date of this filing, there have been no material changes in our risk factors from those disclosed in Part I, Item 1A, of our Form 10-K for the year ended December 31, 2020 filed with the SEC on March 11, 2021, except as discussed in our Form 10-Q for the quarterly period ended June 30,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were no purchases of shares of common stock during the three months ended September 30, 2021.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As of September 30, 2021, the maximum number of shares that may be purchased under the repurchase program is 2.4 million shares of the Company’s common stock. In addition to the share repurchase program, during the three months ended September 30, 2021, 994 common shares were withheld from employees to satisfy tax withholding obligations that arose from the vesting of restricted shares.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1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4"/>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Section 302 Certification of the Chief Executive Officer pursuant to Exchange Act Rule 13a-14(a)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Section 302 Certification of the Chief Financial Officer pursuant to Exchange Act Rule 13a-14(a)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rFonts w:ascii="Arial" w:cs="Arial" w:eastAsia="Arial" w:hAnsi="Arial"/>
                <w:sz w:val="18"/>
                <w:szCs w:val="18"/>
                <w:color w:val="0000FF"/>
                <w:w w:val="98"/>
              </w:rPr>
            </w:pPr>
            <w:hyperlink w:anchor="page49">
              <w:r>
                <w:rPr>
                  <w:rFonts w:ascii="Arial" w:cs="Arial" w:eastAsia="Arial" w:hAnsi="Arial"/>
                  <w:sz w:val="18"/>
                  <w:szCs w:val="18"/>
                  <w:color w:val="0000FF"/>
                  <w:w w:val="98"/>
                </w:rPr>
                <w:t>Certification by the Chief Executive Officer and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1"/>
                <w:szCs w:val="21"/>
                <w:color w:val="auto"/>
              </w:rPr>
            </w:pPr>
          </w:p>
        </w:tc>
        <w:tc>
          <w:tcPr>
            <w:tcW w:w="10140" w:type="dxa"/>
            <w:vAlign w:val="bottom"/>
            <w:gridSpan w:val="4"/>
          </w:tcPr>
          <w:p>
            <w:pPr>
              <w:ind w:left="20"/>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4"/>
              </w:rPr>
              <w:t>period ended September 30, 2021 is formatted in Inline XBRL interactive data files: (i) Condensed Consolidated Balance Sheets as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0"/>
              </w:rPr>
              <w:t>September 30, 2021 and December 31, 2020; (ii) Condensed Consolidated Statements of Operations and Comprehensive Loss for the three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5"/>
              </w:rPr>
              <w:t>and nine months ended September 30, 2021 and 2020; (iii) Condensed Consolidated Statements of Equity for the 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0"/>
              </w:rPr>
              <w:t>September 30, 2021 and 2020; (iv) Condensed Consolidated Statements of Cash Flows for the nine months ended September 30, 2021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gridSpan w:val="4"/>
          </w:tcPr>
          <w:p>
            <w:pPr>
              <w:ind w:left="20"/>
              <w:spacing w:after="0"/>
              <w:rPr>
                <w:sz w:val="20"/>
                <w:szCs w:val="20"/>
                <w:color w:val="auto"/>
              </w:rPr>
            </w:pPr>
            <w:r>
              <w:rPr>
                <w:rFonts w:ascii="Arial" w:cs="Arial" w:eastAsia="Arial" w:hAnsi="Arial"/>
                <w:sz w:val="18"/>
                <w:szCs w:val="18"/>
                <w:color w:val="auto"/>
              </w:rPr>
              <w:t>2020; and (v) Notes to Condensed Consolidated Financial Statements.</w:t>
            </w:r>
          </w:p>
        </w:tc>
        <w:tc>
          <w:tcPr>
            <w:tcW w:w="0" w:type="dxa"/>
            <w:vAlign w:val="bottom"/>
          </w:tcPr>
          <w:p>
            <w:pPr>
              <w:spacing w:after="0"/>
              <w:rPr>
                <w:sz w:val="1"/>
                <w:szCs w:val="1"/>
                <w:color w:val="auto"/>
              </w:rPr>
            </w:pPr>
          </w:p>
        </w:tc>
      </w:tr>
      <w:tr>
        <w:trPr>
          <w:trHeight w:val="283"/>
        </w:trPr>
        <w:tc>
          <w:tcPr>
            <w:tcW w:w="1000" w:type="dxa"/>
            <w:vAlign w:val="bottom"/>
            <w:gridSpan w:val="3"/>
          </w:tcPr>
          <w:p>
            <w:pPr>
              <w:ind w:left="20"/>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1120" w:hanging="1094"/>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Michelle D. Esterman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(On behalf of the Registrant and as its Principal Financial</w:t>
      </w:r>
    </w:p>
    <w:p>
      <w:pPr>
        <w:ind w:left="688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52"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3"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 November 4, 2021</w:t>
            </w:r>
          </w:p>
        </w:tc>
        <w:tc>
          <w:tcPr>
            <w:tcW w:w="7020" w:type="dxa"/>
            <w:vAlign w:val="bottom"/>
            <w:gridSpan w:val="2"/>
          </w:tcPr>
          <w:p>
            <w:pPr>
              <w:ind w:left="2160"/>
              <w:spacing w:after="0"/>
              <w:rPr>
                <w:sz w:val="20"/>
                <w:szCs w:val="20"/>
                <w:color w:val="auto"/>
              </w:rPr>
            </w:pPr>
            <w:r>
              <w:rPr>
                <w:rFonts w:ascii="Arial" w:cs="Arial" w:eastAsia="Arial" w:hAnsi="Arial"/>
                <w:sz w:val="18"/>
                <w:szCs w:val="18"/>
                <w:color w:val="auto"/>
              </w:rPr>
              <w:t>By:   /s/ William B. Shepro</w:t>
            </w:r>
          </w:p>
        </w:tc>
      </w:tr>
      <w:tr>
        <w:trPr>
          <w:trHeight w:val="222"/>
        </w:trPr>
        <w:tc>
          <w:tcPr>
            <w:tcW w:w="39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William B. Shepro</w:t>
            </w:r>
          </w:p>
        </w:tc>
      </w:tr>
      <w:tr>
        <w:trPr>
          <w:trHeight w:val="229"/>
        </w:trPr>
        <w:tc>
          <w:tcPr>
            <w:tcW w:w="39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9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52"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3"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891" w:right="339" w:bottom="1440" w:gutter="0" w:footer="0" w:header="0"/>
        </w:sectPr>
      </w:pPr>
    </w:p>
    <w:p>
      <w:pPr>
        <w:spacing w:after="0" w:line="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Date: November 4, 2021</w:t>
      </w:r>
    </w:p>
    <w:p>
      <w:pPr>
        <w:spacing w:after="0" w:line="20" w:lineRule="exact"/>
        <w:rPr>
          <w:sz w:val="20"/>
          <w:szCs w:val="20"/>
          <w:color w:val="auto"/>
        </w:rPr>
      </w:pPr>
      <w:r>
        <w:rPr>
          <w:sz w:val="20"/>
          <w:szCs w:val="20"/>
          <w:color w:val="auto"/>
        </w:rPr>
        <w:br w:type="column"/>
      </w:r>
    </w:p>
    <w:p>
      <w:pPr>
        <w:spacing w:after="0"/>
        <w:tabs>
          <w:tab w:leader="none" w:pos="460" w:val="left"/>
        </w:tabs>
        <w:rPr>
          <w:sz w:val="20"/>
          <w:szCs w:val="20"/>
          <w:color w:val="auto"/>
        </w:rPr>
      </w:pPr>
      <w:r>
        <w:rPr>
          <w:rFonts w:ascii="Arial" w:cs="Arial" w:eastAsia="Arial" w:hAnsi="Arial"/>
          <w:sz w:val="18"/>
          <w:szCs w:val="18"/>
          <w:color w:val="auto"/>
        </w:rPr>
        <w:t>By:</w:t>
        <w:tab/>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14605</wp:posOffset>
            </wp:positionV>
            <wp:extent cx="27946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Michelle D. Esterman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(Principal Financial Officer and</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2">
            <w:col w:w="5620" w:space="720"/>
            <w:col w:w="4900"/>
          </w:cols>
          <w:pgMar w:left="320" w:top="891" w:right="3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left="340" w:right="2180"/>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2021</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Altisource Portfolio Solutions S.A. (the “Company”) for the quarterly period ended September 30, 2021,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214"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63" w:lineRule="exact"/>
        <w:rPr>
          <w:rFonts w:ascii="Arial" w:cs="Arial" w:eastAsia="Arial" w:hAnsi="Arial"/>
          <w:sz w:val="17"/>
          <w:szCs w:val="17"/>
          <w:color w:val="auto"/>
        </w:rPr>
      </w:pPr>
    </w:p>
    <w:p>
      <w:pPr>
        <w:ind w:left="720" w:hanging="388"/>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40" w:type="dxa"/>
            <w:vAlign w:val="bottom"/>
          </w:tcPr>
          <w:p>
            <w:pPr>
              <w:ind w:left="5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22"/>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November 4, 2021</w:t>
            </w:r>
          </w:p>
        </w:tc>
        <w:tc>
          <w:tcPr>
            <w:tcW w:w="10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November 4,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Roman"/>
      <w:start w:val="2"/>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2021-11-04T07:01:19Z</dcterms:created>
  <dcterms:modified xsi:type="dcterms:W3CDTF">2021-11-04T07:01:19Z</dcterms:modified>
</cp:coreProperties>
</file>