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4_a1eus000009u0tdmak-live.xml.htm"/>
      <w:bookmarkStart w:id="1" w:name="ksf4_a1eus000009u0tdmaklive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MORETTINI JOSEPH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1375 PORTMARNOCK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ALTISOURCE PORTFOLIO SOLUTIONS S.A.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ASPS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64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276"/>
        <w:gridCol w:w="771"/>
        <w:gridCol w:w="906"/>
        <w:gridCol w:w="801"/>
        <w:gridCol w:w="891"/>
        <w:gridCol w:w="10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64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Cash Exercise Stakeholder Warrants (ASPSZ)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07/25/2025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04/02/2029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7,515.81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0.2466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31,688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an open market sale of Altisource Portfolio Solutions S.A. ("ASPS") Cash Exercise Stakeholder Warrants (ASPSZ).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Cash Exercise Stakeholder Warrant is exercisable into 0.20313 shares of ASPS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an open market sale of 37,000 ASPS Cash Exercise Stakeholder Warrants (ASPSZ) in multiple transactions at prices ranging from $0.2461 to $0.2595 per warrant, resulting in a weighted average sale price of $0.2466 per warrant. The reporting person undertakes to provide full information regarding the number of warrants sold at each separate price upon request by the SEC staff or a security holder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Teresa L. Szupello,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6137" TargetMode="External"/><Relationship Id="rId5" Type="http://schemas.openxmlformats.org/officeDocument/2006/relationships/hyperlink" Target="http://www.sec.gov/cgi-bin/browse-edgar?action=getcompany&amp;CIK=00014624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672</Words>
  <Characters>3715</Characters>
  <CharactersWithSpaces>4315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