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60"/>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60"/>
        <w:spacing w:after="0"/>
        <w:rPr>
          <w:sz w:val="20"/>
          <w:szCs w:val="20"/>
          <w:color w:val="auto"/>
        </w:rPr>
      </w:pPr>
      <w:r>
        <w:rPr>
          <w:rFonts w:ascii="Arial" w:cs="Arial" w:eastAsia="Arial" w:hAnsi="Arial"/>
          <w:sz w:val="17"/>
          <w:szCs w:val="17"/>
          <w:b w:val="1"/>
          <w:bCs w:val="1"/>
          <w:color w:val="auto"/>
        </w:rPr>
        <w:t>Washington, D.C. 20549</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SCHEDULE 14A INFORMATION</w:t>
      </w:r>
    </w:p>
    <w:p>
      <w:pPr>
        <w:spacing w:after="0" w:line="230"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Proxy Statement Pursuant to Section 14(a) of the</w:t>
      </w:r>
    </w:p>
    <w:p>
      <w:pPr>
        <w:spacing w:after="0" w:line="18"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Securities Exchange Act of 1934</w:t>
      </w:r>
    </w:p>
    <w:p>
      <w:pPr>
        <w:spacing w:after="0" w:line="17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42" w:lineRule="exact"/>
        <w:rPr>
          <w:sz w:val="24"/>
          <w:szCs w:val="24"/>
          <w:color w:val="auto"/>
        </w:rPr>
      </w:pPr>
    </w:p>
    <w:p>
      <w:pPr>
        <w:ind w:left="380" w:hanging="371"/>
        <w:spacing w:after="0"/>
        <w:tabs>
          <w:tab w:leader="none" w:pos="3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38" w:lineRule="exact"/>
        <w:rPr>
          <w:rFonts w:ascii="Arial" w:cs="Arial" w:eastAsia="Arial" w:hAnsi="Arial"/>
          <w:sz w:val="17"/>
          <w:szCs w:val="17"/>
          <w:color w:val="auto"/>
        </w:rPr>
      </w:pPr>
    </w:p>
    <w:p>
      <w:pPr>
        <w:ind w:left="380" w:hanging="371"/>
        <w:spacing w:after="0"/>
        <w:tabs>
          <w:tab w:leader="none" w:pos="3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46" w:lineRule="exact"/>
        <w:rPr>
          <w:sz w:val="24"/>
          <w:szCs w:val="24"/>
          <w:color w:val="auto"/>
        </w:rPr>
      </w:pPr>
    </w:p>
    <w:p>
      <w:pPr>
        <w:ind w:left="380" w:hanging="371"/>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42" w:lineRule="exact"/>
        <w:rPr>
          <w:sz w:val="24"/>
          <w:szCs w:val="24"/>
          <w:color w:val="auto"/>
        </w:rPr>
      </w:pPr>
    </w:p>
    <w:p>
      <w:pPr>
        <w:ind w:left="380" w:hanging="37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2" w:lineRule="exact"/>
        <w:rPr>
          <w:rFonts w:ascii="Arial" w:cs="Arial" w:eastAsia="Arial" w:hAnsi="Arial"/>
          <w:sz w:val="17"/>
          <w:szCs w:val="17"/>
          <w:color w:val="auto"/>
        </w:rPr>
      </w:pPr>
    </w:p>
    <w:p>
      <w:pPr>
        <w:ind w:left="380" w:hanging="37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60"/>
        <w:spacing w:after="0"/>
        <w:rPr>
          <w:sz w:val="20"/>
          <w:szCs w:val="20"/>
          <w:color w:val="auto"/>
        </w:rPr>
      </w:pPr>
      <w:r>
        <w:rPr>
          <w:rFonts w:ascii="Arial" w:cs="Arial" w:eastAsia="Arial" w:hAnsi="Arial"/>
          <w:sz w:val="17"/>
          <w:szCs w:val="17"/>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(Name of Registrant as Specified in its Charter)</w:t>
      </w:r>
    </w:p>
    <w:p>
      <w:pPr>
        <w:spacing w:after="0" w:line="238" w:lineRule="exact"/>
        <w:rPr>
          <w:sz w:val="24"/>
          <w:szCs w:val="24"/>
          <w:color w:val="auto"/>
        </w:rPr>
      </w:pPr>
    </w:p>
    <w:p>
      <w:pPr>
        <w:jc w:val="center"/>
        <w:ind w:right="-60"/>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ind w:left="21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42" w:lineRule="exact"/>
        <w:rPr>
          <w:sz w:val="24"/>
          <w:szCs w:val="24"/>
          <w:color w:val="auto"/>
        </w:rPr>
      </w:pPr>
    </w:p>
    <w:p>
      <w:pPr>
        <w:ind w:left="380" w:hanging="371"/>
        <w:spacing w:after="0"/>
        <w:tabs>
          <w:tab w:leader="none" w:pos="3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2" w:lineRule="exact"/>
        <w:rPr>
          <w:sz w:val="24"/>
          <w:szCs w:val="24"/>
          <w:color w:val="auto"/>
        </w:rPr>
      </w:pPr>
    </w:p>
    <w:p>
      <w:pPr>
        <w:ind w:left="380" w:hanging="371"/>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17" w:lineRule="exact"/>
        <w:rPr>
          <w:rFonts w:ascii="Arial" w:cs="Arial" w:eastAsia="Arial" w:hAnsi="Arial"/>
          <w:sz w:val="17"/>
          <w:szCs w:val="17"/>
          <w:color w:val="auto"/>
        </w:rPr>
      </w:pPr>
    </w:p>
    <w:p>
      <w:pPr>
        <w:ind w:left="800" w:hanging="418"/>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504825</wp:posOffset>
            </wp:positionH>
            <wp:positionV relativeFrom="paragraph">
              <wp:posOffset>154940</wp:posOffset>
            </wp:positionV>
            <wp:extent cx="5298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8440" cy="8255"/>
                    </a:xfrm>
                    <a:prstGeom prst="rect">
                      <a:avLst/>
                    </a:prstGeom>
                    <a:noFill/>
                  </pic:spPr>
                </pic:pic>
              </a:graphicData>
            </a:graphic>
          </wp:anchor>
        </w:drawing>
      </w:r>
    </w:p>
    <w:p>
      <w:pPr>
        <w:spacing w:after="0" w:line="228" w:lineRule="exact"/>
        <w:rPr>
          <w:sz w:val="24"/>
          <w:szCs w:val="24"/>
          <w:color w:val="auto"/>
        </w:rPr>
      </w:pPr>
    </w:p>
    <w:p>
      <w:pPr>
        <w:ind w:left="1120" w:right="3979" w:hanging="738"/>
        <w:spacing w:after="0" w:line="276" w:lineRule="auto"/>
        <w:tabs>
          <w:tab w:leader="none" w:pos="785" w:val="left"/>
        </w:tabs>
        <w:numPr>
          <w:ilvl w:val="0"/>
          <w:numId w:val="6"/>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 N/A</w:t>
      </w:r>
    </w:p>
    <w:p>
      <w:pPr>
        <w:spacing w:after="0" w:line="1" w:lineRule="exact"/>
        <w:rPr>
          <w:rFonts w:ascii="Arial" w:cs="Arial" w:eastAsia="Arial" w:hAnsi="Arial"/>
          <w:sz w:val="17"/>
          <w:szCs w:val="17"/>
          <w:color w:val="auto"/>
        </w:rPr>
      </w:pPr>
    </w:p>
    <w:p>
      <w:pPr>
        <w:ind w:left="800" w:right="39" w:hanging="418"/>
        <w:spacing w:after="0" w:line="268"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N/A</w:t>
      </w:r>
    </w:p>
    <w:p>
      <w:pPr>
        <w:spacing w:after="0" w:line="23" w:lineRule="exact"/>
        <w:rPr>
          <w:rFonts w:ascii="Arial" w:cs="Arial" w:eastAsia="Arial" w:hAnsi="Arial"/>
          <w:sz w:val="17"/>
          <w:szCs w:val="17"/>
          <w:color w:val="auto"/>
        </w:rPr>
      </w:pPr>
    </w:p>
    <w:p>
      <w:pPr>
        <w:ind w:left="800" w:hanging="418"/>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504825</wp:posOffset>
            </wp:positionH>
            <wp:positionV relativeFrom="paragraph">
              <wp:posOffset>-542925</wp:posOffset>
            </wp:positionV>
            <wp:extent cx="5298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-126365</wp:posOffset>
            </wp:positionV>
            <wp:extent cx="5298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159385</wp:posOffset>
            </wp:positionV>
            <wp:extent cx="5298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8440" cy="8255"/>
                    </a:xfrm>
                    <a:prstGeom prst="rect">
                      <a:avLst/>
                    </a:prstGeom>
                    <a:noFill/>
                  </pic:spPr>
                </pic:pic>
              </a:graphicData>
            </a:graphic>
          </wp:anchor>
        </w:drawing>
      </w:r>
    </w:p>
    <w:p>
      <w:pPr>
        <w:spacing w:after="0" w:line="235" w:lineRule="exact"/>
        <w:rPr>
          <w:sz w:val="24"/>
          <w:szCs w:val="24"/>
          <w:color w:val="auto"/>
        </w:rPr>
      </w:pPr>
    </w:p>
    <w:p>
      <w:pPr>
        <w:ind w:left="800" w:hanging="418"/>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504825</wp:posOffset>
            </wp:positionH>
            <wp:positionV relativeFrom="paragraph">
              <wp:posOffset>159385</wp:posOffset>
            </wp:positionV>
            <wp:extent cx="5298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844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380" w:hanging="371"/>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42" w:lineRule="exact"/>
        <w:rPr>
          <w:rFonts w:ascii="Arial" w:cs="Arial" w:eastAsia="Arial" w:hAnsi="Arial"/>
          <w:sz w:val="17"/>
          <w:szCs w:val="17"/>
          <w:color w:val="auto"/>
        </w:rPr>
      </w:pPr>
    </w:p>
    <w:p>
      <w:pPr>
        <w:ind w:left="380" w:right="79" w:hanging="371"/>
        <w:spacing w:after="0" w:line="263"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sz w:val="24"/>
          <w:szCs w:val="24"/>
          <w:color w:val="auto"/>
        </w:rPr>
      </w:pPr>
    </w:p>
    <w:p>
      <w:pPr>
        <w:ind w:left="1120" w:right="6599" w:hanging="738"/>
        <w:spacing w:after="0" w:line="276" w:lineRule="auto"/>
        <w:tabs>
          <w:tab w:leader="none" w:pos="785"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 Previously Paid: N/A</w:t>
      </w:r>
    </w:p>
    <w:p>
      <w:pPr>
        <w:spacing w:after="0" w:line="1" w:lineRule="exact"/>
        <w:rPr>
          <w:rFonts w:ascii="Arial" w:cs="Arial" w:eastAsia="Arial" w:hAnsi="Arial"/>
          <w:sz w:val="17"/>
          <w:szCs w:val="17"/>
          <w:color w:val="auto"/>
        </w:rPr>
      </w:pPr>
    </w:p>
    <w:p>
      <w:pPr>
        <w:ind w:left="1120" w:right="5139" w:hanging="738"/>
        <w:spacing w:after="0" w:line="276" w:lineRule="auto"/>
        <w:tabs>
          <w:tab w:leader="none" w:pos="785"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Form, Schedule or Registration Statement No.: N/A</w:t>
      </w:r>
    </w:p>
    <w:p>
      <w:pPr>
        <w:spacing w:after="0" w:line="1" w:lineRule="exact"/>
        <w:rPr>
          <w:rFonts w:ascii="Arial" w:cs="Arial" w:eastAsia="Arial" w:hAnsi="Arial"/>
          <w:sz w:val="17"/>
          <w:szCs w:val="17"/>
          <w:color w:val="auto"/>
        </w:rPr>
      </w:pPr>
    </w:p>
    <w:p>
      <w:pPr>
        <w:ind w:left="800" w:hanging="418"/>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504825</wp:posOffset>
            </wp:positionH>
            <wp:positionV relativeFrom="paragraph">
              <wp:posOffset>-412115</wp:posOffset>
            </wp:positionV>
            <wp:extent cx="529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-126365</wp:posOffset>
            </wp:positionV>
            <wp:extent cx="5298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844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159385</wp:posOffset>
            </wp:positionV>
            <wp:extent cx="5298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8440" cy="8255"/>
                    </a:xfrm>
                    <a:prstGeom prst="rect">
                      <a:avLst/>
                    </a:prstGeom>
                    <a:noFill/>
                  </pic:spPr>
                </pic:pic>
              </a:graphicData>
            </a:graphic>
          </wp:anchor>
        </w:drawing>
      </w:r>
    </w:p>
    <w:p>
      <w:pPr>
        <w:spacing w:after="0" w:line="235" w:lineRule="exact"/>
        <w:rPr>
          <w:sz w:val="24"/>
          <w:szCs w:val="24"/>
          <w:color w:val="auto"/>
        </w:rPr>
      </w:pPr>
    </w:p>
    <w:p>
      <w:pPr>
        <w:ind w:left="1120" w:right="7539" w:hanging="738"/>
        <w:spacing w:after="0" w:line="379" w:lineRule="auto"/>
        <w:tabs>
          <w:tab w:leader="none" w:pos="785" w:val="left"/>
        </w:tabs>
        <w:numPr>
          <w:ilvl w:val="0"/>
          <w:numId w:val="10"/>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8890</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-61595</wp:posOffset>
            </wp:positionV>
            <wp:extent cx="5298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98440" cy="8255"/>
                    </a:xfrm>
                    <a:prstGeom prst="rect">
                      <a:avLst/>
                    </a:prstGeom>
                    <a:noFill/>
                  </pic:spPr>
                </pic:pic>
              </a:graphicData>
            </a:graphic>
          </wp:anchor>
        </w:drawing>
      </w:r>
    </w:p>
    <w:p>
      <w:pPr>
        <w:sectPr>
          <w:pgSz w:w="11900" w:h="16838" w:orient="portrait"/>
          <w:cols w:equalWidth="0" w:num="1">
            <w:col w:w="9079"/>
          </w:cols>
          <w:pgMar w:left="1380" w:top="668"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4684395</wp:posOffset>
            </wp:positionH>
            <wp:positionV relativeFrom="page">
              <wp:posOffset>88900</wp:posOffset>
            </wp:positionV>
            <wp:extent cx="2722880" cy="662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22880" cy="662305"/>
                    </a:xfrm>
                    <a:prstGeom prst="rect">
                      <a:avLst/>
                    </a:prstGeom>
                    <a:noFill/>
                  </pic:spPr>
                </pic:pic>
              </a:graphicData>
            </a:graphic>
          </wp:anchor>
        </w:drawing>
        <w:t>April 2, 2013</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which will be held at the offices of the Company located at 291, route d'Arlon, L-1150 Luxembourg City, Grand Duchy of Luxembourg on Wednesday, May 15, 2013, at 9:00 a.m., Central European Time. The matters to be considered by shareholders at the Annual Meeting of Shareholders are described in detail in the accompanying materials.</w:t>
      </w:r>
    </w:p>
    <w:p>
      <w:pPr>
        <w:spacing w:after="0" w:line="147"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It is very important that you be represented at the Annual Meeting of Shareholders regardless of the number of shares you own or whether you are able to attend the Annual Meeting of Shareholders in person. We urge you to complete your proxy card in one of the manners described in the accompanying materials even if you plan to attend the Annual Meeting of Shareholders. This will not prevent you from voting in person but will ensure that your vote is counted if you are unable to attend.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Your support of and interest in Altisource Portfolio Solutions S.A. is sincerely appreciated.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48005" cy="564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005"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William C. Erbey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038225" cy="490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8225" cy="49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913130</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310515</wp:posOffset>
            </wp:positionV>
            <wp:extent cx="3540760" cy="474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0760" cy="474345"/>
                    </a:xfrm>
                    <a:prstGeom prst="rect">
                      <a:avLst/>
                    </a:prstGeom>
                    <a:noFill/>
                  </pic:spPr>
                </pic:pic>
              </a:graphicData>
            </a:graphic>
          </wp:anchor>
        </w:drawing>
      </w:r>
    </w:p>
    <w:p>
      <w:pPr>
        <w:sectPr>
          <w:pgSz w:w="11900" w:h="16838" w:orient="portrait"/>
          <w:cols w:equalWidth="0" w:num="1">
            <w:col w:w="11380"/>
          </w:cols>
          <w:pgMar w:left="240" w:top="1380"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ALTISOURCE PORTFOLIO SOLUTIONS S.A.</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291, route d'Arlon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L-1150 Luxembourg City</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Grand Duchy of Luxembourg</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R.C.S. Luxembourg B 72 391</w:t>
      </w:r>
    </w:p>
    <w:p>
      <w:pPr>
        <w:spacing w:after="0" w:line="205" w:lineRule="exact"/>
        <w:rPr>
          <w:sz w:val="20"/>
          <w:szCs w:val="20"/>
          <w:color w:val="auto"/>
        </w:rPr>
      </w:pPr>
    </w:p>
    <w:p>
      <w:pPr>
        <w:jc w:val="center"/>
        <w:ind w:left="300" w:right="2420"/>
        <w:spacing w:after="0" w:line="266" w:lineRule="auto"/>
        <w:rPr>
          <w:sz w:val="20"/>
          <w:szCs w:val="20"/>
          <w:color w:val="auto"/>
        </w:rPr>
      </w:pPr>
      <w:r>
        <w:rPr>
          <w:rFonts w:ascii="Arial" w:cs="Arial" w:eastAsia="Arial" w:hAnsi="Arial"/>
          <w:sz w:val="17"/>
          <w:szCs w:val="17"/>
          <w:b w:val="1"/>
          <w:bCs w:val="1"/>
          <w:color w:val="auto"/>
        </w:rPr>
        <w:t>NOTICE OF ANNUAL MEETING OF SHAREHOLDERS AND IMPORTANT NOTICE REGARDING THE AVAILABILITY OF PROXY MATERIALS FOR THE ANNUAL MEETING OF SHAREHOLDERS TO BE HELD ON MAY 15, 2013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NOTICE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Our Annual Meeting of Shareholders will be held:</w:t>
      </w:r>
    </w:p>
    <w:p>
      <w:pPr>
        <w:spacing w:after="0" w:line="200" w:lineRule="exact"/>
        <w:rPr>
          <w:sz w:val="20"/>
          <w:szCs w:val="20"/>
          <w:color w:val="auto"/>
        </w:rPr>
      </w:pPr>
    </w:p>
    <w:p>
      <w:pPr>
        <w:spacing w:after="0" w:line="360" w:lineRule="exact"/>
        <w:rPr>
          <w:sz w:val="20"/>
          <w:szCs w:val="20"/>
          <w:color w:val="auto"/>
        </w:rPr>
      </w:pPr>
    </w:p>
    <w:p>
      <w:pPr>
        <w:ind w:left="1500"/>
        <w:spacing w:after="0"/>
        <w:tabs>
          <w:tab w:leader="none" w:pos="240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Wednesday, May 15, 2013</w:t>
      </w:r>
    </w:p>
    <w:p>
      <w:pPr>
        <w:spacing w:after="0" w:line="217" w:lineRule="exact"/>
        <w:rPr>
          <w:sz w:val="20"/>
          <w:szCs w:val="20"/>
          <w:color w:val="auto"/>
        </w:rPr>
      </w:pPr>
    </w:p>
    <w:p>
      <w:pPr>
        <w:ind w:left="1500"/>
        <w:spacing w:after="0"/>
        <w:tabs>
          <w:tab w:leader="none" w:pos="240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9:00 a.m., Central European Time</w:t>
      </w:r>
    </w:p>
    <w:p>
      <w:pPr>
        <w:spacing w:after="0" w:line="217" w:lineRule="exact"/>
        <w:rPr>
          <w:sz w:val="20"/>
          <w:szCs w:val="20"/>
          <w:color w:val="auto"/>
        </w:rPr>
      </w:pPr>
    </w:p>
    <w:p>
      <w:pPr>
        <w:ind w:left="1500"/>
        <w:spacing w:after="0"/>
        <w:tabs>
          <w:tab w:leader="none" w:pos="240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Altisource Portfolio Solutions S.A.</w:t>
      </w:r>
    </w:p>
    <w:p>
      <w:pPr>
        <w:spacing w:after="0" w:line="22"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291, route d'Arlon</w:t>
      </w:r>
    </w:p>
    <w:p>
      <w:pPr>
        <w:spacing w:after="0" w:line="11"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L-1150 Luxembourg City</w:t>
      </w:r>
    </w:p>
    <w:p>
      <w:pPr>
        <w:spacing w:after="0" w:line="11"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Grand Duchy of Luxembourg</w:t>
      </w:r>
    </w:p>
    <w:p>
      <w:pPr>
        <w:spacing w:after="0" w:line="222" w:lineRule="exact"/>
        <w:rPr>
          <w:sz w:val="20"/>
          <w:szCs w:val="20"/>
          <w:color w:val="auto"/>
        </w:rPr>
      </w:pPr>
    </w:p>
    <w:p>
      <w:pPr>
        <w:ind w:left="1040" w:hanging="522"/>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elect five (5) Directors for a one (1) year term and/or until their successors are elected and qualified;</w:t>
      </w:r>
    </w:p>
    <w:p>
      <w:pPr>
        <w:spacing w:after="0" w:line="242" w:lineRule="exact"/>
        <w:rPr>
          <w:rFonts w:ascii="Arial" w:cs="Arial" w:eastAsia="Arial" w:hAnsi="Arial"/>
          <w:sz w:val="17"/>
          <w:szCs w:val="17"/>
          <w:color w:val="auto"/>
        </w:rPr>
      </w:pPr>
    </w:p>
    <w:p>
      <w:pPr>
        <w:ind w:left="1040" w:hanging="522"/>
        <w:spacing w:after="0" w:line="263"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approve the appointment by the Audit Committee of our Board of Directors of Deloitte &amp; Touche LLP to be our independent registered certified public accounting firm for the year ending December 31, 2013 and Deloitte Audit S.à r.l. to be our certified auditor for all statutory accounts as required by Luxembourg law for the same period;</w:t>
      </w:r>
    </w:p>
    <w:p>
      <w:pPr>
        <w:spacing w:after="0" w:line="194" w:lineRule="exact"/>
        <w:rPr>
          <w:rFonts w:ascii="Arial" w:cs="Arial" w:eastAsia="Arial" w:hAnsi="Arial"/>
          <w:sz w:val="17"/>
          <w:szCs w:val="17"/>
          <w:color w:val="auto"/>
        </w:rPr>
      </w:pPr>
    </w:p>
    <w:p>
      <w:pPr>
        <w:ind w:left="1040" w:right="40" w:hanging="522"/>
        <w:spacing w:after="0" w:line="300" w:lineRule="auto"/>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approve Altisource Portfolio Solutions S.A.'s annual accounts prepared in accordance with accounting principles generally accepted in Luxembourg ("Luxembourg GAAP") for the year ended December 31, 2012 and as amended and restated for the years ended December 31, 2009 to 2011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for the year ended December 31, 2012 (the "Consolidated Accounts") (together, the "Luxembourg Statutory Accounts");</w:t>
      </w:r>
    </w:p>
    <w:p>
      <w:pPr>
        <w:spacing w:after="0" w:line="171" w:lineRule="exact"/>
        <w:rPr>
          <w:rFonts w:ascii="Arial" w:cs="Arial" w:eastAsia="Arial" w:hAnsi="Arial"/>
          <w:sz w:val="15"/>
          <w:szCs w:val="15"/>
          <w:color w:val="auto"/>
        </w:rPr>
      </w:pPr>
    </w:p>
    <w:p>
      <w:pPr>
        <w:ind w:left="1040" w:hanging="522"/>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receive and approve the Directors' reports for the Luxembourg Statutory Accounts;</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allocate the results and part of the distributable reserve in the Luxembourg Annual Accounts;</w:t>
      </w:r>
    </w:p>
    <w:p>
      <w:pPr>
        <w:spacing w:after="0" w:line="229" w:lineRule="exact"/>
        <w:rPr>
          <w:rFonts w:ascii="Arial" w:cs="Arial" w:eastAsia="Arial" w:hAnsi="Arial"/>
          <w:sz w:val="17"/>
          <w:szCs w:val="17"/>
          <w:color w:val="auto"/>
        </w:rPr>
      </w:pPr>
    </w:p>
    <w:p>
      <w:pPr>
        <w:ind w:left="1040" w:right="340" w:hanging="522"/>
        <w:spacing w:after="0" w:line="27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ratify the declaration and payment of the interim dividends in connection with the separation of Altisource Residential Corporation and Altisource Asset Management Corporation from Altisource Portfolio Solutions S.A.;</w:t>
      </w:r>
    </w:p>
    <w:p>
      <w:pPr>
        <w:spacing w:after="0" w:line="184" w:lineRule="exact"/>
        <w:rPr>
          <w:rFonts w:ascii="Arial" w:cs="Arial" w:eastAsia="Arial" w:hAnsi="Arial"/>
          <w:sz w:val="17"/>
          <w:szCs w:val="17"/>
          <w:color w:val="auto"/>
        </w:rPr>
      </w:pPr>
    </w:p>
    <w:p>
      <w:pPr>
        <w:ind w:left="1040" w:right="300" w:hanging="522"/>
        <w:spacing w:after="0" w:line="27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discharge each of the current and past Directors of Altisource Portfolio Solutions S.A. for the performance of their mandate during the years ended December 31, 2009 to 2012; and</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auto"/>
        </w:rPr>
        <w:t>PROCEDURES</w:t>
      </w:r>
    </w:p>
    <w:p>
      <w:pPr>
        <w:spacing w:after="0" w:line="233" w:lineRule="exact"/>
        <w:rPr>
          <w:sz w:val="20"/>
          <w:szCs w:val="20"/>
          <w:color w:val="auto"/>
        </w:rPr>
      </w:pPr>
    </w:p>
    <w:p>
      <w:pPr>
        <w:ind w:left="1040" w:right="220" w:hanging="522"/>
        <w:spacing w:after="0" w:line="274"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Board of Directors has fixed March 18, 2013 as the record date for the determination of shareholders entitled to notice of and to vote at the Annual Meeting of Shareholders.</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Only shareholders of record at the close of business on that date will be entitled to vote at the Annual Meeting of Shareholders.</w:t>
      </w:r>
    </w:p>
    <w:p>
      <w:pPr>
        <w:spacing w:after="0" w:line="229" w:lineRule="exact"/>
        <w:rPr>
          <w:rFonts w:ascii="Arial" w:cs="Arial" w:eastAsia="Arial" w:hAnsi="Arial"/>
          <w:sz w:val="17"/>
          <w:szCs w:val="17"/>
          <w:color w:val="auto"/>
        </w:rPr>
      </w:pPr>
    </w:p>
    <w:p>
      <w:pPr>
        <w:ind w:left="1040" w:hanging="522"/>
        <w:spacing w:after="0" w:line="305" w:lineRule="auto"/>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The proxy statement for our 2013 Annual Meeting of Shareholders and our annual report to shareholders on Form 10-K for the year ended December 31, 2012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 Additionally, and in accordance with Securities and Exchange Commission ("SEC") rules, you may access our proxy statement at </w:t>
      </w:r>
      <w:r>
        <w:rPr>
          <w:rFonts w:ascii="Arial" w:cs="Arial" w:eastAsia="Arial" w:hAnsi="Arial"/>
          <w:sz w:val="15"/>
          <w:szCs w:val="15"/>
          <w:u w:val="single" w:color="auto"/>
          <w:color w:val="auto"/>
        </w:rPr>
        <w:t>http://www.proxyvote.com</w:t>
      </w:r>
      <w:r>
        <w:rPr>
          <w:rFonts w:ascii="Arial" w:cs="Arial" w:eastAsia="Arial" w:hAnsi="Arial"/>
          <w:sz w:val="15"/>
          <w:szCs w:val="15"/>
          <w:color w:val="auto"/>
        </w:rPr>
        <w:t>, a website that does not identify or track visitors of the site, by entering the 12 digit Control Number found on your Beneficial Notice Card or on your Proxy Card in the space provided.</w:t>
      </w:r>
    </w:p>
    <w:p>
      <w:pPr>
        <w:spacing w:after="0" w:line="166" w:lineRule="exact"/>
        <w:rPr>
          <w:rFonts w:ascii="Arial" w:cs="Arial" w:eastAsia="Arial" w:hAnsi="Arial"/>
          <w:sz w:val="15"/>
          <w:szCs w:val="15"/>
          <w:color w:val="auto"/>
        </w:rPr>
      </w:pPr>
    </w:p>
    <w:p>
      <w:pPr>
        <w:ind w:left="1040" w:right="60" w:hanging="522"/>
        <w:spacing w:after="0" w:line="263"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Luxembourg Statutory Accounts, the Directors' reports for the Luxembourg Statutory Accounts and the statutory auditor's report on the Consolidated Accounts will be available for inspection from April 15, 2013 until the conclusion of the Annual Meeting of Shareholders at Altisource Portfolio Solutions S.A.'s registered office.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275715" cy="367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5715"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2, 2013</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2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have made this proxy statement available to you on or about April 2, 2013 as a holder of common stock of Altisource Portfolio Solutions S.A. because our Board of Directors is soliciting your proxy to be used at our Annual Meeting of Shareholders and at any adjournment of this meeting. The Annual Meeting of Shareholders will be held at our offices located at 291, route d'Arlon, L-1150 Luxembourg City, Grand Duchy of Luxembourg on Wednesday, May 15, 2013, at 9:00 a.m., Central European Time for the purposes listed in the Notice of Annual Meeting of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 Proxy Works</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If you properly complete, sign and return your proxy to Altisource Portfolio Solutions S.A. ("Altisource" or the "Company") and do not revoke it prior to its use, it will be voted in accordance with your instructions. If no contrary instructions are given, other than as discussed below with respect to broker "non-votes," each proxy received will be voted for each of the nominees for Director; for approval of the appointment of Deloitte &amp; Touche LLP to be our independent registered certified public accounting firm for the year ending December 31, 2013 and Deloitte Audit S.à r.l. to be our certified auditor for all statutory accounts as required by Luxembourg law for the same period; for approval of Altisource Portfolio Solutions S.A.'s annual accounts prepared in accordance with Luxembourg GAAP for the year ended December 31, 2012 and as amended and restated for the years ended December 31, 2009 to 2011 (the "Luxembourg Annual Accounts"), and its consolidated financial statements prepared in accordance with U.S. GAAP including a footnote reconciliation of equity and net income to IFRS for the year ended December 31, 2012 (the "Consolidated Accounts") (together, the "Luxembourg Statutory Accounts"); for receipt and approval of the Directors' reports for the Luxembourg Statutory Accounts; for allocation of the results and part of the distributable reserve in the Luxembourg Annual Accounts; for ratification of the declaration and payment of the interim dividends in connection with the separation of Altisource Residential Corporation ("Residential") and Altisource Asset Management Corporation ("AAMC") from Altisource Portfolio Solutions S.A.; for approval of the discharge of each of the current and past Directors of Altisource Portfolio Solutions S.A. for the performance of their mandate during the years ended December 31, 2009 to 2012; and with regard to any other business that properly comes before the meeting in accordance with the best judgment of the persons appointed as proxies.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a Proxy</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Your proxy may be used only at the Annual Meeting of Shareholders and any adjournment of this meeting and will not be used for any other meeting. You have the power to revoke your proxy at any time before it is exercised by:</w:t>
      </w:r>
    </w:p>
    <w:p>
      <w:pPr>
        <w:spacing w:after="0" w:line="185" w:lineRule="exact"/>
        <w:rPr>
          <w:sz w:val="20"/>
          <w:szCs w:val="20"/>
          <w:color w:val="auto"/>
        </w:rPr>
      </w:pPr>
    </w:p>
    <w:p>
      <w:pPr>
        <w:ind w:left="1040" w:hanging="522"/>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filing written notice with our Corporate Secretary at the following address:</w:t>
      </w:r>
    </w:p>
    <w:p>
      <w:pPr>
        <w:spacing w:after="0" w:line="21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Kevin J. Wilcox, Corporate Secretary</w:t>
      </w:r>
    </w:p>
    <w:p>
      <w:pPr>
        <w:spacing w:after="0" w:line="1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Altisource Portfolio Solutions S.A.</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291, route d'Arlon</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L-1150 Luxembourg City</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Grand Duchy of Luxembourg</w:t>
      </w:r>
    </w:p>
    <w:p>
      <w:pPr>
        <w:spacing w:after="0" w:line="235" w:lineRule="exact"/>
        <w:rPr>
          <w:sz w:val="20"/>
          <w:szCs w:val="20"/>
          <w:color w:val="auto"/>
        </w:rPr>
      </w:pPr>
    </w:p>
    <w:p>
      <w:pPr>
        <w:ind w:left="1040" w:hanging="522"/>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submitting a properly executed proxy bearing a later date; or</w:t>
      </w:r>
    </w:p>
    <w:p>
      <w:pPr>
        <w:spacing w:after="0" w:line="229" w:lineRule="exact"/>
        <w:rPr>
          <w:rFonts w:ascii="Arial" w:cs="Arial" w:eastAsia="Arial" w:hAnsi="Arial"/>
          <w:sz w:val="17"/>
          <w:szCs w:val="17"/>
          <w:color w:val="auto"/>
        </w:rPr>
      </w:pPr>
    </w:p>
    <w:p>
      <w:pPr>
        <w:ind w:left="5680" w:right="1880" w:hanging="5162"/>
        <w:spacing w:after="0" w:line="527" w:lineRule="auto"/>
        <w:tabs>
          <w:tab w:leader="none" w:pos="104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appearing at the Annual Meeting of Shareholders and giving the Corporate Secretary notice of your intention to vote in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Who May Vote</w:t>
      </w:r>
    </w:p>
    <w:p>
      <w:pPr>
        <w:spacing w:after="0" w:line="2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You are entitled to vote at the Annual Meeting of Shareholders or any adjournment of the Annual Meeting of Shareholders if you are a holder of record of our common stock at the close of business on March 18, 2013. At the close of business on March 18, 2013, there were 23,439,463 shares of common stock issued, outstanding and able to be voted and no other class of equity securities outstanding. Each share of our common stock is entitled to one (1) vote at the Annual Meeting of Shareholders on all matters properly presented. Abstentions and broker "non-votes" will be treated as present for purposes of a quorum.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and Voting Information</w:t>
      </w:r>
    </w:p>
    <w:p>
      <w:pPr>
        <w:spacing w:after="0" w:line="22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presence at the Annual Meeting of Shareholders of a majority of the votes of our common stock entitled to be cast, represented in person or by proxy, will constitute a quorum for the transaction of business at the Annual Meeting of Shareholders.</w:t>
      </w:r>
    </w:p>
    <w:p>
      <w:pPr>
        <w:spacing w:after="0" w:line="17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w:t>
      </w:r>
    </w:p>
    <w:p>
      <w:pPr>
        <w:spacing w:after="0" w:line="14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following proposals will be approved if the votes cast in favor of the action exceed the votes cast opposing the action: the proposal to approve the appointment of Deloitte &amp; Touche LLP to be our independent registered certified public accounting firm for 2013 and Deloitte Audit S.à r.l. to be our certified auditor for all statutory accounts as required by Luxembourg law for the same period; the proposal to approve the Luxembourg Statutory Accounts; the proposal to receive and approve the Directors' reports for the Luxembourg Statutory Accounts; the proposal to allocate the results and part of the distributable reserve in the Luxembourg Annual Accounts; the proposal to ratify the declaration and payment of the interim dividends in connection with the separation of Residential and AAMC from Altisource Portfolio Solutions S.A.; the proposal to approve the discharge of each of the current and past Directors of Altisource Portfolio Solutions S.A. for the performance of their mandate during the years ended December 31, 2009 to 2012; and any other matter properly submitted for your consideration at the Annual Meeting of Shareholders (other than the election of Directors).</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Abstentions will not be counted in determining the votes cast in connection with the foregoing matters. Other than with respect to the approval of our independent registered accounting firm, in the event of a broker "non-vote," brokers may not vote on behalf of their clients on the above proposals. A broker "non-vote" occurs when a shareholder has not provided voting instructions to the broker on a non-routine item.</w:t>
      </w:r>
    </w:p>
    <w:p>
      <w:pPr>
        <w:spacing w:after="0" w:line="18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materials. Please contact your bank or brokerage firm for further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7"/>
          <w:szCs w:val="17"/>
          <w:b w:val="1"/>
          <w:bCs w:val="1"/>
          <w:color w:val="auto"/>
        </w:rPr>
        <w:t>ELECTION OF DIRECTORS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(Proposal One)</w:t>
      </w:r>
    </w:p>
    <w:p>
      <w:pPr>
        <w:spacing w:after="0" w:line="209"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Our Articles of Association provide that our Board of Directors shall consist of no less than three (3) and no more than seven (7) members with the exact number to be fixed by our Board of Directors.</w:t>
      </w:r>
    </w:p>
    <w:p>
      <w:pPr>
        <w:spacing w:after="0" w:line="17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are proposing the five (5) nominees listed below for election as Directors at the Annual Meeting of Shareholders for a one (1) year term or until their successors are elected and qualified. All nominees currently serve as our Directors. There are no arrangements or understandings between any nominee and any other person for selection as a nominee.</w:t>
      </w:r>
    </w:p>
    <w:p>
      <w:pPr>
        <w:spacing w:after="0" w:line="182"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If any nominee is unable or unwilling to stand for election at the time of the Annual Meeting of Shareholders,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concerning our nominees for Director:</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Nomination/</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vMerge w:val="restart"/>
          </w:tcPr>
          <w:p>
            <w:pPr>
              <w:jc w:val="center"/>
              <w:spacing w:after="0"/>
              <w:rPr>
                <w:sz w:val="20"/>
                <w:szCs w:val="20"/>
                <w:color w:val="auto"/>
              </w:rPr>
            </w:pPr>
            <w:r>
              <w:rPr>
                <w:rFonts w:ascii="Arial" w:cs="Arial" w:eastAsia="Arial" w:hAnsi="Arial"/>
                <w:sz w:val="33"/>
                <w:szCs w:val="33"/>
                <w:b w:val="1"/>
                <w:bCs w:val="1"/>
                <w:color w:val="auto"/>
                <w:w w:val="74"/>
                <w:vertAlign w:val="subscript"/>
              </w:rPr>
              <w:t>Age</w:t>
            </w:r>
            <w:r>
              <w:rPr>
                <w:rFonts w:ascii="Arial" w:cs="Arial" w:eastAsia="Arial" w:hAnsi="Arial"/>
                <w:sz w:val="14"/>
                <w:szCs w:val="14"/>
                <w:b w:val="1"/>
                <w:bCs w:val="1"/>
                <w:color w:val="auto"/>
                <w:w w:val="74"/>
              </w:rPr>
              <w:t>(1)</w:t>
            </w:r>
          </w:p>
        </w:tc>
        <w:tc>
          <w:tcPr>
            <w:tcW w:w="18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Director</w:t>
            </w: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88"/>
              </w:rPr>
              <w:t>Executive</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6"/>
              </w:rPr>
              <w:t>Audit</w:t>
            </w:r>
          </w:p>
        </w:tc>
        <w:tc>
          <w:tcPr>
            <w:tcW w:w="1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Governance</w:t>
            </w:r>
          </w:p>
        </w:tc>
        <w:tc>
          <w:tcPr>
            <w:tcW w:w="0" w:type="dxa"/>
            <w:vAlign w:val="bottom"/>
          </w:tcPr>
          <w:p>
            <w:pPr>
              <w:spacing w:after="0"/>
              <w:rPr>
                <w:sz w:val="1"/>
                <w:szCs w:val="1"/>
                <w:color w:val="auto"/>
              </w:rPr>
            </w:pPr>
          </w:p>
        </w:tc>
      </w:tr>
      <w:tr>
        <w:trPr>
          <w:trHeight w:val="219"/>
        </w:trPr>
        <w:tc>
          <w:tcPr>
            <w:tcW w:w="76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Name</w:t>
            </w:r>
          </w:p>
        </w:tc>
        <w:tc>
          <w:tcPr>
            <w:tcW w:w="1020" w:type="dxa"/>
            <w:vAlign w:val="bottom"/>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Since</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Committee</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Committee</w:t>
            </w: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Committee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C. Erbey</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63</w:t>
            </w:r>
          </w:p>
        </w:tc>
        <w:tc>
          <w:tcPr>
            <w:tcW w:w="98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2009</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ind w:left="40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(2)</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42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06"/>
        </w:trPr>
        <w:tc>
          <w:tcPr>
            <w:tcW w:w="2240" w:type="dxa"/>
            <w:vAlign w:val="bottom"/>
            <w:gridSpan w:val="3"/>
          </w:tcPr>
          <w:p>
            <w:pPr>
              <w:spacing w:after="0"/>
              <w:rPr>
                <w:sz w:val="20"/>
                <w:szCs w:val="20"/>
                <w:color w:val="auto"/>
              </w:rPr>
            </w:pPr>
            <w:r>
              <w:rPr>
                <w:rFonts w:ascii="Arial" w:cs="Arial" w:eastAsia="Arial" w:hAnsi="Arial"/>
                <w:sz w:val="17"/>
                <w:szCs w:val="17"/>
                <w:color w:val="auto"/>
              </w:rPr>
              <w:t>William B. Shepro</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44</w:t>
            </w:r>
          </w:p>
        </w:tc>
        <w:tc>
          <w:tcPr>
            <w:tcW w:w="980" w:type="dxa"/>
            <w:vAlign w:val="bottom"/>
            <w:gridSpan w:val="2"/>
          </w:tcPr>
          <w:p>
            <w:pPr>
              <w:jc w:val="right"/>
              <w:ind w:right="96"/>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52</w:t>
            </w:r>
          </w:p>
        </w:tc>
        <w:tc>
          <w:tcPr>
            <w:tcW w:w="98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2009</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ind w:left="42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5"/>
        </w:trPr>
        <w:tc>
          <w:tcPr>
            <w:tcW w:w="2240" w:type="dxa"/>
            <w:vAlign w:val="bottom"/>
            <w:gridSpan w:val="3"/>
          </w:tcPr>
          <w:p>
            <w:pPr>
              <w:spacing w:after="0"/>
              <w:rPr>
                <w:sz w:val="20"/>
                <w:szCs w:val="20"/>
                <w:color w:val="auto"/>
              </w:rPr>
            </w:pPr>
            <w:r>
              <w:rPr>
                <w:rFonts w:ascii="Arial" w:cs="Arial" w:eastAsia="Arial" w:hAnsi="Arial"/>
                <w:sz w:val="17"/>
                <w:szCs w:val="17"/>
                <w:color w:val="auto"/>
              </w:rPr>
              <w:t>Timo Vättö</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48</w:t>
            </w:r>
          </w:p>
        </w:tc>
        <w:tc>
          <w:tcPr>
            <w:tcW w:w="980" w:type="dxa"/>
            <w:vAlign w:val="bottom"/>
            <w:gridSpan w:val="2"/>
          </w:tcPr>
          <w:p>
            <w:pPr>
              <w:jc w:val="right"/>
              <w:ind w:right="96"/>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X</w:t>
            </w:r>
          </w:p>
        </w:tc>
        <w:tc>
          <w:tcPr>
            <w:tcW w:w="160" w:type="dxa"/>
            <w:vAlign w:val="bottom"/>
          </w:tcPr>
          <w:p>
            <w:pPr>
              <w:spacing w:after="0"/>
              <w:rPr>
                <w:sz w:val="21"/>
                <w:szCs w:val="21"/>
                <w:color w:val="auto"/>
              </w:rPr>
            </w:pPr>
          </w:p>
        </w:tc>
        <w:tc>
          <w:tcPr>
            <w:tcW w:w="1320" w:type="dxa"/>
            <w:vAlign w:val="bottom"/>
          </w:tcPr>
          <w:p>
            <w:pPr>
              <w:ind w:left="58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80" w:type="dxa"/>
            <w:vAlign w:val="bottom"/>
          </w:tcPr>
          <w:p>
            <w:pPr>
              <w:spacing w:after="0"/>
              <w:rPr>
                <w:sz w:val="21"/>
                <w:szCs w:val="21"/>
                <w:color w:val="auto"/>
              </w:rPr>
            </w:pPr>
          </w:p>
        </w:tc>
        <w:tc>
          <w:tcPr>
            <w:tcW w:w="1380" w:type="dxa"/>
            <w:vAlign w:val="bottom"/>
            <w:gridSpan w:val="2"/>
          </w:tcPr>
          <w:p>
            <w:pPr>
              <w:ind w:left="48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5"/>
        </w:trPr>
        <w:tc>
          <w:tcPr>
            <w:tcW w:w="2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 Michael Linn</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64</w:t>
            </w:r>
          </w:p>
        </w:tc>
        <w:tc>
          <w:tcPr>
            <w:tcW w:w="98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2011</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42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(2)(3)</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60" w:hanging="515"/>
        <w:spacing w:after="0"/>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As of March 18, 2013</w:t>
      </w:r>
    </w:p>
    <w:p>
      <w:pPr>
        <w:spacing w:after="0" w:line="19" w:lineRule="exact"/>
        <w:rPr>
          <w:rFonts w:ascii="Arial" w:cs="Arial" w:eastAsia="Arial" w:hAnsi="Arial"/>
          <w:sz w:val="28"/>
          <w:szCs w:val="28"/>
          <w:color w:val="auto"/>
          <w:vertAlign w:val="superscript"/>
        </w:rPr>
      </w:pPr>
    </w:p>
    <w:p>
      <w:pPr>
        <w:ind w:left="1660" w:hanging="515"/>
        <w:spacing w:after="0" w:line="188" w:lineRule="auto"/>
        <w:tabs>
          <w:tab w:leader="none" w:pos="166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Committee Chairman for 2012</w:t>
      </w:r>
    </w:p>
    <w:p>
      <w:pPr>
        <w:spacing w:after="0" w:line="7" w:lineRule="exact"/>
        <w:rPr>
          <w:rFonts w:ascii="Arial" w:cs="Arial" w:eastAsia="Arial" w:hAnsi="Arial"/>
          <w:sz w:val="22"/>
          <w:szCs w:val="22"/>
          <w:color w:val="auto"/>
          <w:vertAlign w:val="superscript"/>
        </w:rPr>
      </w:pPr>
    </w:p>
    <w:p>
      <w:pPr>
        <w:ind w:left="1660" w:right="20" w:hanging="515"/>
        <w:spacing w:after="0" w:line="187" w:lineRule="auto"/>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Mr. Erbey resigned from the Nomination/Governance Committee in March 2012. Mr. Linn was appointed to the Committee, and as Chairman of the Committee, in March 2012.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and additional biographical information of each Director of Altisource is set forth below.</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All our Directors bring to Altisource's Board of Directors a wealth of executive leadership experience derived from their service as executives of large corporations.</w:t>
      </w:r>
    </w:p>
    <w:p>
      <w:pPr>
        <w:spacing w:after="0" w:line="240"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b w:val="1"/>
          <w:bCs w:val="1"/>
          <w:i w:val="1"/>
          <w:iCs w:val="1"/>
          <w:color w:val="auto"/>
        </w:rPr>
        <w:t>William C. Erbey.</w:t>
      </w:r>
      <w:r>
        <w:rPr>
          <w:sz w:val="20"/>
          <w:szCs w:val="20"/>
          <w:color w:val="auto"/>
        </w:rPr>
        <w:tab/>
      </w:r>
      <w:r>
        <w:rPr>
          <w:rFonts w:ascii="Arial" w:cs="Arial" w:eastAsia="Arial" w:hAnsi="Arial"/>
          <w:sz w:val="15"/>
          <w:szCs w:val="15"/>
          <w:color w:val="auto"/>
        </w:rPr>
        <w:t>Mr. Erbey was appointed as the Chairman of the Board of Directors of Altisource in July 2009. Mr. Erbey has also served as the Chairman of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of Ocwen Financial Corporation ("Ocwen"), Altisource's former parent company, since September 1996 and as the Chief Executive Officer of Ocwen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from January 1988 to October 2010. He served as the President of Ocwen from January 1988 to May 1998. From 1983 to 1985, Mr. Erbey served as a Managing General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Partner of The Oxford Financial Group, a private investment partnership that was the predecessor of Ocwen. He is also the founder of Home Loan Servicing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Solutions, Ltd. ("HLSS") and has served as its Chairman since December 2010. He also has served as Chairman of the Board of Directors of Residential since July 2012</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as Chairman of the Board of Directors of AAMC since March 2012. From 1975 to 1983, Mr. Erbey served at General Electric Capital Corporation in various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capacities, including as President and Chief Operating Officer of General Electric Mortgage Insurance</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7" w:name="page8"/>
    <w:bookmarkEnd w:id="7"/>
    <w:p>
      <w:pPr>
        <w:ind w:right="20"/>
        <w:spacing w:after="0" w:line="274" w:lineRule="auto"/>
        <w:rPr>
          <w:sz w:val="20"/>
          <w:szCs w:val="20"/>
          <w:color w:val="auto"/>
        </w:rPr>
      </w:pPr>
      <w:r>
        <w:rPr>
          <w:rFonts w:ascii="Arial" w:cs="Arial" w:eastAsia="Arial" w:hAnsi="Arial"/>
          <w:sz w:val="17"/>
          <w:szCs w:val="17"/>
          <w:color w:val="auto"/>
        </w:rPr>
        <w:t>Corporation, Program and General Manager of the Commercial Financial Services Department and President of Acquisition Funding Corporation. He holds a Bachelor of Arts in Economics from Allegheny College and a Master of Business Administration from Harvard University.</w:t>
      </w:r>
    </w:p>
    <w:p>
      <w:pPr>
        <w:spacing w:after="0" w:line="172"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172"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 previously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Operating Officer of Ocwen Solutions at Ocwen. From 2003 until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and operational insights.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Altisource in July 2009. He also serves on the Board of Directors of Bank Arner SA,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 Group that provides private banking services to High Net Worth Individuals; and of Sberbank (Switzerland) Ltd, based in Zurich, Switzerland, a subsidiary of Sberbank Russia, offering trade finance and corporate banking services. In addition, from May 2010 until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7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w:t>
      </w:r>
    </w:p>
    <w:p>
      <w:pPr>
        <w:spacing w:after="0" w:line="182"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b w:val="1"/>
          <w:bCs w:val="1"/>
          <w:i w:val="1"/>
          <w:iCs w:val="1"/>
          <w:color w:val="auto"/>
        </w:rPr>
        <w:t xml:space="preserve">Timo Vättö. </w:t>
      </w:r>
      <w:r>
        <w:rPr>
          <w:rFonts w:ascii="Arial" w:cs="Arial" w:eastAsia="Arial" w:hAnsi="Arial"/>
          <w:sz w:val="16"/>
          <w:szCs w:val="16"/>
          <w:color w:val="auto"/>
        </w:rPr>
        <w:t>Mr. Vättö was appointed to the Board of Directors of Altisource in August 2009. He is the founder and owner of Vättö Management Services AG,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independent 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420"/>
        <w:spacing w:after="0" w:line="263" w:lineRule="auto"/>
        <w:rPr>
          <w:sz w:val="20"/>
          <w:szCs w:val="20"/>
          <w:color w:val="auto"/>
        </w:rPr>
      </w:pPr>
      <w:r>
        <w:rPr>
          <w:rFonts w:ascii="Arial" w:cs="Arial" w:eastAsia="Arial" w:hAnsi="Arial"/>
          <w:sz w:val="17"/>
          <w:szCs w:val="17"/>
          <w:color w:val="auto"/>
        </w:rPr>
        <w:t>as Head of Swiss Investment Banking. In addition, from 2004 to 2009, Mr. Vättö served as a member of the Board of Directors, including as a member of the Audit Committee, of Citibank (Switzerland) AG, part of Citigroup's Wealth Management Business. Mr. Vättö holds a Master of Science, Economics and Business Administration from the University of Tampere (Finland).</w:t>
      </w:r>
    </w:p>
    <w:p>
      <w:pPr>
        <w:spacing w:after="0" w:line="182" w:lineRule="exact"/>
        <w:rPr>
          <w:sz w:val="20"/>
          <w:szCs w:val="20"/>
          <w:color w:val="auto"/>
        </w:rPr>
      </w:pPr>
    </w:p>
    <w:p>
      <w:pPr>
        <w:ind w:right="160"/>
        <w:spacing w:after="0" w:line="343" w:lineRule="auto"/>
        <w:rPr>
          <w:sz w:val="20"/>
          <w:szCs w:val="20"/>
          <w:color w:val="auto"/>
        </w:rPr>
      </w:pPr>
      <w:r>
        <w:rPr>
          <w:rFonts w:ascii="Arial" w:cs="Arial" w:eastAsia="Arial" w:hAnsi="Arial"/>
          <w:sz w:val="15"/>
          <w:szCs w:val="15"/>
          <w:color w:val="auto"/>
        </w:rPr>
        <w:t>Mr. Vättö's experience with Vättö Management Services AG and Citigroup makes him financially literate and qualifies him as a financial expert as required pursuant to NASDAQ listing standards and SEC rules, and his knowledge of the financial services industry provides the Board of Directors with subject matter expertise.</w:t>
      </w:r>
    </w:p>
    <w:p>
      <w:pPr>
        <w:spacing w:after="0" w:line="125" w:lineRule="exact"/>
        <w:rPr>
          <w:sz w:val="20"/>
          <w:szCs w:val="20"/>
          <w:color w:val="auto"/>
        </w:rPr>
      </w:pPr>
    </w:p>
    <w:p>
      <w:pPr>
        <w:spacing w:after="0" w:line="296" w:lineRule="auto"/>
        <w:rPr>
          <w:sz w:val="20"/>
          <w:szCs w:val="20"/>
          <w:color w:val="auto"/>
        </w:rPr>
      </w:pPr>
      <w:r>
        <w:rPr>
          <w:rFonts w:ascii="Arial" w:cs="Arial" w:eastAsia="Arial" w:hAnsi="Arial"/>
          <w:sz w:val="15"/>
          <w:szCs w:val="15"/>
          <w:b w:val="1"/>
          <w:bCs w:val="1"/>
          <w:i w:val="1"/>
          <w:iCs w:val="1"/>
          <w:color w:val="auto"/>
        </w:rPr>
        <w:t xml:space="preserve">W. Michael Linn. </w:t>
      </w:r>
      <w:r>
        <w:rPr>
          <w:rFonts w:ascii="Arial" w:cs="Arial" w:eastAsia="Arial" w:hAnsi="Arial"/>
          <w:sz w:val="15"/>
          <w:szCs w:val="15"/>
          <w:color w:val="auto"/>
        </w:rPr>
        <w:t>Mr. Linn was appointed to the Board of Altisource in May 2011. Mr. Linn also serves on the Board of Directors and as President and Chief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Greensleeves LLC, where he focuses on increasing the use of alternative energy to power buildings. In addition, he is a private investor in energy-related industries. Mr. Linn previously served on the Board of Directors of Ocwen from August 2002 to May 2008 and as the Executive Vice President of Sales and Marketing of Ocwen from February 2004 to May 2007. He served on the Board of Directors of National Lime and Stone from 1994 through 2012.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59"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THAT YOU VOTE "FOR" EACH OF THE NOMINEES FOR DIRECTOR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b w:val="1"/>
          <w:bCs w:val="1"/>
          <w:color w:val="auto"/>
        </w:rPr>
        <w:t>BOARD OF DIRECTORS AND 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w:t>
      </w:r>
    </w:p>
    <w:p>
      <w:pPr>
        <w:spacing w:after="0" w:line="2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82"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Our Board of Directors held six (6) meetings in 2012. Each incumbent Director attended at least 75%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2012 Annual Meeting of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21"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Our Corporate Governance Guidelines provide that our Board of Directors must be comprised of a majority of Directors who qualify as independent Directors under NASDAQ listing standards and applicable law.</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Erbey, Linn, Müller-Ineichen and Vättö are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of Directors. As Chairman of the Board of Directors, Mr. Erbey leads the Board and oversees meetings of the Board of Directors and the delivery of information necessary for the Board's informed decision-making.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Our Board of Directors has established an Audit Committee, a Compensation Committee, a Nomination/Governance Committee and an Executive Committee. A brief description of these committees is provided below.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 w:name="page11"/>
    <w:bookmarkEnd w:id="10"/>
    <w:p>
      <w:pPr>
        <w:ind w:right="200"/>
        <w:spacing w:after="0" w:line="258"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certified public accounting firm,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accounting, internal controls, auditing and federal securities law matters and the review of the scope and results of the annual audit conducted by the independent registered certified public accounting firm.</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The members of the Audit Committee for 2012 were Messrs. Linn, Müller-Ineichen and Vättö.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expertise within the meaning of NASDAQ listing standards and qualify as audit committee financial experts as that term is defined in SEC rules. Our Audit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On an annual basis, the Audit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Audit Committee in February 2013. The Committee met seven (7) times in 2012.</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The Compensation Committee of our Board of Directors oversees our compensation and employee benefit plans and practices.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also evaluates and makes recommendations to our Board of Directors for human resource and compensation matters relating to our named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has authority to administer awards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employees or other persons attend its meetings to provide advice, counsel or pertinent information as the Committee requests.</w:t>
      </w:r>
    </w:p>
    <w:p>
      <w:pPr>
        <w:spacing w:after="0" w:line="16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members of the Compensation Committee for 2012 were Messrs. Linn, Müller-Ineichen and Vättö. Each member of the Compensation Committee is independent as defined by NASDAQ listing standards.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Generally, at the end of each scheduled meeting, all participants other than the Compensation Committee members withdraw from the meeting and the Compensation Committee meets in executive session.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line="305" w:lineRule="auto"/>
        <w:rPr>
          <w:sz w:val="20"/>
          <w:szCs w:val="20"/>
          <w:color w:val="auto"/>
        </w:rPr>
      </w:pPr>
      <w:r>
        <w:rPr>
          <w:rFonts w:ascii="Arial" w:cs="Arial" w:eastAsia="Arial" w:hAnsi="Arial"/>
          <w:sz w:val="15"/>
          <w:szCs w:val="15"/>
          <w:color w:val="auto"/>
        </w:rPr>
        <w:t xml:space="preserve">Our Compensation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Compensation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Compensation Committee in February 2013. The Committee met three (3) times in 2012.</w:t>
      </w:r>
    </w:p>
    <w:p>
      <w:pPr>
        <w:spacing w:after="0" w:line="15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in consultation with the Chairman of the Board)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7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member of the Compensation Committee was at any time during the 2012 fiscal year or 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2012 fiscal year.</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of our Board of Directors makes recommendations to our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members of the Nomination/Governance Committee during 2012 were Messrs. Erbey, Linn, Müller-Ineichen and Vättö. In March 2012, Mr. Linn replaced Mr. Erbey on the Committee. Each member of our Nomination/Governance Committee is independent as defined in NASDAQ listing standards.</w:t>
      </w:r>
    </w:p>
    <w:p>
      <w:pPr>
        <w:spacing w:after="0" w:line="14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 xml:space="preserve">Our Nomination/Governance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On an annual basis, the Nomination/Governance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Nomination/Governance Committee in February 2013. The Committee met three (3) times in 2012.</w:t>
      </w:r>
    </w:p>
    <w:p>
      <w:pPr>
        <w:spacing w:after="0" w:line="186" w:lineRule="exact"/>
        <w:rPr>
          <w:sz w:val="20"/>
          <w:szCs w:val="20"/>
          <w:color w:val="auto"/>
        </w:rPr>
      </w:pPr>
    </w:p>
    <w:p>
      <w:pPr>
        <w:ind w:right="240"/>
        <w:spacing w:after="0" w:line="314" w:lineRule="auto"/>
        <w:rPr>
          <w:sz w:val="20"/>
          <w:szCs w:val="20"/>
          <w:color w:val="auto"/>
        </w:rPr>
      </w:pPr>
      <w:r>
        <w:rPr>
          <w:rFonts w:ascii="Arial" w:cs="Arial" w:eastAsia="Arial" w:hAnsi="Arial"/>
          <w:sz w:val="15"/>
          <w:szCs w:val="15"/>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right="20"/>
        <w:spacing w:after="0" w:line="274" w:lineRule="auto"/>
        <w:rPr>
          <w:sz w:val="20"/>
          <w:szCs w:val="20"/>
          <w:color w:val="auto"/>
        </w:rPr>
      </w:pPr>
      <w:r>
        <w:rPr>
          <w:rFonts w:ascii="Arial" w:cs="Arial" w:eastAsia="Arial" w:hAnsi="Arial"/>
          <w:sz w:val="17"/>
          <w:szCs w:val="17"/>
          <w:color w:val="auto"/>
        </w:rPr>
        <w:t>as such factors as knowledge, experience, skills, expertise, diversity and the interplay of the candidate's experience with the background of other members of our Board of Directors.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2"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8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58"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If you want to recommend persons for consideration by our Nomination/Governance Committee as nominees for election to our Board of Directors, you can do so by writing to our Corporate Secretary at Altisource Portfolio Solutions S.A., 291, route d'Arlon, L-1150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2014 Annual Meeting of Shareholders, we must receive your recommendations by December 3, 2013.</w:t>
      </w:r>
    </w:p>
    <w:p>
      <w:pPr>
        <w:spacing w:after="0" w:line="18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Our Board of Directors has authorized the Committee to approve and/or to designate in writing certain individuals to approve ordinary course of business actions that are required to be documented by counterparties but do not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420"/>
        <w:spacing w:after="0" w:line="263" w:lineRule="auto"/>
        <w:rPr>
          <w:sz w:val="20"/>
          <w:szCs w:val="20"/>
          <w:color w:val="auto"/>
        </w:rPr>
      </w:pPr>
      <w:r>
        <w:rPr>
          <w:rFonts w:ascii="Arial" w:cs="Arial" w:eastAsia="Arial" w:hAnsi="Arial"/>
          <w:sz w:val="17"/>
          <w:szCs w:val="17"/>
          <w:color w:val="auto"/>
        </w:rPr>
        <w:t>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Guidelines</w:t>
      </w:r>
    </w:p>
    <w:p>
      <w:pPr>
        <w:spacing w:after="0" w:line="22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appraisals of the Board of Directors.</w:t>
      </w:r>
    </w:p>
    <w:p>
      <w:pPr>
        <w:spacing w:after="0" w:line="18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our Board of Directors.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them by writing to our Corporate Secretary at Altisource Portfolio Solutions S.A., 291, route d'Arlon, L-1150 Luxembourg City, Grand Duchy of Luxembourg.</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Sessions of Non-Management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Non-management Directors met in executive session without management four (4) times in 2012.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Directors</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291, route d'Arlon, L-1150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NASDAQ rules. We have also adopted a Code of Ethics for Senior Financial Officers that applies to our Chief Executive Officer and our Chief Financial Officer. Any waivers from the Code of Business Conduct and Ethics for Directors or named executive officers or the Code of Ethics for Senior Financial Officers must be approved by our Board of Directors or the Audit Committee and will be subsequently disclosed when required by SEC or NASDAQ rules.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291, route d'Arlon, L-1150 Luxembourg City, Grand Duchy of Luxembourg. Any amendments to the Code of Business Conduct and Ethics or the Code of Ethics for Senior Financial Officers, as well as any waivers that are required to be disclosed under SEC or NASDAQ rules, either will be posted on our website or otherwise disclosed in accordance with such rules.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Oversight Process</w:t>
      </w:r>
    </w:p>
    <w:p>
      <w:pPr>
        <w:spacing w:after="0" w:line="22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Our Board of Directors and each of its committees are involved in overseeing risk associated with the Company. The Board of Directors and the Audit Committee monitor Altisource's credit risk, liquidity risk, regulatory risk, operational risk and enterprise risk by regular reviews with management and internal and external auditors. In its periodic meetings with internal and external auditors, the Audit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line="274" w:lineRule="auto"/>
        <w:rPr>
          <w:sz w:val="20"/>
          <w:szCs w:val="20"/>
          <w:color w:val="auto"/>
        </w:rPr>
      </w:pPr>
      <w:r>
        <w:rPr>
          <w:rFonts w:ascii="Arial" w:cs="Arial" w:eastAsia="Arial" w:hAnsi="Arial"/>
          <w:sz w:val="16"/>
          <w:szCs w:val="16"/>
          <w:color w:val="auto"/>
        </w:rPr>
        <w:t>Committee discusses the scope and plan for the internal audit and includes management in its review of accounting and financial controls, assessment of business risks and legal and ethical compliance programs. 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The Board of Directors and the Nomination/Governance Committee monitor the Company's governance and succession risks by regular reviews with management. The Board of Directors and the Compensation Committee monitor the Company's compensation policies and related risks by regular reviews with management. The Board of Directors' role in risk oversight is consistent with the Company's leadership structure, with the Chief Executive Officer and other members of senior management having responsibility for assessing and managing the Company's risk exposure, and the Chairman, the Board of Directors and its committees providing oversight in connection with these efforts.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b w:val="1"/>
          <w:bCs w:val="1"/>
          <w:color w:val="auto"/>
        </w:rPr>
        <w:t>BOARD OF DIRECTORS COMPENSATION</w:t>
      </w:r>
    </w:p>
    <w:p>
      <w:pPr>
        <w:spacing w:after="0" w:line="22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following table discloses compensation received by each non-management member of our Board of Directors who served as a Director during fiscal year 2012. Our management Directors do not receive an annual retainer or any other compensation for their service on the Board of Directors.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jc w:val="right"/>
              <w:ind w:right="156"/>
              <w:spacing w:after="0"/>
              <w:rPr>
                <w:sz w:val="20"/>
                <w:szCs w:val="20"/>
                <w:color w:val="auto"/>
              </w:rPr>
            </w:pPr>
            <w:r>
              <w:rPr>
                <w:rFonts w:ascii="Arial" w:cs="Arial" w:eastAsia="Arial" w:hAnsi="Arial"/>
                <w:sz w:val="17"/>
                <w:szCs w:val="17"/>
                <w:b w:val="1"/>
                <w:bCs w:val="1"/>
                <w:color w:val="auto"/>
              </w:rPr>
              <w:t>Fees Earned</w:t>
            </w:r>
          </w:p>
        </w:tc>
        <w:tc>
          <w:tcPr>
            <w:tcW w:w="16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6"/>
              </w:rPr>
              <w:t>Stock Awards</w:t>
            </w:r>
            <w:r>
              <w:rPr>
                <w:rFonts w:ascii="Arial" w:cs="Arial" w:eastAsia="Arial" w:hAnsi="Arial"/>
                <w:sz w:val="27"/>
                <w:szCs w:val="27"/>
                <w:b w:val="1"/>
                <w:bCs w:val="1"/>
                <w:color w:val="auto"/>
                <w:w w:val="86"/>
                <w:vertAlign w:val="superscript"/>
              </w:rPr>
              <w:t>(1)</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7"/>
              </w:rPr>
              <w:t>All Other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gridSpan w:val="3"/>
          </w:tcPr>
          <w:p>
            <w:pPr>
              <w:ind w:left="760"/>
              <w:spacing w:after="0"/>
              <w:rPr>
                <w:sz w:val="20"/>
                <w:szCs w:val="20"/>
                <w:color w:val="auto"/>
              </w:rPr>
            </w:pPr>
            <w:r>
              <w:rPr>
                <w:rFonts w:ascii="Arial" w:cs="Arial" w:eastAsia="Arial" w:hAnsi="Arial"/>
                <w:sz w:val="17"/>
                <w:szCs w:val="17"/>
                <w:b w:val="1"/>
                <w:bCs w:val="1"/>
                <w:color w:val="auto"/>
              </w:rPr>
              <w:t>Name</w:t>
            </w:r>
          </w:p>
        </w:tc>
        <w:tc>
          <w:tcPr>
            <w:tcW w:w="1360" w:type="dxa"/>
            <w:vAlign w:val="bottom"/>
          </w:tcPr>
          <w:p>
            <w:pPr>
              <w:jc w:val="right"/>
              <w:ind w:right="16"/>
              <w:spacing w:after="0"/>
              <w:rPr>
                <w:sz w:val="20"/>
                <w:szCs w:val="20"/>
                <w:color w:val="auto"/>
              </w:rPr>
            </w:pPr>
            <w:r>
              <w:rPr>
                <w:rFonts w:ascii="Arial" w:cs="Arial" w:eastAsia="Arial" w:hAnsi="Arial"/>
                <w:sz w:val="17"/>
                <w:szCs w:val="17"/>
                <w:b w:val="1"/>
                <w:bCs w:val="1"/>
                <w:color w:val="auto"/>
                <w:w w:val="97"/>
              </w:rPr>
              <w:t>Or Paid in Cash</w:t>
            </w: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0"/>
              </w:rPr>
              <w:t>Option Awards</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6"/>
              </w:rPr>
              <w:t>Compensation</w:t>
            </w:r>
          </w:p>
        </w:tc>
        <w:tc>
          <w:tcPr>
            <w:tcW w:w="16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Total</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$61,500.00</w:t>
            </w:r>
          </w:p>
        </w:tc>
        <w:tc>
          <w:tcPr>
            <w:tcW w:w="1500" w:type="dxa"/>
            <w:vAlign w:val="bottom"/>
            <w:gridSpan w:val="2"/>
            <w:shd w:val="clear" w:color="auto" w:fill="CCEEFF"/>
          </w:tcPr>
          <w:p>
            <w:pPr>
              <w:jc w:val="center"/>
              <w:ind w:left="36"/>
              <w:spacing w:after="0"/>
              <w:rPr>
                <w:sz w:val="20"/>
                <w:szCs w:val="20"/>
                <w:color w:val="auto"/>
              </w:rPr>
            </w:pPr>
            <w:r>
              <w:rPr>
                <w:rFonts w:ascii="Arial" w:cs="Arial" w:eastAsia="Arial" w:hAnsi="Arial"/>
                <w:sz w:val="17"/>
                <w:szCs w:val="17"/>
                <w:color w:val="auto"/>
                <w:w w:val="87"/>
              </w:rPr>
              <w:t>$73,811</w:t>
            </w:r>
          </w:p>
        </w:tc>
        <w:tc>
          <w:tcPr>
            <w:tcW w:w="1440" w:type="dxa"/>
            <w:vAlign w:val="bottom"/>
            <w:gridSpan w:val="2"/>
            <w:shd w:val="clear" w:color="auto" w:fill="CCEEFF"/>
          </w:tcPr>
          <w:p>
            <w:pPr>
              <w:jc w:val="center"/>
              <w:ind w:left="56"/>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56"/>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7"/>
              </w:rPr>
              <w:t>$135,311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gridSpan w:val="3"/>
          </w:tcPr>
          <w:p>
            <w:pPr>
              <w:spacing w:after="0"/>
              <w:rPr>
                <w:sz w:val="20"/>
                <w:szCs w:val="20"/>
                <w:color w:val="auto"/>
              </w:rPr>
            </w:pPr>
            <w:r>
              <w:rPr>
                <w:rFonts w:ascii="Arial" w:cs="Arial" w:eastAsia="Arial" w:hAnsi="Arial"/>
                <w:sz w:val="17"/>
                <w:szCs w:val="17"/>
                <w:color w:val="auto"/>
              </w:rPr>
              <w:t>Timo Vättö</w:t>
            </w:r>
          </w:p>
        </w:tc>
        <w:tc>
          <w:tcPr>
            <w:tcW w:w="1360" w:type="dxa"/>
            <w:vAlign w:val="bottom"/>
          </w:tcPr>
          <w:p>
            <w:pPr>
              <w:jc w:val="right"/>
              <w:ind w:right="176"/>
              <w:spacing w:after="0"/>
              <w:rPr>
                <w:sz w:val="20"/>
                <w:szCs w:val="20"/>
                <w:color w:val="auto"/>
              </w:rPr>
            </w:pPr>
            <w:r>
              <w:rPr>
                <w:rFonts w:ascii="Arial" w:cs="Arial" w:eastAsia="Arial" w:hAnsi="Arial"/>
                <w:sz w:val="17"/>
                <w:szCs w:val="17"/>
                <w:color w:val="auto"/>
              </w:rPr>
              <w:t>$59,000.00</w:t>
            </w:r>
          </w:p>
        </w:tc>
        <w:tc>
          <w:tcPr>
            <w:tcW w:w="1500" w:type="dxa"/>
            <w:vAlign w:val="bottom"/>
            <w:gridSpan w:val="2"/>
          </w:tcPr>
          <w:p>
            <w:pPr>
              <w:jc w:val="center"/>
              <w:ind w:left="36"/>
              <w:spacing w:after="0"/>
              <w:rPr>
                <w:sz w:val="20"/>
                <w:szCs w:val="20"/>
                <w:color w:val="auto"/>
              </w:rPr>
            </w:pPr>
            <w:r>
              <w:rPr>
                <w:rFonts w:ascii="Arial" w:cs="Arial" w:eastAsia="Arial" w:hAnsi="Arial"/>
                <w:sz w:val="17"/>
                <w:szCs w:val="17"/>
                <w:color w:val="auto"/>
                <w:w w:val="87"/>
              </w:rPr>
              <w:t>$73,811</w:t>
            </w:r>
          </w:p>
        </w:tc>
        <w:tc>
          <w:tcPr>
            <w:tcW w:w="1440" w:type="dxa"/>
            <w:vAlign w:val="bottom"/>
            <w:gridSpan w:val="2"/>
          </w:tcPr>
          <w:p>
            <w:pPr>
              <w:jc w:val="center"/>
              <w:ind w:left="5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56"/>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left="76"/>
              <w:spacing w:after="0"/>
              <w:rPr>
                <w:sz w:val="20"/>
                <w:szCs w:val="20"/>
                <w:color w:val="auto"/>
              </w:rPr>
            </w:pPr>
            <w:r>
              <w:rPr>
                <w:rFonts w:ascii="Arial" w:cs="Arial" w:eastAsia="Arial" w:hAnsi="Arial"/>
                <w:sz w:val="17"/>
                <w:szCs w:val="17"/>
                <w:color w:val="auto"/>
                <w:w w:val="87"/>
              </w:rPr>
              <w:t>$132,811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C. Erbey</w:t>
            </w:r>
          </w:p>
        </w:tc>
        <w:tc>
          <w:tcPr>
            <w:tcW w:w="1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$100,250.00</w:t>
            </w:r>
          </w:p>
        </w:tc>
        <w:tc>
          <w:tcPr>
            <w:tcW w:w="1500" w:type="dxa"/>
            <w:vAlign w:val="bottom"/>
            <w:gridSpan w:val="2"/>
            <w:shd w:val="clear" w:color="auto" w:fill="CCEEFF"/>
          </w:tcPr>
          <w:p>
            <w:pPr>
              <w:jc w:val="center"/>
              <w:ind w:left="56"/>
              <w:spacing w:after="0" w:line="245" w:lineRule="exact"/>
              <w:rPr>
                <w:sz w:val="20"/>
                <w:szCs w:val="20"/>
                <w:color w:val="auto"/>
              </w:rPr>
            </w:pPr>
            <w:r>
              <w:rPr>
                <w:rFonts w:ascii="Arial" w:cs="Arial" w:eastAsia="Arial" w:hAnsi="Arial"/>
                <w:sz w:val="17"/>
                <w:szCs w:val="17"/>
                <w:color w:val="auto"/>
                <w:w w:val="86"/>
              </w:rPr>
              <w:t>$383,823</w:t>
            </w:r>
            <w:r>
              <w:rPr>
                <w:rFonts w:ascii="Arial" w:cs="Arial" w:eastAsia="Arial" w:hAnsi="Arial"/>
                <w:sz w:val="27"/>
                <w:szCs w:val="27"/>
                <w:color w:val="auto"/>
                <w:w w:val="86"/>
                <w:vertAlign w:val="superscript"/>
              </w:rPr>
              <w:t>(2)</w:t>
            </w:r>
          </w:p>
        </w:tc>
        <w:tc>
          <w:tcPr>
            <w:tcW w:w="1440" w:type="dxa"/>
            <w:vAlign w:val="bottom"/>
            <w:gridSpan w:val="2"/>
            <w:shd w:val="clear" w:color="auto" w:fill="CCEEFF"/>
          </w:tcPr>
          <w:p>
            <w:pPr>
              <w:jc w:val="center"/>
              <w:ind w:left="56"/>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56"/>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center"/>
              <w:ind w:left="56"/>
              <w:spacing w:after="0"/>
              <w:rPr>
                <w:sz w:val="20"/>
                <w:szCs w:val="20"/>
                <w:color w:val="auto"/>
              </w:rPr>
            </w:pPr>
            <w:r>
              <w:rPr>
                <w:rFonts w:ascii="Arial" w:cs="Arial" w:eastAsia="Arial" w:hAnsi="Arial"/>
                <w:sz w:val="17"/>
                <w:szCs w:val="17"/>
                <w:color w:val="auto"/>
                <w:w w:val="90"/>
              </w:rPr>
              <w:t>$484,073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540" w:type="dxa"/>
            <w:vAlign w:val="bottom"/>
            <w:gridSpan w:val="3"/>
          </w:tcPr>
          <w:p>
            <w:pPr>
              <w:spacing w:after="0"/>
              <w:rPr>
                <w:sz w:val="20"/>
                <w:szCs w:val="20"/>
                <w:color w:val="auto"/>
              </w:rPr>
            </w:pPr>
            <w:r>
              <w:rPr>
                <w:rFonts w:ascii="Arial" w:cs="Arial" w:eastAsia="Arial" w:hAnsi="Arial"/>
                <w:sz w:val="17"/>
                <w:szCs w:val="17"/>
                <w:color w:val="auto"/>
              </w:rPr>
              <w:t>W. Michael Linn</w:t>
            </w:r>
          </w:p>
        </w:tc>
        <w:tc>
          <w:tcPr>
            <w:tcW w:w="1360" w:type="dxa"/>
            <w:vAlign w:val="bottom"/>
          </w:tcPr>
          <w:p>
            <w:pPr>
              <w:jc w:val="right"/>
              <w:ind w:right="176"/>
              <w:spacing w:after="0"/>
              <w:rPr>
                <w:sz w:val="20"/>
                <w:szCs w:val="20"/>
                <w:color w:val="auto"/>
              </w:rPr>
            </w:pPr>
            <w:r>
              <w:rPr>
                <w:rFonts w:ascii="Arial" w:cs="Arial" w:eastAsia="Arial" w:hAnsi="Arial"/>
                <w:sz w:val="17"/>
                <w:szCs w:val="17"/>
                <w:color w:val="auto"/>
              </w:rPr>
              <w:t>$57,750.00</w:t>
            </w:r>
          </w:p>
        </w:tc>
        <w:tc>
          <w:tcPr>
            <w:tcW w:w="1500" w:type="dxa"/>
            <w:vAlign w:val="bottom"/>
            <w:gridSpan w:val="2"/>
          </w:tcPr>
          <w:p>
            <w:pPr>
              <w:jc w:val="center"/>
              <w:ind w:left="36"/>
              <w:spacing w:after="0"/>
              <w:rPr>
                <w:sz w:val="20"/>
                <w:szCs w:val="20"/>
                <w:color w:val="auto"/>
              </w:rPr>
            </w:pPr>
            <w:r>
              <w:rPr>
                <w:rFonts w:ascii="Arial" w:cs="Arial" w:eastAsia="Arial" w:hAnsi="Arial"/>
                <w:sz w:val="17"/>
                <w:szCs w:val="17"/>
                <w:color w:val="auto"/>
                <w:w w:val="87"/>
              </w:rPr>
              <w:t>$73,811</w:t>
            </w:r>
          </w:p>
        </w:tc>
        <w:tc>
          <w:tcPr>
            <w:tcW w:w="1440" w:type="dxa"/>
            <w:vAlign w:val="bottom"/>
            <w:gridSpan w:val="2"/>
          </w:tcPr>
          <w:p>
            <w:pPr>
              <w:jc w:val="center"/>
              <w:ind w:left="5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center"/>
              <w:ind w:left="56"/>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left="56"/>
              <w:spacing w:after="0"/>
              <w:rPr>
                <w:sz w:val="20"/>
                <w:szCs w:val="20"/>
                <w:color w:val="auto"/>
              </w:rPr>
            </w:pPr>
            <w:r>
              <w:rPr>
                <w:rFonts w:ascii="Arial" w:cs="Arial" w:eastAsia="Arial" w:hAnsi="Arial"/>
                <w:sz w:val="17"/>
                <w:szCs w:val="17"/>
                <w:color w:val="auto"/>
                <w:w w:val="90"/>
              </w:rPr>
              <w:t>$131,561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60" w:hanging="515"/>
        <w:spacing w:after="0" w:line="221" w:lineRule="auto"/>
        <w:tabs>
          <w:tab w:leader="none" w:pos="166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Non-management Directors who attend an aggregate of at least 75% of all meetings of the Board of Directors and Committees on which they serve annually receive an award of Altisource common stock with an aggregate fair market value of $45,000 as determined on the first day of the service year by the average of the high and low prices of the common stock as reported on the NASDAQ.</w:t>
      </w:r>
    </w:p>
    <w:p>
      <w:pPr>
        <w:spacing w:after="0" w:line="212" w:lineRule="exact"/>
        <w:rPr>
          <w:rFonts w:ascii="Arial" w:cs="Arial" w:eastAsia="Arial" w:hAnsi="Arial"/>
          <w:sz w:val="27"/>
          <w:szCs w:val="27"/>
          <w:color w:val="auto"/>
          <w:vertAlign w:val="superscript"/>
        </w:rPr>
      </w:pPr>
    </w:p>
    <w:p>
      <w:pPr>
        <w:jc w:val="both"/>
        <w:ind w:left="1660" w:right="80" w:hanging="515"/>
        <w:spacing w:after="0" w:line="210" w:lineRule="auto"/>
        <w:tabs>
          <w:tab w:leader="none" w:pos="166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On December 11, 2012, Mr. Erbey was granted (i) 52,589 shares of restricted common stock in AAMC (the "AAMC Restricted Stock") with an aggregate grant date fair value of $310,012. The AAMC Restricted Stock will vest in three tranches, subject to the achievement of the following performance hurdles:</w:t>
      </w:r>
    </w:p>
    <w:p>
      <w:pPr>
        <w:spacing w:after="0" w:line="200" w:lineRule="exact"/>
        <w:rPr>
          <w:rFonts w:ascii="Arial" w:cs="Arial" w:eastAsia="Arial" w:hAnsi="Arial"/>
          <w:sz w:val="28"/>
          <w:szCs w:val="28"/>
          <w:color w:val="auto"/>
          <w:vertAlign w:val="superscript"/>
        </w:rPr>
      </w:pPr>
    </w:p>
    <w:p>
      <w:pPr>
        <w:spacing w:after="0" w:line="219" w:lineRule="exact"/>
        <w:rPr>
          <w:rFonts w:ascii="Arial" w:cs="Arial" w:eastAsia="Arial" w:hAnsi="Arial"/>
          <w:sz w:val="28"/>
          <w:szCs w:val="28"/>
          <w:color w:val="auto"/>
          <w:vertAlign w:val="superscript"/>
        </w:rPr>
      </w:pPr>
    </w:p>
    <w:p>
      <w:pPr>
        <w:ind w:left="2180" w:hanging="520"/>
        <w:spacing w:after="0" w:line="314" w:lineRule="auto"/>
        <w:tabs>
          <w:tab w:leader="none" w:pos="21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25% will vest in accordance with the vesting schedule set forth below if the market value of AAMC stock meets all three of the following conditions: (i) the market value is at least equal to $250 million; (ii) the market value has realized a compounded annual gain of at least 20% over the market value on the date of the grant; and (iii) the market value is at least double the market value on the date of the grant.</w:t>
      </w:r>
    </w:p>
    <w:p>
      <w:pPr>
        <w:spacing w:after="0" w:line="160" w:lineRule="exact"/>
        <w:rPr>
          <w:rFonts w:ascii="Arial" w:cs="Arial" w:eastAsia="Arial" w:hAnsi="Arial"/>
          <w:sz w:val="15"/>
          <w:szCs w:val="15"/>
          <w:color w:val="auto"/>
        </w:rPr>
      </w:pPr>
    </w:p>
    <w:p>
      <w:pPr>
        <w:ind w:left="2180" w:hanging="520"/>
        <w:spacing w:after="0" w:line="314" w:lineRule="auto"/>
        <w:tabs>
          <w:tab w:leader="none" w:pos="21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50% will vest in accordance with the vesting schedule set forth below if the market value of AAMC stock meets all three of the following conditions: (i) the market value is at least equal to $500 million; (ii) the market value has realized a compounded annual gain of at least 22.5% over the market value on the date of the grant; and (iii) the market value is at least triple the market value on the date of the grant.</w:t>
      </w:r>
    </w:p>
    <w:p>
      <w:pPr>
        <w:spacing w:after="0" w:line="172" w:lineRule="exact"/>
        <w:rPr>
          <w:rFonts w:ascii="Arial" w:cs="Arial" w:eastAsia="Arial" w:hAnsi="Arial"/>
          <w:sz w:val="15"/>
          <w:szCs w:val="15"/>
          <w:color w:val="auto"/>
        </w:rPr>
      </w:pPr>
    </w:p>
    <w:p>
      <w:pPr>
        <w:ind w:left="2180" w:hanging="520"/>
        <w:spacing w:after="0" w:line="260" w:lineRule="auto"/>
        <w:tabs>
          <w:tab w:leader="none" w:pos="21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25% will vest in accordance with the vesting schedule set forth below if the market value of AAMC stock meets all three of the following conditions: (i) the market value is at least equal to $750 million; (ii) the market value has realized a compounded annual gain of at least 25% over the market value on the date of the grant; and (iii) the market value is at least quadruple the market value on the date of the grant.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AAMC Restricted Stock will vest according to the following vesting schedule:</w:t>
      </w:r>
    </w:p>
    <w:p>
      <w:pPr>
        <w:spacing w:after="0" w:line="229" w:lineRule="exact"/>
        <w:rPr>
          <w:sz w:val="20"/>
          <w:szCs w:val="20"/>
          <w:color w:val="auto"/>
        </w:rPr>
      </w:pPr>
    </w:p>
    <w:p>
      <w:pPr>
        <w:ind w:left="1040" w:hanging="522"/>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25% of each tranche will vest on the first anniversary of the date when the three conditions for that tranche are met.</w:t>
      </w:r>
    </w:p>
    <w:p>
      <w:pPr>
        <w:spacing w:after="0" w:line="229" w:lineRule="exact"/>
        <w:rPr>
          <w:rFonts w:ascii="Arial" w:cs="Arial" w:eastAsia="Arial" w:hAnsi="Arial"/>
          <w:sz w:val="17"/>
          <w:szCs w:val="17"/>
          <w:color w:val="auto"/>
        </w:rPr>
      </w:pPr>
    </w:p>
    <w:p>
      <w:pPr>
        <w:ind w:left="1040" w:hanging="522"/>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remaining 75% will vest in substantially equal installments on each of the first three anniversaries of the initial vesting of the applicable tranche.</w:t>
      </w:r>
    </w:p>
    <w:p>
      <w:pPr>
        <w:spacing w:after="0" w:line="240"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If an award recipient's service with the Company or any of its affiliates is terminated prior to full vesting of the AAMC Restricted Stock, then the award recipient will forfeit all unvested AAMC Restricted Stock to AAMC, except that if (i) an award recipient's service is terminated either by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 w:name="page17"/>
    <w:bookmarkEnd w:id="16"/>
    <w:p>
      <w:pPr>
        <w:ind w:right="520"/>
        <w:spacing w:after="0" w:line="274" w:lineRule="auto"/>
        <w:rPr>
          <w:sz w:val="20"/>
          <w:szCs w:val="20"/>
          <w:color w:val="auto"/>
        </w:rPr>
      </w:pPr>
      <w:r>
        <w:rPr>
          <w:rFonts w:ascii="Arial" w:cs="Arial" w:eastAsia="Arial" w:hAnsi="Arial"/>
          <w:sz w:val="17"/>
          <w:szCs w:val="17"/>
          <w:color w:val="auto"/>
        </w:rPr>
        <w:t>Company (or an affiliate) without cause or due to death or disability and (ii) a performance hurdle has already been achieved or is achieved within ninety days of termination, unvested stock for the corresponding tranche will continue to vest according to the above vesting schedule.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provide the following cash compensation to our non-management Directors in quarterly installments:</w:t>
      </w:r>
    </w:p>
    <w:p>
      <w:pPr>
        <w:spacing w:after="0" w:line="229" w:lineRule="exact"/>
        <w:rPr>
          <w:sz w:val="20"/>
          <w:szCs w:val="20"/>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annual retainer of $49,000;</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$50,000 to the Chairman of the Board of Directors;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$12,500 to the Audit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$5,000 to all committee chairpersons (other than the Audit Committee chairperson); and</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$5,000 to all Audit Committee members.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As part of Director compensation, non-management Directors annually receive shares of common stock of Altisource with a fair market value of $45,000. "Fair Market Value" is defined as the average of the high and low prices of the common stock as reported on the NASDAQ on the first day of the service year.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service year. New non-management directors elected at the Annual Meeting of Shareholders are granted a one (1) time award of 500 shares of common stock. 25% of these shares vest on each anniversary of the award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ind w:right="200"/>
        <w:spacing w:after="0" w:line="343" w:lineRule="auto"/>
        <w:rPr>
          <w:sz w:val="20"/>
          <w:szCs w:val="20"/>
          <w:color w:val="auto"/>
        </w:rPr>
      </w:pPr>
      <w:r>
        <w:rPr>
          <w:rFonts w:ascii="Arial" w:cs="Arial" w:eastAsia="Arial" w:hAnsi="Arial"/>
          <w:sz w:val="15"/>
          <w:szCs w:val="15"/>
          <w:color w:val="auto"/>
        </w:rPr>
        <w:t>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125"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Any Director compensation may be prorated for a Director serving less than a full one (1) year term as in the case of a Director joining the Board of Directors after an Annual Meeting of Shareholders but during the service year.</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NAMED EXECUTIVE OFFICERS WHO ARE NOT DIRECTORS</w:t>
      </w:r>
    </w:p>
    <w:p>
      <w:pPr>
        <w:spacing w:after="0" w:line="2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named executive officers but does not serve on our Board of Directors. Our named executive officers are elected annually by our Board of Directors and generally serve at the discretion of our Board of Directors. There are no arrangements or understandings between us and any person for election as our named executive officer. None of our Directors and/or named executive officers are related to any other Director and/or named executive officer of Altisource or any of its subsidiaries by blood, marriage or adoption.</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310"/>
        </w:trPr>
        <w:tc>
          <w:tcPr>
            <w:tcW w:w="1980" w:type="dxa"/>
            <w:vAlign w:val="bottom"/>
            <w:gridSpan w:val="3"/>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27"/>
                <w:szCs w:val="27"/>
                <w:b w:val="1"/>
                <w:bCs w:val="1"/>
                <w:color w:val="auto"/>
                <w:vertAlign w:val="superscript"/>
              </w:rPr>
              <w:t>(1)</w:t>
            </w:r>
          </w:p>
        </w:tc>
        <w:tc>
          <w:tcPr>
            <w:tcW w:w="640" w:type="dxa"/>
            <w:vAlign w:val="bottom"/>
          </w:tcPr>
          <w:p>
            <w:pPr>
              <w:jc w:val="right"/>
              <w:ind w:right="96"/>
              <w:spacing w:after="0"/>
              <w:rPr>
                <w:sz w:val="20"/>
                <w:szCs w:val="20"/>
                <w:color w:val="auto"/>
              </w:rPr>
            </w:pPr>
            <w:r>
              <w:rPr>
                <w:rFonts w:ascii="Arial" w:cs="Arial" w:eastAsia="Arial" w:hAnsi="Arial"/>
                <w:sz w:val="17"/>
                <w:szCs w:val="17"/>
                <w:b w:val="1"/>
                <w:bCs w:val="1"/>
                <w:color w:val="auto"/>
              </w:rPr>
              <w:t>Age</w:t>
            </w:r>
          </w:p>
        </w:tc>
        <w:tc>
          <w:tcPr>
            <w:tcW w:w="6520" w:type="dxa"/>
            <w:vAlign w:val="bottom"/>
            <w:gridSpan w:val="2"/>
          </w:tcPr>
          <w:p>
            <w:pPr>
              <w:ind w:left="140"/>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40</w:t>
            </w:r>
          </w:p>
        </w:tc>
        <w:tc>
          <w:tcPr>
            <w:tcW w:w="6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Kevin J. Wilcox</w:t>
            </w:r>
          </w:p>
        </w:tc>
        <w:tc>
          <w:tcPr>
            <w:tcW w:w="640" w:type="dxa"/>
            <w:vAlign w:val="bottom"/>
          </w:tcPr>
          <w:p>
            <w:pPr>
              <w:jc w:val="right"/>
              <w:ind w:right="116"/>
              <w:spacing w:after="0"/>
              <w:rPr>
                <w:sz w:val="20"/>
                <w:szCs w:val="20"/>
                <w:color w:val="auto"/>
              </w:rPr>
            </w:pPr>
            <w:r>
              <w:rPr>
                <w:rFonts w:ascii="Arial" w:cs="Arial" w:eastAsia="Arial" w:hAnsi="Arial"/>
                <w:sz w:val="17"/>
                <w:szCs w:val="17"/>
                <w:color w:val="auto"/>
              </w:rPr>
              <w:t>49</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Chief Administration Officer and General Counsel</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60" w:hanging="515"/>
        <w:spacing w:after="0"/>
        <w:tabs>
          <w:tab w:leader="none" w:pos="166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All information set forth herein is as of March 18, 2013.</w:t>
      </w:r>
    </w:p>
    <w:p>
      <w:pPr>
        <w:spacing w:after="0" w:line="19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principal occupation for the last five (5) years, as well as certain other biographical information, for each of our named executive officers that is not a Director is set forth below.</w:t>
      </w:r>
    </w:p>
    <w:p>
      <w:pPr>
        <w:spacing w:after="0" w:line="172"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b w:val="1"/>
          <w:bCs w:val="1"/>
          <w:i w:val="1"/>
          <w:iCs w:val="1"/>
          <w:color w:val="auto"/>
        </w:rPr>
        <w:t xml:space="preserve">Michelle D. Esterman. </w:t>
      </w:r>
      <w:r>
        <w:rPr>
          <w:rFonts w:ascii="Arial" w:cs="Arial" w:eastAsia="Arial" w:hAnsi="Arial"/>
          <w:sz w:val="15"/>
          <w:szCs w:val="15"/>
          <w:color w:val="auto"/>
        </w:rPr>
        <w:t>Ms. Esterman serves as Chief Financial Officer of Altisource. Before joining Altisource in March 2012, she served as Senior Manager, Audit &amp;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Enterprise Risk Services, for Deloitte &amp; Touche LLP since 2003 and in various positions within Deloitte &amp; Touche LLP from 1996 to 2003, including a two year rotation with Deloitte Touche Tohmatsu.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5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Prior to hiring Ms. Esterman, the Company determined that her employment with Deloitte &amp; Touche LLP presented no independence issues that could prevent her from assuming the position of Chief Financial Officer of the Company.</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 xml:space="preserve">Kevin J. Wilcox. </w:t>
      </w:r>
      <w:r>
        <w:rPr>
          <w:rFonts w:ascii="Arial" w:cs="Arial" w:eastAsia="Arial" w:hAnsi="Arial"/>
          <w:sz w:val="17"/>
          <w:szCs w:val="17"/>
          <w:color w:val="auto"/>
        </w:rPr>
        <w:t>Mr. Wilcox serves as Chief Administration Officer and General Counsel of Altisource. Before joining Altisource in August 2009, he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Chief Administration Officer and Corporate Secretary for Ocwen since May 2008. Mr. Wilcox previously served as the Senior Vice President of Human Resources and Corporate Services.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RELATED SHAREHOLDER MATTERS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the record date by:</w:t>
      </w:r>
    </w:p>
    <w:p>
      <w:pPr>
        <w:spacing w:after="0" w:line="229" w:lineRule="exact"/>
        <w:rPr>
          <w:sz w:val="20"/>
          <w:szCs w:val="20"/>
          <w:color w:val="auto"/>
        </w:rPr>
      </w:pPr>
    </w:p>
    <w:p>
      <w:pPr>
        <w:ind w:left="1040" w:hanging="522"/>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Director and named executive officer of Altisource;</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Directors and named executive officers of Altisource as a group; and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persons known by Altisource to own beneficially 5% or more of the outstanding common stock.</w:t>
      </w:r>
    </w:p>
    <w:p>
      <w:pPr>
        <w:spacing w:after="0" w:line="217"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and filings under the Exchange Act. Unless otherwise indicated, the address of all persons below is: 291, Route d'Arlon, L-1150 Luxembourg City, Grand Duchy of Luxembourg.</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00" w:type="dxa"/>
            <w:vAlign w:val="bottom"/>
            <w:gridSpan w:val="2"/>
          </w:tcPr>
          <w:p>
            <w:pPr>
              <w:ind w:left="720"/>
              <w:spacing w:after="0"/>
              <w:rPr>
                <w:sz w:val="20"/>
                <w:szCs w:val="20"/>
                <w:color w:val="auto"/>
              </w:rPr>
            </w:pPr>
            <w:r>
              <w:rPr>
                <w:rFonts w:ascii="Arial" w:cs="Arial" w:eastAsia="Arial" w:hAnsi="Arial"/>
                <w:sz w:val="17"/>
                <w:szCs w:val="17"/>
                <w:b w:val="1"/>
                <w:bCs w:val="1"/>
                <w:color w:val="auto"/>
              </w:rPr>
              <w:t>Shares Beneficially Owned as of March 18, 2013</w:t>
            </w:r>
            <w:r>
              <w:rPr>
                <w:rFonts w:ascii="Arial" w:cs="Arial" w:eastAsia="Arial" w:hAnsi="Arial"/>
                <w:sz w:val="27"/>
                <w:szCs w:val="27"/>
                <w:color w:val="auto"/>
                <w:vertAlign w:val="superscript"/>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Name of Beneficial Owner:</w:t>
            </w: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Amount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204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FMR LLC</w:t>
            </w:r>
            <w:r>
              <w:rPr>
                <w:rFonts w:ascii="Arial" w:cs="Arial" w:eastAsia="Arial" w:hAnsi="Arial"/>
                <w:sz w:val="27"/>
                <w:szCs w:val="27"/>
                <w:color w:val="auto"/>
                <w:vertAlign w:val="superscript"/>
              </w:rPr>
              <w:t>(2)</w:t>
            </w:r>
          </w:p>
        </w:tc>
        <w:tc>
          <w:tcPr>
            <w:tcW w:w="5300" w:type="dxa"/>
            <w:vAlign w:val="bottom"/>
            <w:gridSpan w:val="2"/>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2,031,803</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Neuberger Berman Group LLC</w:t>
            </w:r>
            <w:r>
              <w:rPr>
                <w:rFonts w:ascii="Arial" w:cs="Arial" w:eastAsia="Arial" w:hAnsi="Arial"/>
                <w:sz w:val="27"/>
                <w:szCs w:val="27"/>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7"/>
                <w:szCs w:val="17"/>
                <w:color w:val="auto"/>
              </w:rPr>
              <w:t>1,885,767</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91"/>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tcBorders>
              <w:top w:val="single" w:sz="8" w:color="auto"/>
            </w:tcBorders>
            <w:gridSpan w:val="3"/>
            <w:shd w:val="clear" w:color="auto" w:fill="CCEEFF"/>
          </w:tcPr>
          <w:p>
            <w:pPr>
              <w:spacing w:after="0" w:line="239"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(4)</w:t>
            </w:r>
          </w:p>
        </w:tc>
        <w:tc>
          <w:tcPr>
            <w:tcW w:w="4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6,780,071</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26.40%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7"/>
                <w:szCs w:val="17"/>
                <w:color w:val="auto"/>
              </w:rPr>
              <w:t>432,379</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10,969</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7"/>
                <w:szCs w:val="27"/>
                <w:color w:val="auto"/>
                <w:vertAlign w:val="superscript"/>
              </w:rPr>
              <w:t>(6)</w:t>
            </w:r>
          </w:p>
        </w:tc>
        <w:tc>
          <w:tcPr>
            <w:tcW w:w="800" w:type="dxa"/>
            <w:vAlign w:val="bottom"/>
          </w:tcPr>
          <w:p>
            <w:pPr>
              <w:jc w:val="right"/>
              <w:spacing w:after="0"/>
              <w:rPr>
                <w:sz w:val="20"/>
                <w:szCs w:val="20"/>
                <w:color w:val="auto"/>
              </w:rPr>
            </w:pPr>
            <w:r>
              <w:rPr>
                <w:rFonts w:ascii="Arial" w:cs="Arial" w:eastAsia="Arial" w:hAnsi="Arial"/>
                <w:sz w:val="17"/>
                <w:szCs w:val="17"/>
                <w:color w:val="auto"/>
              </w:rPr>
              <w:t>9,998</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W. Michael Linn</w:t>
            </w:r>
            <w:r>
              <w:rPr>
                <w:rFonts w:ascii="Arial" w:cs="Arial" w:eastAsia="Arial" w:hAnsi="Arial"/>
                <w:sz w:val="27"/>
                <w:szCs w:val="27"/>
                <w:color w:val="auto"/>
                <w:vertAlign w:val="superscript"/>
              </w:rPr>
              <w:t>(8)</w:t>
            </w:r>
          </w:p>
        </w:tc>
        <w:tc>
          <w:tcPr>
            <w:tcW w:w="800" w:type="dxa"/>
            <w:vAlign w:val="bottom"/>
          </w:tcPr>
          <w:p>
            <w:pPr>
              <w:jc w:val="right"/>
              <w:spacing w:after="0"/>
              <w:rPr>
                <w:sz w:val="20"/>
                <w:szCs w:val="20"/>
                <w:color w:val="auto"/>
              </w:rPr>
            </w:pPr>
            <w:r>
              <w:rPr>
                <w:rFonts w:ascii="Arial" w:cs="Arial" w:eastAsia="Arial" w:hAnsi="Arial"/>
                <w:sz w:val="17"/>
                <w:szCs w:val="17"/>
                <w:color w:val="auto"/>
              </w:rPr>
              <w:t>16,719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269,605</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All Directors and Named Executive Officers as a Group (7 persons)</w:t>
            </w:r>
          </w:p>
        </w:tc>
        <w:tc>
          <w:tcPr>
            <w:tcW w:w="800" w:type="dxa"/>
            <w:vAlign w:val="bottom"/>
          </w:tcPr>
          <w:p>
            <w:pPr>
              <w:jc w:val="right"/>
              <w:spacing w:after="0"/>
              <w:rPr>
                <w:sz w:val="20"/>
                <w:szCs w:val="20"/>
                <w:color w:val="auto"/>
              </w:rPr>
            </w:pPr>
            <w:r>
              <w:rPr>
                <w:rFonts w:ascii="Arial" w:cs="Arial" w:eastAsia="Arial" w:hAnsi="Arial"/>
                <w:sz w:val="17"/>
                <w:szCs w:val="17"/>
                <w:color w:val="auto"/>
              </w:rPr>
              <w:t>7,528,739</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29.32%</w:t>
            </w:r>
          </w:p>
        </w:tc>
        <w:tc>
          <w:tcPr>
            <w:tcW w:w="0" w:type="dxa"/>
            <w:vAlign w:val="bottom"/>
          </w:tcPr>
          <w:p>
            <w:pPr>
              <w:spacing w:after="0"/>
              <w:rPr>
                <w:sz w:val="1"/>
                <w:szCs w:val="1"/>
                <w:color w:val="auto"/>
              </w:rPr>
            </w:pPr>
          </w:p>
        </w:tc>
      </w:tr>
      <w:tr>
        <w:trPr>
          <w:trHeight w:val="416"/>
        </w:trPr>
        <w:tc>
          <w:tcPr>
            <w:tcW w:w="300" w:type="dxa"/>
            <w:vAlign w:val="bottom"/>
            <w:gridSpan w:val="2"/>
          </w:tcPr>
          <w:p>
            <w:pPr>
              <w:spacing w:after="0"/>
              <w:rPr>
                <w:sz w:val="20"/>
                <w:szCs w:val="20"/>
                <w:color w:val="auto"/>
              </w:rPr>
            </w:pPr>
            <w:r>
              <w:rPr>
                <w:rFonts w:ascii="Arial" w:cs="Arial" w:eastAsia="Arial" w:hAnsi="Arial"/>
                <w:sz w:val="17"/>
                <w:szCs w:val="17"/>
                <w:color w:val="auto"/>
              </w:rPr>
              <w:t>*</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Less than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660" w:right="20" w:hanging="515"/>
        <w:spacing w:after="0" w:line="219" w:lineRule="auto"/>
        <w:tabs>
          <w:tab w:leader="none" w:pos="166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01" w:lineRule="exact"/>
        <w:rPr>
          <w:rFonts w:ascii="Arial" w:cs="Arial" w:eastAsia="Arial" w:hAnsi="Arial"/>
          <w:sz w:val="28"/>
          <w:szCs w:val="28"/>
          <w:color w:val="auto"/>
          <w:vertAlign w:val="superscript"/>
        </w:rPr>
      </w:pPr>
    </w:p>
    <w:p>
      <w:pPr>
        <w:jc w:val="both"/>
        <w:ind w:left="1660" w:right="80" w:hanging="515"/>
        <w:spacing w:after="0" w:line="210" w:lineRule="auto"/>
        <w:tabs>
          <w:tab w:leader="none" w:pos="166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 filed with the SEC on February 14, 2013 by FMR LLC ("FMR"). Includes 331,627 shares as to which sole voting power and 2,031,803 shares as to which sole dispositive power is claimed. FMR's address is 82 Devonshire Street, Boston, Massachusetts 02109.</w:t>
      </w:r>
    </w:p>
    <w:p>
      <w:pPr>
        <w:spacing w:after="0" w:line="200" w:lineRule="exact"/>
        <w:rPr>
          <w:rFonts w:ascii="Arial" w:cs="Arial" w:eastAsia="Arial" w:hAnsi="Arial"/>
          <w:sz w:val="28"/>
          <w:szCs w:val="28"/>
          <w:color w:val="auto"/>
          <w:vertAlign w:val="superscript"/>
        </w:rPr>
      </w:pPr>
    </w:p>
    <w:p>
      <w:pPr>
        <w:ind w:left="1660" w:hanging="515"/>
        <w:spacing w:after="0" w:line="219" w:lineRule="auto"/>
        <w:tabs>
          <w:tab w:leader="none" w:pos="166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 filed jointly with the SEC on February 13, 2013 by Neuberger Berman Group LLC, Neuberger Berman LLC, Neuberger Berman Management LLC and Neuberger Berman Equity Funds ("Neuberger"). Includes 1,841,670 shares as to which shared voting power and 1,885,767 shares as to which shared dispositive power is claimed. Neuberger's address is 605 Third Avenue, New York, New York 10158.</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9" w:name="page20"/>
    <w:bookmarkEnd w:id="19"/>
    <w:p>
      <w:pPr>
        <w:ind w:left="1660" w:right="140" w:hanging="515"/>
        <w:spacing w:after="0" w:line="237" w:lineRule="auto"/>
        <w:tabs>
          <w:tab w:leader="none" w:pos="1660"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Includes options to acquire 844,728 shares which are exercisable on or within 60 days after March 18, 2013. Includes 5,933,524 shares held by Salt Pond Holdings, LLC, a United States Virgin Islands limited liability company, of which the members are William C. Erbey and his spouse, E. Elaine Erbey; FF Plaza Limited Partnership, a Delaware partnership, of which the partners are Mr. and Mrs. Erbey and Delaware Permanent Corporation, a Delaware corporation wholly owned by Mr. Erbey; and Erbey Holding Corporation, a Delaware corporation, wholly owned by Mr. Erbey. Includes 375 shares of unvested restricted common stock, subject to forfeiture until vested.</w:t>
      </w:r>
    </w:p>
    <w:p>
      <w:pPr>
        <w:spacing w:after="0" w:line="215" w:lineRule="exact"/>
        <w:rPr>
          <w:rFonts w:ascii="Arial" w:cs="Arial" w:eastAsia="Arial" w:hAnsi="Arial"/>
          <w:sz w:val="27"/>
          <w:szCs w:val="27"/>
          <w:color w:val="auto"/>
          <w:vertAlign w:val="superscript"/>
        </w:rPr>
      </w:pPr>
    </w:p>
    <w:p>
      <w:pPr>
        <w:ind w:left="1660" w:right="120" w:hanging="515"/>
        <w:spacing w:after="0" w:line="218" w:lineRule="auto"/>
        <w:tabs>
          <w:tab w:leader="none" w:pos="166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Includes options to acquire 407,516 shares which are exercisable on or within 60 days after March 18, 2013. Includes 24,863 shares held by the William B. Shepro Revocable Trust. Mr. and Mrs. William B. Shepro share voting and dispositive power with respect to these shares.</w:t>
      </w:r>
    </w:p>
    <w:p>
      <w:pPr>
        <w:spacing w:after="0" w:line="91" w:lineRule="exact"/>
        <w:rPr>
          <w:rFonts w:ascii="Arial" w:cs="Arial" w:eastAsia="Arial" w:hAnsi="Arial"/>
          <w:sz w:val="25"/>
          <w:szCs w:val="25"/>
          <w:color w:val="auto"/>
          <w:vertAlign w:val="superscript"/>
        </w:rPr>
      </w:pPr>
    </w:p>
    <w:p>
      <w:pPr>
        <w:ind w:left="1660" w:hanging="515"/>
        <w:spacing w:after="0"/>
        <w:tabs>
          <w:tab w:leader="none" w:pos="166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Includes 375 shares of unvested restricted common stock, subject to forfeiture until vested.</w:t>
      </w:r>
    </w:p>
    <w:p>
      <w:pPr>
        <w:spacing w:after="0" w:line="152" w:lineRule="exact"/>
        <w:rPr>
          <w:rFonts w:ascii="Arial" w:cs="Arial" w:eastAsia="Arial" w:hAnsi="Arial"/>
          <w:sz w:val="28"/>
          <w:szCs w:val="28"/>
          <w:color w:val="auto"/>
          <w:vertAlign w:val="superscript"/>
        </w:rPr>
      </w:pPr>
    </w:p>
    <w:p>
      <w:pPr>
        <w:ind w:left="1660" w:hanging="515"/>
        <w:spacing w:after="0" w:line="193" w:lineRule="auto"/>
        <w:tabs>
          <w:tab w:leader="none" w:pos="166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Includes 375 shares of unvested restricted common stock, subject to forfeiture until vested.</w:t>
      </w:r>
    </w:p>
    <w:p>
      <w:pPr>
        <w:spacing w:after="0" w:line="212" w:lineRule="exact"/>
        <w:rPr>
          <w:rFonts w:ascii="Arial" w:cs="Arial" w:eastAsia="Arial" w:hAnsi="Arial"/>
          <w:sz w:val="28"/>
          <w:szCs w:val="28"/>
          <w:color w:val="auto"/>
          <w:vertAlign w:val="superscript"/>
        </w:rPr>
      </w:pPr>
    </w:p>
    <w:p>
      <w:pPr>
        <w:ind w:left="1660" w:right="180" w:hanging="515"/>
        <w:spacing w:after="0" w:line="203" w:lineRule="auto"/>
        <w:tabs>
          <w:tab w:leader="none" w:pos="1660"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Includes (a) 1,000 shares held by Brown's Valley Development Co, LP, (b) 400 shares held by Mr. Linn's minor child(ren) and (c) 2,000 shares held by W M Linn Trust. Includes 375 shares of unvested restricted common stock, subject to forfeiture until vested.</w:t>
      </w:r>
    </w:p>
    <w:p>
      <w:pPr>
        <w:spacing w:after="0" w:line="91" w:lineRule="exact"/>
        <w:rPr>
          <w:rFonts w:ascii="Arial" w:cs="Arial" w:eastAsia="Arial" w:hAnsi="Arial"/>
          <w:sz w:val="27"/>
          <w:szCs w:val="27"/>
          <w:color w:val="auto"/>
          <w:vertAlign w:val="superscript"/>
        </w:rPr>
      </w:pPr>
    </w:p>
    <w:p>
      <w:pPr>
        <w:ind w:left="1660" w:hanging="515"/>
        <w:spacing w:after="0"/>
        <w:tabs>
          <w:tab w:leader="none" w:pos="166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268,873 shares which are exercisable on or within 60 days after March 18, 2013.</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following table sets forth information as of the end of the most recently completed fiscal year with respect to compensation plans under which our equity securities are authorized for issuance.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7"/>
              </w:rPr>
              <w:t>Number of securities to</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7"/>
              </w:rPr>
              <w:t>Weighted average</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Number of securities</w:t>
            </w:r>
          </w:p>
        </w:tc>
      </w:tr>
      <w:tr>
        <w:trPr>
          <w:trHeight w:val="206"/>
        </w:trPr>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4"/>
              </w:rPr>
              <w:t>be issued upon exercise</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6"/>
              </w:rPr>
              <w:t>exercise price of</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remaining available for</w:t>
            </w:r>
          </w:p>
        </w:tc>
      </w:tr>
      <w:tr>
        <w:trPr>
          <w:trHeight w:val="206"/>
        </w:trPr>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5"/>
              </w:rPr>
              <w:t>of outstanding options,</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5"/>
              </w:rPr>
              <w:t>outstanding options,</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future issuance under</w:t>
            </w:r>
          </w:p>
        </w:tc>
      </w:tr>
      <w:tr>
        <w:trPr>
          <w:trHeight w:val="218"/>
        </w:trPr>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Plan Category</w:t>
            </w:r>
          </w:p>
        </w:tc>
        <w:tc>
          <w:tcPr>
            <w:tcW w:w="120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warrants and rights</w:t>
            </w:r>
          </w:p>
        </w:tc>
        <w:tc>
          <w:tcPr>
            <w:tcW w:w="16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warrants and rights</w:t>
            </w:r>
          </w:p>
        </w:tc>
        <w:tc>
          <w:tcPr>
            <w:tcW w:w="16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equity compensation plans</w:t>
            </w:r>
          </w:p>
        </w:tc>
        <w:tc>
          <w:tcPr>
            <w:tcW w:w="160" w:type="dxa"/>
            <w:vAlign w:val="bottom"/>
          </w:tcPr>
          <w:p>
            <w:pPr>
              <w:spacing w:after="0"/>
              <w:rPr>
                <w:sz w:val="18"/>
                <w:szCs w:val="18"/>
                <w:color w:val="auto"/>
              </w:rPr>
            </w:pPr>
          </w:p>
        </w:tc>
      </w:tr>
      <w:tr>
        <w:trPr>
          <w:trHeight w:val="191"/>
        </w:trPr>
        <w:tc>
          <w:tcPr>
            <w:tcW w:w="1140" w:type="dxa"/>
            <w:vAlign w:val="bottom"/>
          </w:tcPr>
          <w:p>
            <w:pPr>
              <w:spacing w:after="0"/>
              <w:rPr>
                <w:sz w:val="16"/>
                <w:szCs w:val="16"/>
                <w:color w:val="auto"/>
              </w:rPr>
            </w:pPr>
          </w:p>
        </w:tc>
        <w:tc>
          <w:tcPr>
            <w:tcW w:w="3320" w:type="dxa"/>
            <w:vAlign w:val="bottom"/>
            <w:gridSpan w:val="3"/>
            <w:shd w:val="clear" w:color="auto" w:fill="CCEEFF"/>
          </w:tcPr>
          <w:p>
            <w:pPr>
              <w:spacing w:after="0" w:line="191" w:lineRule="exact"/>
              <w:rPr>
                <w:sz w:val="20"/>
                <w:szCs w:val="20"/>
                <w:color w:val="auto"/>
              </w:rPr>
            </w:pPr>
            <w:r>
              <w:rPr>
                <w:rFonts w:ascii="Arial" w:cs="Arial" w:eastAsia="Arial" w:hAnsi="Arial"/>
                <w:sz w:val="17"/>
                <w:szCs w:val="17"/>
                <w:color w:val="auto"/>
              </w:rPr>
              <w:t>Equity compensation plans approved by</w:t>
            </w:r>
          </w:p>
        </w:tc>
        <w:tc>
          <w:tcPr>
            <w:tcW w:w="1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 holders</w:t>
            </w:r>
          </w:p>
        </w:tc>
        <w:tc>
          <w:tcPr>
            <w:tcW w:w="18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3,060,309</w:t>
            </w:r>
          </w:p>
        </w:tc>
        <w:tc>
          <w:tcPr>
            <w:tcW w:w="1760" w:type="dxa"/>
            <w:vAlign w:val="bottom"/>
            <w:gridSpan w:val="2"/>
            <w:shd w:val="clear" w:color="auto" w:fill="CCEEFF"/>
          </w:tcPr>
          <w:p>
            <w:pPr>
              <w:jc w:val="right"/>
              <w:ind w:right="436"/>
              <w:spacing w:after="0"/>
              <w:rPr>
                <w:sz w:val="20"/>
                <w:szCs w:val="20"/>
                <w:color w:val="auto"/>
              </w:rPr>
            </w:pPr>
            <w:r>
              <w:rPr>
                <w:rFonts w:ascii="Arial" w:cs="Arial" w:eastAsia="Arial" w:hAnsi="Arial"/>
                <w:sz w:val="17"/>
                <w:szCs w:val="17"/>
                <w:color w:val="auto"/>
              </w:rPr>
              <w:t>$17.69</w:t>
            </w:r>
          </w:p>
        </w:tc>
        <w:tc>
          <w:tcPr>
            <w:tcW w:w="2200" w:type="dxa"/>
            <w:vAlign w:val="bottom"/>
            <w:gridSpan w:val="2"/>
            <w:shd w:val="clear" w:color="auto" w:fill="CCEEFF"/>
          </w:tcPr>
          <w:p>
            <w:pPr>
              <w:jc w:val="right"/>
              <w:ind w:right="556"/>
              <w:spacing w:after="0"/>
              <w:rPr>
                <w:sz w:val="20"/>
                <w:szCs w:val="20"/>
                <w:color w:val="auto"/>
              </w:rPr>
            </w:pPr>
            <w:r>
              <w:rPr>
                <w:rFonts w:ascii="Arial" w:cs="Arial" w:eastAsia="Arial" w:hAnsi="Arial"/>
                <w:sz w:val="17"/>
                <w:szCs w:val="17"/>
                <w:color w:val="auto"/>
              </w:rPr>
              <w:t>2,585,741</w:t>
            </w:r>
          </w:p>
        </w:tc>
        <w:tc>
          <w:tcPr>
            <w:tcW w:w="160" w:type="dxa"/>
            <w:vAlign w:val="bottom"/>
            <w:shd w:val="clear" w:color="auto" w:fill="CCEEFF"/>
          </w:tcPr>
          <w:p>
            <w:pPr>
              <w:spacing w:after="0"/>
              <w:rPr>
                <w:sz w:val="18"/>
                <w:szCs w:val="18"/>
                <w:color w:val="auto"/>
              </w:rPr>
            </w:pPr>
          </w:p>
        </w:tc>
      </w:tr>
      <w:tr>
        <w:trPr>
          <w:trHeight w:val="411"/>
        </w:trPr>
        <w:tc>
          <w:tcPr>
            <w:tcW w:w="4460" w:type="dxa"/>
            <w:vAlign w:val="bottom"/>
            <w:gridSpan w:val="4"/>
          </w:tcPr>
          <w:p>
            <w:pPr>
              <w:spacing w:after="0"/>
              <w:rPr>
                <w:sz w:val="20"/>
                <w:szCs w:val="20"/>
                <w:color w:val="auto"/>
              </w:rPr>
            </w:pPr>
            <w:r>
              <w:rPr>
                <w:rFonts w:ascii="Arial" w:cs="Arial" w:eastAsia="Arial" w:hAnsi="Arial"/>
                <w:sz w:val="17"/>
                <w:szCs w:val="17"/>
                <w:b w:val="1"/>
                <w:bCs w:val="1"/>
                <w:color w:val="auto"/>
                <w:w w:val="94"/>
              </w:rPr>
              <w:t>Section 16(a) Beneficial Ownership Reporting Compliance</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Section 16(a) of the Exchange Act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Based upon the Company's review of Section 16(a) reports, the Company believes that all Section 16(a) filing requirements applicable to such reporting persons were complied with in 2012, except that the following Section 16 reports were filed late as a result of an administrative oversight: William C. Erbey filed one late report, which covered two transactions, and W. Michael Linn filed one late report, which covered two transactions.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 Philosophy and Objectives</w:t>
      </w:r>
    </w:p>
    <w:p>
      <w:pPr>
        <w:spacing w:after="0" w:line="221" w:lineRule="exact"/>
        <w:rPr>
          <w:sz w:val="20"/>
          <w:szCs w:val="20"/>
          <w:color w:val="auto"/>
        </w:rPr>
      </w:pPr>
    </w:p>
    <w:p>
      <w:pPr>
        <w:ind w:right="220"/>
        <w:spacing w:after="0" w:line="298"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to promote individual service longevity.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This compensation discussion and analysis provides information regarding the following:</w:t>
      </w:r>
    </w:p>
    <w:p>
      <w:pPr>
        <w:spacing w:after="0" w:line="229" w:lineRule="exact"/>
        <w:rPr>
          <w:sz w:val="20"/>
          <w:szCs w:val="20"/>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compensation programs for our Chief Executive Officer, Chief Financial Officer and Chief Administration Officer and General Counsel;</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overall objectives of our compensation program and what it is designed to reward;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element of compensation that we provide; and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reasons for the compensation decisions we have made regarding these individuals.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named executive officers for 2012 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8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w:t>
            </w:r>
          </w:p>
        </w:tc>
      </w:tr>
      <w:tr>
        <w:trPr>
          <w:trHeight w:val="180"/>
        </w:trPr>
        <w:tc>
          <w:tcPr>
            <w:tcW w:w="4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80"/>
              </w:rPr>
              <w:t>William</w:t>
            </w:r>
          </w:p>
        </w:tc>
        <w:tc>
          <w:tcPr>
            <w:tcW w:w="2100" w:type="dxa"/>
            <w:vAlign w:val="bottom"/>
            <w:tcBorders>
              <w:top w:val="single" w:sz="8" w:color="CCEEFF"/>
            </w:tcBorders>
            <w:shd w:val="clear" w:color="auto" w:fill="CCEEFF"/>
          </w:tcPr>
          <w:p>
            <w:pPr>
              <w:ind w:left="120"/>
              <w:spacing w:after="0" w:line="180" w:lineRule="exact"/>
              <w:rPr>
                <w:sz w:val="20"/>
                <w:szCs w:val="20"/>
                <w:color w:val="auto"/>
              </w:rPr>
            </w:pPr>
            <w:r>
              <w:rPr>
                <w:rFonts w:ascii="Arial" w:cs="Arial" w:eastAsia="Arial" w:hAnsi="Arial"/>
                <w:sz w:val="17"/>
                <w:szCs w:val="17"/>
                <w:color w:val="auto"/>
              </w:rPr>
              <w:t>B. Shepro</w:t>
            </w:r>
          </w:p>
        </w:tc>
        <w:tc>
          <w:tcPr>
            <w:tcW w:w="88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Chief Executive Officer</w:t>
            </w:r>
          </w:p>
        </w:tc>
      </w:tr>
      <w:tr>
        <w:trPr>
          <w:trHeight w:val="206"/>
        </w:trPr>
        <w:tc>
          <w:tcPr>
            <w:tcW w:w="2560" w:type="dxa"/>
            <w:vAlign w:val="bottom"/>
            <w:gridSpan w:val="2"/>
          </w:tcPr>
          <w:p>
            <w:pPr>
              <w:spacing w:after="0"/>
              <w:rPr>
                <w:sz w:val="20"/>
                <w:szCs w:val="20"/>
                <w:color w:val="auto"/>
              </w:rPr>
            </w:pPr>
            <w:r>
              <w:rPr>
                <w:rFonts w:ascii="Arial" w:cs="Arial" w:eastAsia="Arial" w:hAnsi="Arial"/>
                <w:sz w:val="17"/>
                <w:szCs w:val="17"/>
                <w:color w:val="auto"/>
              </w:rPr>
              <w:t>Kevin J. Wilcox</w:t>
            </w:r>
          </w:p>
        </w:tc>
        <w:tc>
          <w:tcPr>
            <w:tcW w:w="8860" w:type="dxa"/>
            <w:vAlign w:val="bottom"/>
          </w:tcPr>
          <w:p>
            <w:pPr>
              <w:spacing w:after="0"/>
              <w:rPr>
                <w:sz w:val="20"/>
                <w:szCs w:val="20"/>
                <w:color w:val="auto"/>
              </w:rPr>
            </w:pPr>
            <w:r>
              <w:rPr>
                <w:rFonts w:ascii="Arial" w:cs="Arial" w:eastAsia="Arial" w:hAnsi="Arial"/>
                <w:sz w:val="17"/>
                <w:szCs w:val="17"/>
                <w:color w:val="auto"/>
              </w:rPr>
              <w:t>Chief Administration Officer and General Counsel</w:t>
            </w:r>
          </w:p>
        </w:tc>
      </w:tr>
      <w:tr>
        <w:trPr>
          <w:trHeight w:val="245"/>
        </w:trPr>
        <w:tc>
          <w:tcPr>
            <w:tcW w:w="2560" w:type="dxa"/>
            <w:vAlign w:val="bottom"/>
            <w:gridSpan w:val="2"/>
            <w:shd w:val="clear" w:color="auto" w:fill="CCEEFF"/>
          </w:tcPr>
          <w:p>
            <w:pPr>
              <w:spacing w:after="0" w:line="245"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(1)</w:t>
            </w:r>
          </w:p>
        </w:tc>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r>
      <w:tr>
        <w:trPr>
          <w:trHeight w:val="365"/>
        </w:trPr>
        <w:tc>
          <w:tcPr>
            <w:tcW w:w="2560" w:type="dxa"/>
            <w:vAlign w:val="bottom"/>
            <w:gridSpan w:val="2"/>
          </w:tcPr>
          <w:p>
            <w:pPr>
              <w:spacing w:after="0"/>
              <w:rPr>
                <w:sz w:val="20"/>
                <w:szCs w:val="20"/>
                <w:color w:val="auto"/>
              </w:rPr>
            </w:pPr>
            <w:r>
              <w:rPr>
                <w:rFonts w:ascii="Arial" w:cs="Arial" w:eastAsia="Arial" w:hAnsi="Arial"/>
                <w:sz w:val="17"/>
                <w:szCs w:val="17"/>
                <w:color w:val="auto"/>
              </w:rPr>
              <w:t>Robert D. Stiles</w:t>
            </w:r>
            <w:r>
              <w:rPr>
                <w:rFonts w:ascii="Arial" w:cs="Arial" w:eastAsia="Arial" w:hAnsi="Arial"/>
                <w:sz w:val="27"/>
                <w:szCs w:val="27"/>
                <w:color w:val="auto"/>
                <w:vertAlign w:val="superscript"/>
              </w:rPr>
              <w:t>(2)</w:t>
            </w:r>
          </w:p>
        </w:tc>
        <w:tc>
          <w:tcPr>
            <w:tcW w:w="886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ind w:left="520" w:hanging="517"/>
        <w:spacing w:after="0" w:line="226" w:lineRule="auto"/>
        <w:tabs>
          <w:tab w:leader="none" w:pos="5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w:t>
      </w:r>
    </w:p>
    <w:p>
      <w:pPr>
        <w:spacing w:after="0" w:line="7" w:lineRule="exact"/>
        <w:rPr>
          <w:rFonts w:ascii="Arial" w:cs="Arial" w:eastAsia="Arial" w:hAnsi="Arial"/>
          <w:sz w:val="28"/>
          <w:szCs w:val="28"/>
          <w:color w:val="auto"/>
          <w:vertAlign w:val="superscript"/>
        </w:rPr>
      </w:pPr>
    </w:p>
    <w:p>
      <w:pPr>
        <w:ind w:left="520" w:hanging="517"/>
        <w:spacing w:after="0" w:line="188" w:lineRule="auto"/>
        <w:tabs>
          <w:tab w:leader="none" w:pos="52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Mr. Stiles resigned as Chief Financial Officer effective March 1, 2012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2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Compensation Consultant</w:t>
      </w:r>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To further the objectives of our compensation program, our Compensation Committee conducted an analysis of the compensation levels of certain of our named executive officers in conjunction with Exequity LLP ("Exequity"), an independent compensation consultant, pursuant to the Compensation Committee's continuing engagement with Exequity.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ind w:right="160"/>
        <w:spacing w:after="0" w:line="260" w:lineRule="auto"/>
        <w:rPr>
          <w:sz w:val="20"/>
          <w:szCs w:val="20"/>
          <w:color w:val="auto"/>
        </w:rPr>
      </w:pPr>
      <w:r>
        <w:rPr>
          <w:rFonts w:ascii="Arial" w:cs="Arial" w:eastAsia="Arial" w:hAnsi="Arial"/>
          <w:sz w:val="17"/>
          <w:szCs w:val="17"/>
          <w:color w:val="auto"/>
        </w:rPr>
        <w:t>As part of its analysis, Exequity provided research and presented information to the Committee related to compensation trends and "best practices" in executive compensation among peer group companies in a similar line of business and of similar size to Altisource. Executive compensation data and other resources reviewed by Exequity set the foundation for the Committee's review and analysis of executive compensation levels. Please see "Compensation Increases for Certain Officers" for information on the peer group companies the Compensation Committee used in its analysis.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1"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As required by Luxembourg law, Altisource has entered into employment agreements with William B. Shepro, our Chief Executive Officer, Kevin J. Wilcox, our Chief Administration Officer and General Counsel, Michelle D. Esterman, our Chief Financial Officer and Robert D. Stiles, our former Chief Financial Officer (January – March 2012). The employment terms continue indefinitely until the executive's separation from the Company. The contracts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57"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In order to terminate the contract, each party must provide notice in accordance with the time periods set forth in article L.124-1 of the Luxembourg Labour Code. In the event of the executive's termination by the Company for "cause,"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Labour Code upon certain terminations.</w:t>
      </w:r>
    </w:p>
    <w:p>
      <w:pPr>
        <w:spacing w:after="0" w:line="15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contracts also provide for a covenant to maintain our confidential information and to enter into an intellectual property agreement. In addition, the executive is bound by a non-solicitation covenant for a period of one (1) year following the termination of the contract. The agreements are governed in accordance with the laws of the Grand Duchy of Luxembourg.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83"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for our named executive officers are established based on individual qualifications and job responsibilities while taking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levels at similarly situated companies for similar positions.</w:t>
      </w:r>
    </w:p>
    <w:p>
      <w:pPr>
        <w:spacing w:after="0" w:line="172"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Base salaries of the named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The Compensation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Committee sets the base salary for the Chief Executive Officer and approves the base salaries for all other named executive officers.</w:t>
      </w:r>
    </w:p>
    <w:p>
      <w:pPr>
        <w:spacing w:after="0" w:line="2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Additionally, under Luxembourg law, all salaries are required to be adapted based upon the cost of living index in the Grand Duchy of Luxembourg. On October 1, 2012, there was a required 2.5% increase in all salaries pursuant to this law. Our Chief Executive Officer and named executive officers' salaries were adjusted accordingly. Please see "Compensation Increases of Certain Officers" for a discussion of other salary increases for our named executive officers.</w:t>
      </w:r>
    </w:p>
    <w:p>
      <w:pPr>
        <w:spacing w:after="0" w:line="164"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b w:val="1"/>
          <w:bCs w:val="1"/>
          <w:i w:val="1"/>
          <w:iCs w:val="1"/>
          <w:color w:val="auto"/>
        </w:rPr>
        <w:t xml:space="preserve">Annual Incentive Compensation. </w:t>
      </w:r>
      <w:r>
        <w:rPr>
          <w:rFonts w:ascii="Arial" w:cs="Arial" w:eastAsia="Arial" w:hAnsi="Arial"/>
          <w:sz w:val="17"/>
          <w:szCs w:val="17"/>
          <w:color w:val="auto"/>
        </w:rPr>
        <w:t>Pursuant to an annual incentive plan, a participant can earn cash, restricted stock and stock option awards as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The plan provides the Compensation Committee and our management with the authority to establish incentive award guidelines which are further discussed below.</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Each named executive officer has a targeted annual cash incentive award that is expressed as a percentage of his or her annual cash total target compensation. In 2012, 40-60% of total annual cash target compensation was payable only upon achievement of certain minimum Company and individual performance levels. The appropriate targeted percentage varies based upon the nature and scope of each named executive officer's responsibilities. The table below reflects the percentage of each named executive officer's target total annual cash compensation that was allocated to each of base salary and incentive compensation in 2012 and each named executive officer's actual total annual cash compensation that was allocated to each of base salary and incentive compensation in 2012:</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Incentive</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Compensation %</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Compensation %</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of Actual Total</w:t>
            </w: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of Actual Total</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Annual Cash</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6"/>
              </w:rPr>
              <w:t>Compensation</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Compensation</w:t>
            </w:r>
          </w:p>
        </w:tc>
      </w:tr>
      <w:tr>
        <w:trPr>
          <w:trHeight w:val="218"/>
        </w:trPr>
        <w:tc>
          <w:tcPr>
            <w:tcW w:w="84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14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2012</w:t>
            </w:r>
          </w:p>
        </w:tc>
        <w:tc>
          <w:tcPr>
            <w:tcW w:w="18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2012</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2012</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in 2012</w:t>
            </w:r>
          </w:p>
        </w:tc>
        <w:tc>
          <w:tcPr>
            <w:tcW w:w="180" w:type="dxa"/>
            <w:vAlign w:val="bottom"/>
          </w:tcPr>
          <w:p>
            <w:pPr>
              <w:spacing w:after="0"/>
              <w:rPr>
                <w:sz w:val="18"/>
                <w:szCs w:val="18"/>
                <w:color w:val="auto"/>
              </w:rPr>
            </w:pPr>
          </w:p>
        </w:tc>
      </w:tr>
      <w:tr>
        <w:trPr>
          <w:trHeight w:val="200"/>
        </w:trPr>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40%</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60%</w:t>
            </w:r>
          </w:p>
        </w:tc>
        <w:tc>
          <w:tcPr>
            <w:tcW w:w="154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88"/>
              </w:rPr>
              <w:t>31%</w:t>
            </w:r>
          </w:p>
        </w:tc>
        <w:tc>
          <w:tcPr>
            <w:tcW w:w="1740" w:type="dxa"/>
            <w:vAlign w:val="bottom"/>
            <w:gridSpan w:val="2"/>
            <w:shd w:val="clear" w:color="auto" w:fill="CCEEFF"/>
          </w:tcPr>
          <w:p>
            <w:pPr>
              <w:jc w:val="center"/>
              <w:ind w:left="176"/>
              <w:spacing w:after="0"/>
              <w:rPr>
                <w:sz w:val="20"/>
                <w:szCs w:val="20"/>
                <w:color w:val="auto"/>
              </w:rPr>
            </w:pPr>
            <w:r>
              <w:rPr>
                <w:rFonts w:ascii="Arial" w:cs="Arial" w:eastAsia="Arial" w:hAnsi="Arial"/>
                <w:sz w:val="17"/>
                <w:szCs w:val="17"/>
                <w:color w:val="auto"/>
                <w:w w:val="93"/>
              </w:rPr>
              <w:t>69%</w:t>
            </w:r>
          </w:p>
        </w:tc>
        <w:tc>
          <w:tcPr>
            <w:tcW w:w="180" w:type="dxa"/>
            <w:vAlign w:val="bottom"/>
            <w:shd w:val="clear" w:color="auto" w:fill="CCEEFF"/>
          </w:tcPr>
          <w:p>
            <w:pPr>
              <w:spacing w:after="0"/>
              <w:rPr>
                <w:sz w:val="17"/>
                <w:szCs w:val="17"/>
                <w:color w:val="auto"/>
              </w:rPr>
            </w:pPr>
          </w:p>
        </w:tc>
      </w:tr>
      <w:tr>
        <w:trPr>
          <w:trHeight w:val="206"/>
        </w:trPr>
        <w:tc>
          <w:tcPr>
            <w:tcW w:w="27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340" w:type="dxa"/>
            <w:vAlign w:val="bottom"/>
          </w:tcPr>
          <w:p>
            <w:pPr>
              <w:jc w:val="right"/>
              <w:ind w:right="396"/>
              <w:spacing w:after="0"/>
              <w:rPr>
                <w:sz w:val="20"/>
                <w:szCs w:val="20"/>
                <w:color w:val="auto"/>
              </w:rPr>
            </w:pPr>
            <w:r>
              <w:rPr>
                <w:rFonts w:ascii="Arial" w:cs="Arial" w:eastAsia="Arial" w:hAnsi="Arial"/>
                <w:sz w:val="17"/>
                <w:szCs w:val="17"/>
                <w:color w:val="auto"/>
              </w:rPr>
              <w:t>50%</w:t>
            </w:r>
          </w:p>
        </w:tc>
        <w:tc>
          <w:tcPr>
            <w:tcW w:w="1700" w:type="dxa"/>
            <w:vAlign w:val="bottom"/>
            <w:gridSpan w:val="2"/>
          </w:tcPr>
          <w:p>
            <w:pPr>
              <w:jc w:val="right"/>
              <w:ind w:right="476"/>
              <w:spacing w:after="0"/>
              <w:rPr>
                <w:sz w:val="20"/>
                <w:szCs w:val="20"/>
                <w:color w:val="auto"/>
              </w:rPr>
            </w:pPr>
            <w:r>
              <w:rPr>
                <w:rFonts w:ascii="Arial" w:cs="Arial" w:eastAsia="Arial" w:hAnsi="Arial"/>
                <w:sz w:val="17"/>
                <w:szCs w:val="17"/>
                <w:color w:val="auto"/>
              </w:rPr>
              <w:t>50%</w:t>
            </w:r>
          </w:p>
        </w:tc>
        <w:tc>
          <w:tcPr>
            <w:tcW w:w="1540" w:type="dxa"/>
            <w:vAlign w:val="bottom"/>
            <w:gridSpan w:val="2"/>
          </w:tcPr>
          <w:p>
            <w:pPr>
              <w:jc w:val="center"/>
              <w:ind w:left="196"/>
              <w:spacing w:after="0"/>
              <w:rPr>
                <w:sz w:val="20"/>
                <w:szCs w:val="20"/>
                <w:color w:val="auto"/>
              </w:rPr>
            </w:pPr>
            <w:r>
              <w:rPr>
                <w:rFonts w:ascii="Arial" w:cs="Arial" w:eastAsia="Arial" w:hAnsi="Arial"/>
                <w:sz w:val="17"/>
                <w:szCs w:val="17"/>
                <w:color w:val="auto"/>
                <w:w w:val="88"/>
              </w:rPr>
              <w:t>41%</w:t>
            </w:r>
          </w:p>
        </w:tc>
        <w:tc>
          <w:tcPr>
            <w:tcW w:w="1740" w:type="dxa"/>
            <w:vAlign w:val="bottom"/>
            <w:gridSpan w:val="2"/>
          </w:tcPr>
          <w:p>
            <w:pPr>
              <w:jc w:val="center"/>
              <w:ind w:left="176"/>
              <w:spacing w:after="0"/>
              <w:rPr>
                <w:sz w:val="20"/>
                <w:szCs w:val="20"/>
                <w:color w:val="auto"/>
              </w:rPr>
            </w:pPr>
            <w:r>
              <w:rPr>
                <w:rFonts w:ascii="Arial" w:cs="Arial" w:eastAsia="Arial" w:hAnsi="Arial"/>
                <w:sz w:val="17"/>
                <w:szCs w:val="17"/>
                <w:color w:val="auto"/>
                <w:w w:val="93"/>
              </w:rPr>
              <w:t>59%</w:t>
            </w:r>
          </w:p>
        </w:tc>
        <w:tc>
          <w:tcPr>
            <w:tcW w:w="180" w:type="dxa"/>
            <w:vAlign w:val="bottom"/>
          </w:tcPr>
          <w:p>
            <w:pPr>
              <w:spacing w:after="0"/>
              <w:rPr>
                <w:sz w:val="17"/>
                <w:szCs w:val="17"/>
                <w:color w:val="auto"/>
              </w:rPr>
            </w:pPr>
          </w:p>
        </w:tc>
      </w:tr>
      <w:tr>
        <w:trPr>
          <w:trHeight w:val="245"/>
        </w:trPr>
        <w:tc>
          <w:tcPr>
            <w:tcW w:w="2760" w:type="dxa"/>
            <w:vAlign w:val="bottom"/>
            <w:gridSpan w:val="3"/>
            <w:shd w:val="clear" w:color="auto" w:fill="CCEEFF"/>
          </w:tcPr>
          <w:p>
            <w:pPr>
              <w:spacing w:after="0" w:line="245"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(1)</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60%</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40%</w:t>
            </w:r>
          </w:p>
        </w:tc>
        <w:tc>
          <w:tcPr>
            <w:tcW w:w="154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w w:val="88"/>
              </w:rPr>
              <w:t>51%</w:t>
            </w:r>
          </w:p>
        </w:tc>
        <w:tc>
          <w:tcPr>
            <w:tcW w:w="1740" w:type="dxa"/>
            <w:vAlign w:val="bottom"/>
            <w:gridSpan w:val="2"/>
            <w:shd w:val="clear" w:color="auto" w:fill="CCEEFF"/>
          </w:tcPr>
          <w:p>
            <w:pPr>
              <w:jc w:val="center"/>
              <w:ind w:left="176"/>
              <w:spacing w:after="0"/>
              <w:rPr>
                <w:sz w:val="20"/>
                <w:szCs w:val="20"/>
                <w:color w:val="auto"/>
              </w:rPr>
            </w:pPr>
            <w:r>
              <w:rPr>
                <w:rFonts w:ascii="Arial" w:cs="Arial" w:eastAsia="Arial" w:hAnsi="Arial"/>
                <w:sz w:val="17"/>
                <w:szCs w:val="17"/>
                <w:color w:val="auto"/>
                <w:w w:val="93"/>
              </w:rPr>
              <w:t>49%</w:t>
            </w:r>
          </w:p>
        </w:tc>
        <w:tc>
          <w:tcPr>
            <w:tcW w:w="180" w:type="dxa"/>
            <w:vAlign w:val="bottom"/>
            <w:shd w:val="clear" w:color="auto" w:fill="CCEEFF"/>
          </w:tcPr>
          <w:p>
            <w:pPr>
              <w:spacing w:after="0"/>
              <w:rPr>
                <w:sz w:val="21"/>
                <w:szCs w:val="21"/>
                <w:color w:val="auto"/>
              </w:rPr>
            </w:pPr>
          </w:p>
        </w:tc>
      </w:tr>
      <w:tr>
        <w:trPr>
          <w:trHeight w:val="365"/>
        </w:trPr>
        <w:tc>
          <w:tcPr>
            <w:tcW w:w="2760" w:type="dxa"/>
            <w:vAlign w:val="bottom"/>
            <w:gridSpan w:val="3"/>
          </w:tcPr>
          <w:p>
            <w:pPr>
              <w:spacing w:after="0"/>
              <w:rPr>
                <w:sz w:val="20"/>
                <w:szCs w:val="20"/>
                <w:color w:val="auto"/>
              </w:rPr>
            </w:pPr>
            <w:r>
              <w:rPr>
                <w:rFonts w:ascii="Arial" w:cs="Arial" w:eastAsia="Arial" w:hAnsi="Arial"/>
                <w:sz w:val="17"/>
                <w:szCs w:val="17"/>
                <w:color w:val="auto"/>
              </w:rPr>
              <w:t>Robert D. Stiles</w:t>
            </w:r>
            <w:r>
              <w:rPr>
                <w:rFonts w:ascii="Arial" w:cs="Arial" w:eastAsia="Arial" w:hAnsi="Arial"/>
                <w:sz w:val="27"/>
                <w:szCs w:val="27"/>
                <w:color w:val="auto"/>
                <w:vertAlign w:val="superscript"/>
              </w:rPr>
              <w:t>(2)</w:t>
            </w:r>
          </w:p>
        </w:tc>
        <w:tc>
          <w:tcPr>
            <w:tcW w:w="1340" w:type="dxa"/>
            <w:vAlign w:val="bottom"/>
          </w:tcPr>
          <w:p>
            <w:pPr>
              <w:jc w:val="right"/>
              <w:ind w:right="396"/>
              <w:spacing w:after="0"/>
              <w:rPr>
                <w:sz w:val="20"/>
                <w:szCs w:val="20"/>
                <w:color w:val="auto"/>
              </w:rPr>
            </w:pPr>
            <w:r>
              <w:rPr>
                <w:rFonts w:ascii="Arial" w:cs="Arial" w:eastAsia="Arial" w:hAnsi="Arial"/>
                <w:sz w:val="17"/>
                <w:szCs w:val="17"/>
                <w:color w:val="auto"/>
              </w:rPr>
              <w:t>60%</w:t>
            </w:r>
          </w:p>
        </w:tc>
        <w:tc>
          <w:tcPr>
            <w:tcW w:w="1700" w:type="dxa"/>
            <w:vAlign w:val="bottom"/>
            <w:gridSpan w:val="2"/>
          </w:tcPr>
          <w:p>
            <w:pPr>
              <w:jc w:val="right"/>
              <w:ind w:right="476"/>
              <w:spacing w:after="0"/>
              <w:rPr>
                <w:sz w:val="20"/>
                <w:szCs w:val="20"/>
                <w:color w:val="auto"/>
              </w:rPr>
            </w:pPr>
            <w:r>
              <w:rPr>
                <w:rFonts w:ascii="Arial" w:cs="Arial" w:eastAsia="Arial" w:hAnsi="Arial"/>
                <w:sz w:val="17"/>
                <w:szCs w:val="17"/>
                <w:color w:val="auto"/>
              </w:rPr>
              <w:t>40%</w:t>
            </w:r>
          </w:p>
        </w:tc>
        <w:tc>
          <w:tcPr>
            <w:tcW w:w="1540" w:type="dxa"/>
            <w:vAlign w:val="bottom"/>
            <w:gridSpan w:val="2"/>
          </w:tcPr>
          <w:p>
            <w:pPr>
              <w:jc w:val="center"/>
              <w:ind w:left="196"/>
              <w:spacing w:after="0"/>
              <w:rPr>
                <w:sz w:val="20"/>
                <w:szCs w:val="20"/>
                <w:color w:val="auto"/>
              </w:rPr>
            </w:pPr>
            <w:r>
              <w:rPr>
                <w:rFonts w:ascii="Arial" w:cs="Arial" w:eastAsia="Arial" w:hAnsi="Arial"/>
                <w:sz w:val="17"/>
                <w:szCs w:val="17"/>
                <w:color w:val="auto"/>
                <w:w w:val="87"/>
              </w:rPr>
              <w:t>100%</w:t>
            </w:r>
          </w:p>
        </w:tc>
        <w:tc>
          <w:tcPr>
            <w:tcW w:w="1740" w:type="dxa"/>
            <w:vAlign w:val="bottom"/>
            <w:gridSpan w:val="2"/>
          </w:tcPr>
          <w:p>
            <w:pPr>
              <w:jc w:val="center"/>
              <w:ind w:left="196"/>
              <w:spacing w:after="0"/>
              <w:rPr>
                <w:sz w:val="20"/>
                <w:szCs w:val="20"/>
                <w:color w:val="auto"/>
              </w:rPr>
            </w:pPr>
            <w:r>
              <w:rPr>
                <w:rFonts w:ascii="Arial" w:cs="Arial" w:eastAsia="Arial" w:hAnsi="Arial"/>
                <w:sz w:val="17"/>
                <w:szCs w:val="17"/>
                <w:color w:val="auto"/>
                <w:w w:val="89"/>
              </w:rPr>
              <w:t>0%</w:t>
            </w:r>
          </w:p>
        </w:tc>
        <w:tc>
          <w:tcPr>
            <w:tcW w:w="180" w:type="dxa"/>
            <w:vAlign w:val="bottom"/>
          </w:tcPr>
          <w:p>
            <w:pPr>
              <w:spacing w:after="0"/>
              <w:rPr>
                <w:sz w:val="24"/>
                <w:szCs w:val="24"/>
                <w:color w:val="auto"/>
              </w:rPr>
            </w:pPr>
          </w:p>
        </w:tc>
      </w:tr>
    </w:tbl>
    <w:p>
      <w:pPr>
        <w:spacing w:after="0" w:line="77" w:lineRule="exact"/>
        <w:rPr>
          <w:sz w:val="20"/>
          <w:szCs w:val="20"/>
          <w:color w:val="auto"/>
        </w:rPr>
      </w:pPr>
    </w:p>
    <w:p>
      <w:pPr>
        <w:ind w:left="1660" w:right="120" w:hanging="515"/>
        <w:spacing w:after="0" w:line="194" w:lineRule="auto"/>
        <w:tabs>
          <w:tab w:leader="none" w:pos="166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 and her incentive compensation for the 2012 fiscal year has been prorated from that date.</w:t>
      </w:r>
    </w:p>
    <w:p>
      <w:pPr>
        <w:spacing w:after="0" w:line="212" w:lineRule="exact"/>
        <w:rPr>
          <w:rFonts w:ascii="Arial" w:cs="Arial" w:eastAsia="Arial" w:hAnsi="Arial"/>
          <w:sz w:val="28"/>
          <w:szCs w:val="28"/>
          <w:color w:val="auto"/>
          <w:vertAlign w:val="superscript"/>
        </w:rPr>
      </w:pPr>
    </w:p>
    <w:p>
      <w:pPr>
        <w:ind w:left="1660" w:right="240" w:hanging="515"/>
        <w:spacing w:after="0" w:line="194" w:lineRule="auto"/>
        <w:tabs>
          <w:tab w:leader="none" w:pos="166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Mr. Stiles resigned as Chief Financial Officer of the Company effective March 1, 2012 and did not receive any incentive compensation for the 2012 fiscal year.</w:t>
      </w:r>
    </w:p>
    <w:p>
      <w:pPr>
        <w:spacing w:after="0" w:line="200"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2012, our corporate scorecard was approved by our Board of Directors at our Board of Directors meeting on March 9, 2012. Certain amendments to our corporate scorecard were approved by our Board of Directors at subsequent Board of Directors meetings.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Our corporate scorecard for 2012, as amended, and corresponding achievement levels are detailed below:</w:t>
      </w: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2012 Corporate Scorecard Elements</w:t>
      </w:r>
    </w:p>
    <w:p>
      <w:pPr>
        <w:spacing w:after="0" w:line="22" w:lineRule="exact"/>
        <w:rPr>
          <w:sz w:val="20"/>
          <w:szCs w:val="20"/>
          <w:color w:val="auto"/>
        </w:rPr>
      </w:pPr>
    </w:p>
    <w:tbl>
      <w:tblPr>
        <w:tblLayout w:type="fixed"/>
        <w:tblInd w:w="1140" w:type="dxa"/>
        <w:tblCellMar>
          <w:top w:w="0" w:type="dxa"/>
          <w:left w:w="0" w:type="dxa"/>
          <w:bottom w:w="0" w:type="dxa"/>
          <w:right w:w="0" w:type="dxa"/>
        </w:tblCellMar>
      </w:tblPr>
      <w:tr>
        <w:trPr>
          <w:trHeight w:val="200"/>
        </w:trPr>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6"/>
              </w:rPr>
              <w:t>Achievement Levels</w:t>
            </w:r>
          </w:p>
        </w:tc>
        <w:tc>
          <w:tcPr>
            <w:tcW w:w="13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199"/>
        </w:trPr>
        <w:tc>
          <w:tcPr>
            <w:tcW w:w="118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Element</w:t>
            </w:r>
          </w:p>
        </w:tc>
        <w:tc>
          <w:tcPr>
            <w:tcW w:w="136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Threshold</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Target</w:t>
            </w: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1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Level Achieved</w:t>
            </w:r>
          </w:p>
        </w:tc>
      </w:tr>
      <w:tr>
        <w:trPr>
          <w:trHeight w:val="190"/>
        </w:trPr>
        <w:tc>
          <w:tcPr>
            <w:tcW w:w="3160" w:type="dxa"/>
            <w:vAlign w:val="bottom"/>
            <w:gridSpan w:val="3"/>
          </w:tcPr>
          <w:p>
            <w:pPr>
              <w:jc w:val="center"/>
              <w:ind w:right="180"/>
              <w:spacing w:after="0" w:line="190" w:lineRule="exact"/>
              <w:rPr>
                <w:sz w:val="20"/>
                <w:szCs w:val="20"/>
                <w:color w:val="auto"/>
              </w:rPr>
            </w:pPr>
            <w:r>
              <w:rPr>
                <w:rFonts w:ascii="Arial" w:cs="Arial" w:eastAsia="Arial" w:hAnsi="Arial"/>
                <w:sz w:val="17"/>
                <w:szCs w:val="17"/>
                <w:color w:val="auto"/>
                <w:w w:val="87"/>
              </w:rPr>
              <w:t>Achieve Service Revenue Target</w:t>
            </w:r>
          </w:p>
        </w:tc>
        <w:tc>
          <w:tcPr>
            <w:tcW w:w="1360" w:type="dxa"/>
            <w:vAlign w:val="bottom"/>
          </w:tcPr>
          <w:p>
            <w:pPr>
              <w:jc w:val="center"/>
              <w:spacing w:after="0" w:line="190" w:lineRule="exact"/>
              <w:rPr>
                <w:sz w:val="20"/>
                <w:szCs w:val="20"/>
                <w:color w:val="auto"/>
              </w:rPr>
            </w:pPr>
            <w:r>
              <w:rPr>
                <w:rFonts w:ascii="Arial" w:cs="Arial" w:eastAsia="Arial" w:hAnsi="Arial"/>
                <w:sz w:val="17"/>
                <w:szCs w:val="17"/>
                <w:color w:val="auto"/>
                <w:w w:val="95"/>
              </w:rPr>
              <w:t>$344.4 million</w:t>
            </w:r>
          </w:p>
        </w:tc>
        <w:tc>
          <w:tcPr>
            <w:tcW w:w="180" w:type="dxa"/>
            <w:vAlign w:val="bottom"/>
          </w:tcPr>
          <w:p>
            <w:pPr>
              <w:spacing w:after="0"/>
              <w:rPr>
                <w:sz w:val="16"/>
                <w:szCs w:val="16"/>
                <w:color w:val="auto"/>
              </w:rPr>
            </w:pPr>
          </w:p>
        </w:tc>
        <w:tc>
          <w:tcPr>
            <w:tcW w:w="1560" w:type="dxa"/>
            <w:vAlign w:val="bottom"/>
            <w:gridSpan w:val="2"/>
          </w:tcPr>
          <w:p>
            <w:pPr>
              <w:jc w:val="center"/>
              <w:ind w:right="180"/>
              <w:spacing w:after="0" w:line="190" w:lineRule="exact"/>
              <w:rPr>
                <w:sz w:val="20"/>
                <w:szCs w:val="20"/>
                <w:color w:val="auto"/>
              </w:rPr>
            </w:pPr>
            <w:r>
              <w:rPr>
                <w:rFonts w:ascii="Arial" w:cs="Arial" w:eastAsia="Arial" w:hAnsi="Arial"/>
                <w:sz w:val="17"/>
                <w:szCs w:val="17"/>
                <w:color w:val="auto"/>
                <w:w w:val="93"/>
              </w:rPr>
              <w:t>$405.1 million</w:t>
            </w:r>
          </w:p>
        </w:tc>
        <w:tc>
          <w:tcPr>
            <w:tcW w:w="1360" w:type="dxa"/>
            <w:vAlign w:val="bottom"/>
          </w:tcPr>
          <w:p>
            <w:pPr>
              <w:jc w:val="center"/>
              <w:spacing w:after="0" w:line="190" w:lineRule="exact"/>
              <w:rPr>
                <w:sz w:val="20"/>
                <w:szCs w:val="20"/>
                <w:color w:val="auto"/>
              </w:rPr>
            </w:pPr>
            <w:r>
              <w:rPr>
                <w:rFonts w:ascii="Arial" w:cs="Arial" w:eastAsia="Arial" w:hAnsi="Arial"/>
                <w:sz w:val="17"/>
                <w:szCs w:val="17"/>
                <w:color w:val="auto"/>
                <w:w w:val="93"/>
              </w:rPr>
              <w:t>$465.9 million</w:t>
            </w:r>
          </w:p>
        </w:tc>
        <w:tc>
          <w:tcPr>
            <w:tcW w:w="180" w:type="dxa"/>
            <w:vAlign w:val="bottom"/>
          </w:tcPr>
          <w:p>
            <w:pPr>
              <w:spacing w:after="0"/>
              <w:rPr>
                <w:sz w:val="16"/>
                <w:szCs w:val="16"/>
                <w:color w:val="auto"/>
              </w:rPr>
            </w:pPr>
          </w:p>
        </w:tc>
        <w:tc>
          <w:tcPr>
            <w:tcW w:w="1460" w:type="dxa"/>
            <w:vAlign w:val="bottom"/>
          </w:tcPr>
          <w:p>
            <w:pPr>
              <w:jc w:val="center"/>
              <w:spacing w:after="0" w:line="190" w:lineRule="exact"/>
              <w:rPr>
                <w:sz w:val="20"/>
                <w:szCs w:val="20"/>
                <w:color w:val="auto"/>
              </w:rPr>
            </w:pPr>
            <w:r>
              <w:rPr>
                <w:rFonts w:ascii="Arial" w:cs="Arial" w:eastAsia="Arial" w:hAnsi="Arial"/>
                <w:sz w:val="17"/>
                <w:szCs w:val="17"/>
                <w:color w:val="auto"/>
                <w:w w:val="93"/>
              </w:rPr>
              <w:t>$466.9 million -</w:t>
            </w:r>
          </w:p>
        </w:tc>
      </w:tr>
      <w:tr>
        <w:trPr>
          <w:trHeight w:val="213"/>
        </w:trPr>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Outstanding</w:t>
            </w:r>
          </w:p>
        </w:tc>
      </w:tr>
      <w:tr>
        <w:trPr>
          <w:trHeight w:val="431"/>
        </w:trPr>
        <w:tc>
          <w:tcPr>
            <w:tcW w:w="3160" w:type="dxa"/>
            <w:vAlign w:val="bottom"/>
            <w:gridSpan w:val="3"/>
          </w:tcPr>
          <w:p>
            <w:pPr>
              <w:jc w:val="center"/>
              <w:ind w:right="180"/>
              <w:spacing w:after="0"/>
              <w:rPr>
                <w:sz w:val="20"/>
                <w:szCs w:val="20"/>
                <w:color w:val="auto"/>
              </w:rPr>
            </w:pPr>
            <w:r>
              <w:rPr>
                <w:rFonts w:ascii="Arial" w:cs="Arial" w:eastAsia="Arial" w:hAnsi="Arial"/>
                <w:sz w:val="17"/>
                <w:szCs w:val="17"/>
                <w:color w:val="auto"/>
                <w:w w:val="87"/>
              </w:rPr>
              <w:t>Achieve EPS Target</w:t>
            </w: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$3.81 diluted EPS</w:t>
            </w:r>
          </w:p>
        </w:tc>
        <w:tc>
          <w:tcPr>
            <w:tcW w:w="18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$4.12 diluted EPS</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$4.43 diluted</w:t>
            </w:r>
          </w:p>
        </w:tc>
        <w:tc>
          <w:tcPr>
            <w:tcW w:w="1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0"/>
              </w:rPr>
              <w:t>$4.43 diluted EPS -</w:t>
            </w:r>
          </w:p>
        </w:tc>
      </w:tr>
      <w:tr>
        <w:trPr>
          <w:trHeight w:val="437"/>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33"/>
                <w:szCs w:val="33"/>
                <w:color w:val="auto"/>
                <w:w w:val="75"/>
                <w:vertAlign w:val="subscript"/>
              </w:rPr>
              <w:t>EPS</w:t>
            </w:r>
            <w:r>
              <w:rPr>
                <w:rFonts w:ascii="Arial" w:cs="Arial" w:eastAsia="Arial" w:hAnsi="Arial"/>
                <w:sz w:val="14"/>
                <w:szCs w:val="14"/>
                <w:color w:val="auto"/>
                <w:w w:val="75"/>
              </w:rPr>
              <w:t>(1)</w:t>
            </w:r>
          </w:p>
        </w:tc>
        <w:tc>
          <w:tcPr>
            <w:tcW w:w="1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Outstanding</w:t>
            </w:r>
          </w:p>
        </w:tc>
      </w:tr>
      <w:tr>
        <w:trPr>
          <w:trHeight w:val="246"/>
        </w:trPr>
        <w:tc>
          <w:tcPr>
            <w:tcW w:w="3160" w:type="dxa"/>
            <w:vAlign w:val="bottom"/>
            <w:gridSpan w:val="3"/>
          </w:tcPr>
          <w:p>
            <w:pPr>
              <w:jc w:val="center"/>
              <w:ind w:right="160"/>
              <w:spacing w:after="0"/>
              <w:rPr>
                <w:sz w:val="20"/>
                <w:szCs w:val="20"/>
                <w:color w:val="auto"/>
              </w:rPr>
            </w:pPr>
            <w:r>
              <w:rPr>
                <w:rFonts w:ascii="Arial" w:cs="Arial" w:eastAsia="Arial" w:hAnsi="Arial"/>
                <w:sz w:val="17"/>
                <w:szCs w:val="17"/>
                <w:color w:val="auto"/>
                <w:w w:val="88"/>
              </w:rPr>
              <w:t>Successfully complete the key strategic</w:t>
            </w: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80" w:type="dxa"/>
            <w:vAlign w:val="bottom"/>
          </w:tcPr>
          <w:p>
            <w:pPr>
              <w:spacing w:after="0"/>
              <w:rPr>
                <w:sz w:val="21"/>
                <w:szCs w:val="21"/>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See Strategic</w:t>
            </w: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r>
      <w:tr>
        <w:trPr>
          <w:trHeight w:val="213"/>
        </w:trPr>
        <w:tc>
          <w:tcPr>
            <w:tcW w:w="316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initiatives of the Company</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 below</w:t>
            </w:r>
          </w:p>
        </w:tc>
        <w:tc>
          <w:tcPr>
            <w:tcW w:w="1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Initiatives below</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 below</w:t>
            </w:r>
          </w:p>
        </w:tc>
        <w:tc>
          <w:tcPr>
            <w:tcW w:w="1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Initiatives below</w:t>
            </w:r>
          </w:p>
        </w:tc>
      </w:tr>
    </w:tbl>
    <w:p>
      <w:pPr>
        <w:spacing w:after="0" w:line="169" w:lineRule="exact"/>
        <w:rPr>
          <w:sz w:val="20"/>
          <w:szCs w:val="20"/>
          <w:color w:val="auto"/>
        </w:rPr>
      </w:pPr>
    </w:p>
    <w:p>
      <w:pPr>
        <w:ind w:left="1320" w:hanging="175"/>
        <w:spacing w:after="0"/>
        <w:tabs>
          <w:tab w:leader="none" w:pos="1320" w:val="left"/>
        </w:tabs>
        <w:numPr>
          <w:ilvl w:val="0"/>
          <w:numId w:val="26"/>
        </w:numPr>
        <w:rPr>
          <w:rFonts w:ascii="Arial" w:cs="Arial" w:eastAsia="Arial" w:hAnsi="Arial"/>
          <w:sz w:val="18"/>
          <w:szCs w:val="18"/>
          <w:color w:val="auto"/>
          <w:vertAlign w:val="superscript"/>
        </w:rPr>
      </w:pPr>
      <w:r>
        <w:rPr>
          <w:rFonts w:ascii="Arial" w:cs="Arial" w:eastAsia="Arial" w:hAnsi="Arial"/>
          <w:sz w:val="11"/>
          <w:szCs w:val="11"/>
          <w:color w:val="auto"/>
        </w:rPr>
        <w:t>At our Board of Directors meeting on February 12, 2013, the Board of Directors approved an amendment to the 2012 executive scorecards whereby the Outstanding achievement level was</w:t>
      </w:r>
    </w:p>
    <w:p>
      <w:pPr>
        <w:ind w:left="1140"/>
        <w:spacing w:after="0" w:line="231" w:lineRule="auto"/>
        <w:rPr>
          <w:rFonts w:ascii="Arial" w:cs="Arial" w:eastAsia="Arial" w:hAnsi="Arial"/>
          <w:sz w:val="18"/>
          <w:szCs w:val="18"/>
          <w:color w:val="auto"/>
          <w:vertAlign w:val="superscript"/>
        </w:rPr>
      </w:pPr>
      <w:r>
        <w:rPr>
          <w:rFonts w:ascii="Arial" w:cs="Arial" w:eastAsia="Arial" w:hAnsi="Arial"/>
          <w:sz w:val="13"/>
          <w:szCs w:val="13"/>
          <w:color w:val="auto"/>
        </w:rPr>
        <w:t>amended. The amendment was designed to adjust for (a) unbudgeted interest expense associated with the Company's $200 million senior secured term loan and (b) higher-than budgeted expenses associated with the rental property management business and the spin-offs of AAMC and Residential. In making its determination, the Board of Directors considered that service revenue, market capitalization and diluted EPS grew by 39%, 73% and 60% respectively in 2012 over 2011 and that the Company accomplished certain significant strategic initiatives in 2012 that we believe positions the Company to achieve sustained long-term growth.</w:t>
      </w:r>
    </w:p>
    <w:p>
      <w:pPr>
        <w:spacing w:after="0" w:line="183"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3175</wp:posOffset>
            </wp:positionV>
            <wp:extent cx="587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89"/>
              </w:rPr>
              <w:t>Levels of Achievement</w:t>
            </w: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Level</w:t>
            </w:r>
          </w:p>
        </w:tc>
        <w:tc>
          <w:tcPr>
            <w:tcW w:w="0" w:type="dxa"/>
            <w:vAlign w:val="bottom"/>
          </w:tcPr>
          <w:p>
            <w:pPr>
              <w:spacing w:after="0"/>
              <w:rPr>
                <w:sz w:val="1"/>
                <w:szCs w:val="1"/>
                <w:color w:val="auto"/>
              </w:rPr>
            </w:pPr>
          </w:p>
        </w:tc>
      </w:tr>
      <w:tr>
        <w:trPr>
          <w:trHeight w:val="135"/>
        </w:trPr>
        <w:tc>
          <w:tcPr>
            <w:tcW w:w="240" w:type="dxa"/>
            <w:vAlign w:val="bottom"/>
            <w:vMerge w:val="restart"/>
          </w:tcPr>
          <w:p>
            <w:pPr>
              <w:jc w:val="right"/>
              <w:ind w:right="76"/>
              <w:spacing w:after="0"/>
              <w:rPr>
                <w:sz w:val="20"/>
                <w:szCs w:val="20"/>
                <w:color w:val="auto"/>
              </w:rPr>
            </w:pPr>
            <w:r>
              <w:rPr>
                <w:rFonts w:ascii="Arial" w:cs="Arial" w:eastAsia="Arial" w:hAnsi="Arial"/>
                <w:sz w:val="13"/>
                <w:szCs w:val="13"/>
                <w:color w:val="auto"/>
                <w:w w:val="73"/>
              </w:rPr>
              <w:t>1.</w:t>
            </w:r>
          </w:p>
        </w:tc>
        <w:tc>
          <w:tcPr>
            <w:tcW w:w="1220" w:type="dxa"/>
            <w:vAlign w:val="bottom"/>
          </w:tcPr>
          <w:p>
            <w:pPr>
              <w:spacing w:after="0"/>
              <w:rPr>
                <w:sz w:val="11"/>
                <w:szCs w:val="11"/>
                <w:color w:val="auto"/>
              </w:rPr>
            </w:pPr>
          </w:p>
        </w:tc>
        <w:tc>
          <w:tcPr>
            <w:tcW w:w="500" w:type="dxa"/>
            <w:vAlign w:val="bottom"/>
            <w:tcBorders>
              <w:bottom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w w:val="90"/>
              </w:rPr>
              <w:t>Element</w:t>
            </w:r>
          </w:p>
        </w:tc>
        <w:tc>
          <w:tcPr>
            <w:tcW w:w="162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Threshold</w:t>
            </w:r>
          </w:p>
        </w:tc>
        <w:tc>
          <w:tcPr>
            <w:tcW w:w="140" w:type="dxa"/>
            <w:vAlign w:val="bottom"/>
          </w:tcPr>
          <w:p>
            <w:pPr>
              <w:spacing w:after="0"/>
              <w:rPr>
                <w:sz w:val="11"/>
                <w:szCs w:val="11"/>
                <w:color w:val="auto"/>
              </w:rPr>
            </w:pPr>
          </w:p>
        </w:tc>
        <w:tc>
          <w:tcPr>
            <w:tcW w:w="144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0"/>
              </w:rPr>
              <w:t>Target</w:t>
            </w:r>
          </w:p>
        </w:tc>
        <w:tc>
          <w:tcPr>
            <w:tcW w:w="16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Achieved</w:t>
            </w:r>
          </w:p>
        </w:tc>
        <w:tc>
          <w:tcPr>
            <w:tcW w:w="0" w:type="dxa"/>
            <w:vAlign w:val="bottom"/>
          </w:tcPr>
          <w:p>
            <w:pPr>
              <w:spacing w:after="0"/>
              <w:rPr>
                <w:sz w:val="1"/>
                <w:szCs w:val="1"/>
                <w:color w:val="auto"/>
              </w:rPr>
            </w:pPr>
          </w:p>
        </w:tc>
      </w:tr>
      <w:tr>
        <w:trPr>
          <w:trHeight w:val="126"/>
        </w:trPr>
        <w:tc>
          <w:tcPr>
            <w:tcW w:w="240" w:type="dxa"/>
            <w:vAlign w:val="bottom"/>
            <w:vMerge w:val="continue"/>
          </w:tcPr>
          <w:p>
            <w:pPr>
              <w:spacing w:after="0"/>
              <w:rPr>
                <w:sz w:val="10"/>
                <w:szCs w:val="10"/>
                <w:color w:val="auto"/>
              </w:rPr>
            </w:pPr>
          </w:p>
        </w:tc>
        <w:tc>
          <w:tcPr>
            <w:tcW w:w="1720" w:type="dxa"/>
            <w:vAlign w:val="bottom"/>
            <w:gridSpan w:val="2"/>
          </w:tcPr>
          <w:p>
            <w:pPr>
              <w:ind w:left="140"/>
              <w:spacing w:after="0" w:line="126" w:lineRule="exact"/>
              <w:rPr>
                <w:sz w:val="20"/>
                <w:szCs w:val="20"/>
                <w:color w:val="auto"/>
              </w:rPr>
            </w:pPr>
            <w:r>
              <w:rPr>
                <w:rFonts w:ascii="Arial" w:cs="Arial" w:eastAsia="Arial" w:hAnsi="Arial"/>
                <w:sz w:val="13"/>
                <w:szCs w:val="13"/>
                <w:color w:val="auto"/>
              </w:rPr>
              <w:t>Improve REO timelines</w:t>
            </w:r>
          </w:p>
        </w:tc>
        <w:tc>
          <w:tcPr>
            <w:tcW w:w="1620" w:type="dxa"/>
            <w:vAlign w:val="bottom"/>
          </w:tcPr>
          <w:p>
            <w:pPr>
              <w:spacing w:after="0"/>
              <w:rPr>
                <w:sz w:val="10"/>
                <w:szCs w:val="10"/>
                <w:color w:val="auto"/>
              </w:rPr>
            </w:pPr>
          </w:p>
        </w:tc>
        <w:tc>
          <w:tcPr>
            <w:tcW w:w="1460" w:type="dxa"/>
            <w:vAlign w:val="bottom"/>
          </w:tcPr>
          <w:p>
            <w:pPr>
              <w:jc w:val="center"/>
              <w:spacing w:after="0" w:line="126" w:lineRule="exact"/>
              <w:rPr>
                <w:sz w:val="20"/>
                <w:szCs w:val="20"/>
                <w:color w:val="auto"/>
              </w:rPr>
            </w:pPr>
            <w:r>
              <w:rPr>
                <w:rFonts w:ascii="Arial" w:cs="Arial" w:eastAsia="Arial" w:hAnsi="Arial"/>
                <w:sz w:val="13"/>
                <w:szCs w:val="13"/>
                <w:color w:val="auto"/>
                <w:w w:val="90"/>
              </w:rPr>
              <w:t>Achieve</w:t>
            </w:r>
          </w:p>
        </w:tc>
        <w:tc>
          <w:tcPr>
            <w:tcW w:w="14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10"/>
                <w:szCs w:val="10"/>
                <w:color w:val="auto"/>
              </w:rPr>
            </w:pPr>
          </w:p>
        </w:tc>
        <w:tc>
          <w:tcPr>
            <w:tcW w:w="1580" w:type="dxa"/>
            <w:vAlign w:val="bottom"/>
          </w:tcPr>
          <w:p>
            <w:pPr>
              <w:jc w:val="center"/>
              <w:spacing w:after="0" w:line="126" w:lineRule="exact"/>
              <w:rPr>
                <w:sz w:val="20"/>
                <w:szCs w:val="20"/>
                <w:color w:val="auto"/>
              </w:rPr>
            </w:pPr>
            <w:r>
              <w:rPr>
                <w:rFonts w:ascii="Arial" w:cs="Arial" w:eastAsia="Arial" w:hAnsi="Arial"/>
                <w:sz w:val="13"/>
                <w:szCs w:val="13"/>
                <w:color w:val="auto"/>
                <w:w w:val="95"/>
              </w:rPr>
              <w:t>Achieve</w:t>
            </w:r>
          </w:p>
        </w:tc>
        <w:tc>
          <w:tcPr>
            <w:tcW w:w="14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3"/>
                <w:szCs w:val="13"/>
                <w:color w:val="auto"/>
                <w:w w:val="85"/>
              </w:rPr>
              <w:t>Target</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threshold</w:t>
            </w:r>
          </w:p>
        </w:tc>
        <w:tc>
          <w:tcPr>
            <w:tcW w:w="14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target</w:t>
            </w:r>
          </w:p>
        </w:tc>
        <w:tc>
          <w:tcPr>
            <w:tcW w:w="16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outstanding</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3"/>
              </w:rPr>
              <w:t>level timelines</w:t>
            </w:r>
          </w:p>
        </w:tc>
        <w:tc>
          <w:tcPr>
            <w:tcW w:w="1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3"/>
              </w:rPr>
              <w:t>level timelines</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3"/>
              </w:rPr>
              <w:t>level timelines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240" w:type="dxa"/>
            <w:vAlign w:val="bottom"/>
          </w:tcPr>
          <w:p>
            <w:pPr>
              <w:jc w:val="right"/>
              <w:ind w:right="76"/>
              <w:spacing w:after="0"/>
              <w:rPr>
                <w:sz w:val="20"/>
                <w:szCs w:val="20"/>
                <w:color w:val="auto"/>
              </w:rPr>
            </w:pPr>
            <w:r>
              <w:rPr>
                <w:rFonts w:ascii="Arial" w:cs="Arial" w:eastAsia="Arial" w:hAnsi="Arial"/>
                <w:sz w:val="13"/>
                <w:szCs w:val="13"/>
                <w:color w:val="auto"/>
                <w:w w:val="73"/>
              </w:rPr>
              <w:t>2.</w:t>
            </w:r>
          </w:p>
        </w:tc>
        <w:tc>
          <w:tcPr>
            <w:tcW w:w="3340" w:type="dxa"/>
            <w:vAlign w:val="bottom"/>
            <w:gridSpan w:val="3"/>
          </w:tcPr>
          <w:p>
            <w:pPr>
              <w:ind w:left="140"/>
              <w:spacing w:after="0"/>
              <w:rPr>
                <w:sz w:val="20"/>
                <w:szCs w:val="20"/>
                <w:color w:val="auto"/>
              </w:rPr>
            </w:pPr>
            <w:r>
              <w:rPr>
                <w:rFonts w:ascii="Arial" w:cs="Arial" w:eastAsia="Arial" w:hAnsi="Arial"/>
                <w:sz w:val="13"/>
                <w:szCs w:val="13"/>
                <w:color w:val="auto"/>
              </w:rPr>
              <w:t>Enhance recruiting, training and business unit floor</w:t>
            </w:r>
          </w:p>
        </w:tc>
        <w:tc>
          <w:tcPr>
            <w:tcW w:w="1460" w:type="dxa"/>
            <w:vAlign w:val="bottom"/>
          </w:tcPr>
          <w:p>
            <w:pPr>
              <w:jc w:val="center"/>
              <w:spacing w:after="0"/>
              <w:rPr>
                <w:sz w:val="20"/>
                <w:szCs w:val="20"/>
                <w:color w:val="auto"/>
              </w:rPr>
            </w:pPr>
            <w:r>
              <w:rPr>
                <w:rFonts w:ascii="Arial" w:cs="Arial" w:eastAsia="Arial" w:hAnsi="Arial"/>
                <w:sz w:val="13"/>
                <w:szCs w:val="13"/>
                <w:color w:val="auto"/>
                <w:w w:val="91"/>
              </w:rPr>
              <w:t>5% improvement in</w:t>
            </w: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10% improvement in</w:t>
            </w:r>
          </w:p>
        </w:tc>
        <w:tc>
          <w:tcPr>
            <w:tcW w:w="1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1"/>
              </w:rPr>
              <w:t>15% improvement in</w:t>
            </w: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Outstanding</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3340" w:type="dxa"/>
            <w:vAlign w:val="bottom"/>
            <w:gridSpan w:val="3"/>
          </w:tcPr>
          <w:p>
            <w:pPr>
              <w:ind w:left="140"/>
              <w:spacing w:after="0" w:line="142" w:lineRule="exact"/>
              <w:rPr>
                <w:sz w:val="20"/>
                <w:szCs w:val="20"/>
                <w:color w:val="auto"/>
              </w:rPr>
            </w:pPr>
            <w:r>
              <w:rPr>
                <w:rFonts w:ascii="Arial" w:cs="Arial" w:eastAsia="Arial" w:hAnsi="Arial"/>
                <w:sz w:val="13"/>
                <w:szCs w:val="13"/>
                <w:color w:val="auto"/>
                <w:w w:val="96"/>
              </w:rPr>
              <w:t>transition processes to increase pull through and improve</w:t>
            </w:r>
          </w:p>
        </w:tc>
        <w:tc>
          <w:tcPr>
            <w:tcW w:w="1460" w:type="dxa"/>
            <w:vAlign w:val="bottom"/>
          </w:tcPr>
          <w:p>
            <w:pPr>
              <w:jc w:val="center"/>
              <w:spacing w:after="0" w:line="142" w:lineRule="exact"/>
              <w:rPr>
                <w:sz w:val="20"/>
                <w:szCs w:val="20"/>
                <w:color w:val="auto"/>
              </w:rPr>
            </w:pPr>
            <w:r>
              <w:rPr>
                <w:rFonts w:ascii="Arial" w:cs="Arial" w:eastAsia="Arial" w:hAnsi="Arial"/>
                <w:sz w:val="13"/>
                <w:szCs w:val="13"/>
                <w:color w:val="auto"/>
                <w:w w:val="94"/>
              </w:rPr>
              <w:t>pull through</w:t>
            </w:r>
          </w:p>
        </w:tc>
        <w:tc>
          <w:tcPr>
            <w:tcW w:w="14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94"/>
              </w:rPr>
              <w:t>pull through</w:t>
            </w:r>
          </w:p>
        </w:tc>
        <w:tc>
          <w:tcPr>
            <w:tcW w:w="16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3"/>
                <w:szCs w:val="13"/>
                <w:color w:val="auto"/>
                <w:w w:val="94"/>
              </w:rPr>
              <w:t>pull through</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3340" w:type="dxa"/>
            <w:vAlign w:val="bottom"/>
            <w:gridSpan w:val="3"/>
          </w:tcPr>
          <w:p>
            <w:pPr>
              <w:ind w:left="140"/>
              <w:spacing w:after="0"/>
              <w:rPr>
                <w:sz w:val="20"/>
                <w:szCs w:val="20"/>
                <w:color w:val="auto"/>
              </w:rPr>
            </w:pPr>
            <w:r>
              <w:rPr>
                <w:rFonts w:ascii="Arial" w:cs="Arial" w:eastAsia="Arial" w:hAnsi="Arial"/>
                <w:sz w:val="13"/>
                <w:szCs w:val="13"/>
                <w:color w:val="auto"/>
              </w:rPr>
              <w:t>retention and performance</w:t>
            </w: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240" w:type="dxa"/>
            <w:vAlign w:val="bottom"/>
          </w:tcPr>
          <w:p>
            <w:pPr>
              <w:jc w:val="right"/>
              <w:ind w:right="76"/>
              <w:spacing w:after="0"/>
              <w:rPr>
                <w:sz w:val="20"/>
                <w:szCs w:val="20"/>
                <w:color w:val="auto"/>
              </w:rPr>
            </w:pPr>
            <w:r>
              <w:rPr>
                <w:rFonts w:ascii="Arial" w:cs="Arial" w:eastAsia="Arial" w:hAnsi="Arial"/>
                <w:sz w:val="13"/>
                <w:szCs w:val="13"/>
                <w:color w:val="auto"/>
                <w:w w:val="73"/>
              </w:rPr>
              <w:t>3.</w:t>
            </w:r>
          </w:p>
        </w:tc>
        <w:tc>
          <w:tcPr>
            <w:tcW w:w="3340" w:type="dxa"/>
            <w:vAlign w:val="bottom"/>
            <w:gridSpan w:val="3"/>
          </w:tcPr>
          <w:p>
            <w:pPr>
              <w:ind w:left="140"/>
              <w:spacing w:after="0"/>
              <w:rPr>
                <w:sz w:val="20"/>
                <w:szCs w:val="20"/>
                <w:color w:val="auto"/>
              </w:rPr>
            </w:pPr>
            <w:r>
              <w:rPr>
                <w:rFonts w:ascii="Arial" w:cs="Arial" w:eastAsia="Arial" w:hAnsi="Arial"/>
                <w:sz w:val="13"/>
                <w:szCs w:val="13"/>
                <w:color w:val="auto"/>
              </w:rPr>
              <w:t>Enhance quality of business product and process for</w:t>
            </w:r>
          </w:p>
        </w:tc>
        <w:tc>
          <w:tcPr>
            <w:tcW w:w="1460" w:type="dxa"/>
            <w:vAlign w:val="bottom"/>
          </w:tcPr>
          <w:p>
            <w:pPr>
              <w:jc w:val="center"/>
              <w:spacing w:after="0"/>
              <w:rPr>
                <w:sz w:val="20"/>
                <w:szCs w:val="20"/>
                <w:color w:val="auto"/>
              </w:rPr>
            </w:pPr>
            <w:r>
              <w:rPr>
                <w:rFonts w:ascii="Arial" w:cs="Arial" w:eastAsia="Arial" w:hAnsi="Arial"/>
                <w:sz w:val="13"/>
                <w:szCs w:val="13"/>
                <w:color w:val="auto"/>
                <w:w w:val="90"/>
              </w:rPr>
              <w:t>Achieve</w:t>
            </w: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Outstanding</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3340" w:type="dxa"/>
            <w:vAlign w:val="bottom"/>
            <w:gridSpan w:val="3"/>
          </w:tcPr>
          <w:p>
            <w:pPr>
              <w:ind w:left="140"/>
              <w:spacing w:after="0" w:line="142" w:lineRule="exact"/>
              <w:rPr>
                <w:sz w:val="20"/>
                <w:szCs w:val="20"/>
                <w:color w:val="auto"/>
              </w:rPr>
            </w:pPr>
            <w:r>
              <w:rPr>
                <w:rFonts w:ascii="Arial" w:cs="Arial" w:eastAsia="Arial" w:hAnsi="Arial"/>
                <w:sz w:val="13"/>
                <w:szCs w:val="13"/>
                <w:color w:val="auto"/>
              </w:rPr>
              <w:t>respective business department(s)</w:t>
            </w:r>
          </w:p>
        </w:tc>
        <w:tc>
          <w:tcPr>
            <w:tcW w:w="146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threshold</w:t>
            </w:r>
          </w:p>
        </w:tc>
        <w:tc>
          <w:tcPr>
            <w:tcW w:w="14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target</w:t>
            </w:r>
          </w:p>
        </w:tc>
        <w:tc>
          <w:tcPr>
            <w:tcW w:w="16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outstanding</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4"/>
              </w:rPr>
              <w:t>quality level</w:t>
            </w:r>
          </w:p>
        </w:tc>
        <w:tc>
          <w:tcPr>
            <w:tcW w:w="1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quality level</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4"/>
              </w:rPr>
              <w:t>quality level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240" w:type="dxa"/>
            <w:vAlign w:val="bottom"/>
          </w:tcPr>
          <w:p>
            <w:pPr>
              <w:jc w:val="right"/>
              <w:ind w:right="76"/>
              <w:spacing w:after="0"/>
              <w:rPr>
                <w:sz w:val="20"/>
                <w:szCs w:val="20"/>
                <w:color w:val="auto"/>
              </w:rPr>
            </w:pPr>
            <w:r>
              <w:rPr>
                <w:rFonts w:ascii="Arial" w:cs="Arial" w:eastAsia="Arial" w:hAnsi="Arial"/>
                <w:sz w:val="13"/>
                <w:szCs w:val="13"/>
                <w:color w:val="auto"/>
                <w:w w:val="73"/>
              </w:rPr>
              <w:t>4.</w:t>
            </w:r>
          </w:p>
        </w:tc>
        <w:tc>
          <w:tcPr>
            <w:tcW w:w="3340" w:type="dxa"/>
            <w:vAlign w:val="bottom"/>
            <w:gridSpan w:val="3"/>
          </w:tcPr>
          <w:p>
            <w:pPr>
              <w:ind w:left="140"/>
              <w:spacing w:after="0"/>
              <w:rPr>
                <w:sz w:val="20"/>
                <w:szCs w:val="20"/>
                <w:color w:val="auto"/>
              </w:rPr>
            </w:pPr>
            <w:r>
              <w:rPr>
                <w:rFonts w:ascii="Arial" w:cs="Arial" w:eastAsia="Arial" w:hAnsi="Arial"/>
                <w:sz w:val="13"/>
                <w:szCs w:val="13"/>
                <w:color w:val="auto"/>
              </w:rPr>
              <w:t>Launch rental property management business</w:t>
            </w:r>
          </w:p>
        </w:tc>
        <w:tc>
          <w:tcPr>
            <w:tcW w:w="1460" w:type="dxa"/>
            <w:vAlign w:val="bottom"/>
          </w:tcPr>
          <w:p>
            <w:pPr>
              <w:jc w:val="center"/>
              <w:spacing w:after="0"/>
              <w:rPr>
                <w:sz w:val="20"/>
                <w:szCs w:val="20"/>
                <w:color w:val="auto"/>
              </w:rPr>
            </w:pPr>
            <w:r>
              <w:rPr>
                <w:rFonts w:ascii="Arial" w:cs="Arial" w:eastAsia="Arial" w:hAnsi="Arial"/>
                <w:sz w:val="13"/>
                <w:szCs w:val="13"/>
                <w:color w:val="auto"/>
                <w:w w:val="89"/>
              </w:rPr>
              <w:t>As determined by the</w:t>
            </w: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9"/>
              </w:rPr>
              <w:t>As determined by the</w:t>
            </w:r>
          </w:p>
        </w:tc>
        <w:tc>
          <w:tcPr>
            <w:tcW w:w="1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89"/>
              </w:rPr>
              <w:t>As determined by the</w:t>
            </w: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Outstanding</w:t>
            </w: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240" w:type="dxa"/>
            <w:vAlign w:val="bottom"/>
          </w:tcPr>
          <w:p>
            <w:pPr>
              <w:jc w:val="right"/>
              <w:ind w:right="76"/>
              <w:spacing w:after="0"/>
              <w:rPr>
                <w:sz w:val="20"/>
                <w:szCs w:val="20"/>
                <w:color w:val="auto"/>
              </w:rPr>
            </w:pPr>
            <w:r>
              <w:rPr>
                <w:rFonts w:ascii="Arial" w:cs="Arial" w:eastAsia="Arial" w:hAnsi="Arial"/>
                <w:sz w:val="13"/>
                <w:szCs w:val="13"/>
                <w:color w:val="auto"/>
                <w:w w:val="73"/>
              </w:rPr>
              <w:t>5.</w:t>
            </w:r>
          </w:p>
        </w:tc>
        <w:tc>
          <w:tcPr>
            <w:tcW w:w="3340" w:type="dxa"/>
            <w:vAlign w:val="bottom"/>
            <w:gridSpan w:val="3"/>
          </w:tcPr>
          <w:p>
            <w:pPr>
              <w:ind w:left="140"/>
              <w:spacing w:after="0"/>
              <w:rPr>
                <w:sz w:val="20"/>
                <w:szCs w:val="20"/>
                <w:color w:val="auto"/>
              </w:rPr>
            </w:pPr>
            <w:r>
              <w:rPr>
                <w:rFonts w:ascii="Arial" w:cs="Arial" w:eastAsia="Arial" w:hAnsi="Arial"/>
                <w:sz w:val="13"/>
                <w:szCs w:val="13"/>
                <w:color w:val="auto"/>
                <w:w w:val="97"/>
              </w:rPr>
              <w:t>Create and implement an efficient legal and tax structure</w:t>
            </w:r>
          </w:p>
        </w:tc>
        <w:tc>
          <w:tcPr>
            <w:tcW w:w="1460" w:type="dxa"/>
            <w:vAlign w:val="bottom"/>
          </w:tcPr>
          <w:p>
            <w:pPr>
              <w:jc w:val="center"/>
              <w:spacing w:after="0"/>
              <w:rPr>
                <w:sz w:val="20"/>
                <w:szCs w:val="20"/>
                <w:color w:val="auto"/>
              </w:rPr>
            </w:pPr>
            <w:r>
              <w:rPr>
                <w:rFonts w:ascii="Arial" w:cs="Arial" w:eastAsia="Arial" w:hAnsi="Arial"/>
                <w:sz w:val="13"/>
                <w:szCs w:val="13"/>
                <w:color w:val="auto"/>
                <w:w w:val="89"/>
              </w:rPr>
              <w:t>As determined by the</w:t>
            </w: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9"/>
              </w:rPr>
              <w:t>As determined by the</w:t>
            </w:r>
          </w:p>
        </w:tc>
        <w:tc>
          <w:tcPr>
            <w:tcW w:w="1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89"/>
              </w:rPr>
              <w:t>As determined by the</w:t>
            </w: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Outstanding</w:t>
            </w: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3340" w:type="dxa"/>
            <w:vAlign w:val="bottom"/>
            <w:gridSpan w:val="3"/>
          </w:tcPr>
          <w:p>
            <w:pPr>
              <w:ind w:left="140"/>
              <w:spacing w:after="0"/>
              <w:rPr>
                <w:sz w:val="20"/>
                <w:szCs w:val="20"/>
                <w:color w:val="auto"/>
              </w:rPr>
            </w:pPr>
            <w:r>
              <w:rPr>
                <w:rFonts w:ascii="Arial" w:cs="Arial" w:eastAsia="Arial" w:hAnsi="Arial"/>
                <w:sz w:val="13"/>
                <w:szCs w:val="13"/>
                <w:color w:val="auto"/>
              </w:rPr>
              <w:t>for the rental business</w:t>
            </w:r>
          </w:p>
        </w:tc>
        <w:tc>
          <w:tcPr>
            <w:tcW w:w="146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jc w:val="center"/>
        <w:ind w:right="-299"/>
        <w:spacing w:after="0"/>
        <w:rPr>
          <w:sz w:val="20"/>
          <w:szCs w:val="20"/>
          <w:color w:val="auto"/>
        </w:rPr>
      </w:pPr>
      <w:r>
        <w:rPr>
          <w:rFonts w:ascii="Arial" w:cs="Arial" w:eastAsia="Arial" w:hAnsi="Arial"/>
          <w:sz w:val="13"/>
          <w:szCs w:val="13"/>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3175</wp:posOffset>
            </wp:positionV>
            <wp:extent cx="587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89"/>
              </w:rPr>
              <w:t>Levels of Achievement</w:t>
            </w: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Level</w:t>
            </w:r>
          </w:p>
        </w:tc>
      </w:tr>
      <w:tr>
        <w:trPr>
          <w:trHeight w:val="135"/>
        </w:trPr>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180" w:type="dxa"/>
            <w:vAlign w:val="bottom"/>
            <w:gridSpan w:val="3"/>
          </w:tcPr>
          <w:p>
            <w:pPr>
              <w:jc w:val="center"/>
              <w:ind w:right="1616"/>
              <w:spacing w:after="0" w:line="134" w:lineRule="exact"/>
              <w:rPr>
                <w:sz w:val="20"/>
                <w:szCs w:val="20"/>
                <w:color w:val="auto"/>
              </w:rPr>
            </w:pPr>
            <w:r>
              <w:rPr>
                <w:rFonts w:ascii="Arial" w:cs="Arial" w:eastAsia="Arial" w:hAnsi="Arial"/>
                <w:sz w:val="13"/>
                <w:szCs w:val="13"/>
                <w:b w:val="1"/>
                <w:bCs w:val="1"/>
                <w:color w:val="auto"/>
                <w:w w:val="90"/>
              </w:rPr>
              <w:t>Element</w:t>
            </w:r>
          </w:p>
        </w:tc>
        <w:tc>
          <w:tcPr>
            <w:tcW w:w="14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Threshold</w:t>
            </w:r>
          </w:p>
        </w:tc>
        <w:tc>
          <w:tcPr>
            <w:tcW w:w="160" w:type="dxa"/>
            <w:vAlign w:val="bottom"/>
          </w:tcPr>
          <w:p>
            <w:pPr>
              <w:spacing w:after="0"/>
              <w:rPr>
                <w:sz w:val="11"/>
                <w:szCs w:val="11"/>
                <w:color w:val="auto"/>
              </w:rPr>
            </w:pPr>
          </w:p>
        </w:tc>
        <w:tc>
          <w:tcPr>
            <w:tcW w:w="14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Target</w:t>
            </w:r>
          </w:p>
        </w:tc>
        <w:tc>
          <w:tcPr>
            <w:tcW w:w="160" w:type="dxa"/>
            <w:vAlign w:val="bottom"/>
          </w:tcPr>
          <w:p>
            <w:pPr>
              <w:spacing w:after="0"/>
              <w:rPr>
                <w:sz w:val="11"/>
                <w:szCs w:val="11"/>
                <w:color w:val="auto"/>
              </w:rPr>
            </w:pPr>
          </w:p>
        </w:tc>
        <w:tc>
          <w:tcPr>
            <w:tcW w:w="15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6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6"/>
              </w:rPr>
              <w:t>Achieved</w:t>
            </w:r>
          </w:p>
        </w:tc>
      </w:tr>
      <w:tr>
        <w:trPr>
          <w:trHeight w:val="126"/>
        </w:trPr>
        <w:tc>
          <w:tcPr>
            <w:tcW w:w="280" w:type="dxa"/>
            <w:vAlign w:val="bottom"/>
          </w:tcPr>
          <w:p>
            <w:pPr>
              <w:spacing w:after="0" w:line="126" w:lineRule="exact"/>
              <w:rPr>
                <w:sz w:val="20"/>
                <w:szCs w:val="20"/>
                <w:color w:val="auto"/>
              </w:rPr>
            </w:pPr>
            <w:r>
              <w:rPr>
                <w:rFonts w:ascii="Arial" w:cs="Arial" w:eastAsia="Arial" w:hAnsi="Arial"/>
                <w:sz w:val="13"/>
                <w:szCs w:val="13"/>
                <w:color w:val="auto"/>
              </w:rPr>
              <w:t>6.</w:t>
            </w:r>
          </w:p>
        </w:tc>
        <w:tc>
          <w:tcPr>
            <w:tcW w:w="1240" w:type="dxa"/>
            <w:vAlign w:val="bottom"/>
          </w:tcPr>
          <w:p>
            <w:pPr>
              <w:ind w:left="100"/>
              <w:spacing w:after="0" w:line="126" w:lineRule="exact"/>
              <w:rPr>
                <w:sz w:val="20"/>
                <w:szCs w:val="20"/>
                <w:color w:val="auto"/>
              </w:rPr>
            </w:pPr>
            <w:r>
              <w:rPr>
                <w:rFonts w:ascii="Arial" w:cs="Arial" w:eastAsia="Arial" w:hAnsi="Arial"/>
                <w:sz w:val="13"/>
                <w:szCs w:val="13"/>
                <w:color w:val="auto"/>
                <w:w w:val="97"/>
              </w:rPr>
              <w:t>Improve foreclosure</w:t>
            </w:r>
          </w:p>
        </w:tc>
        <w:tc>
          <w:tcPr>
            <w:tcW w:w="5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3"/>
                <w:szCs w:val="13"/>
                <w:color w:val="auto"/>
                <w:w w:val="73"/>
              </w:rPr>
              <w:t>process and</w:t>
            </w:r>
          </w:p>
        </w:tc>
        <w:tc>
          <w:tcPr>
            <w:tcW w:w="1660" w:type="dxa"/>
            <w:vAlign w:val="bottom"/>
          </w:tcPr>
          <w:p>
            <w:pPr>
              <w:ind w:left="60"/>
              <w:spacing w:after="0" w:line="126" w:lineRule="exact"/>
              <w:rPr>
                <w:sz w:val="20"/>
                <w:szCs w:val="20"/>
                <w:color w:val="auto"/>
              </w:rPr>
            </w:pPr>
            <w:r>
              <w:rPr>
                <w:rFonts w:ascii="Arial" w:cs="Arial" w:eastAsia="Arial" w:hAnsi="Arial"/>
                <w:sz w:val="13"/>
                <w:szCs w:val="13"/>
                <w:color w:val="auto"/>
              </w:rPr>
              <w:t>maintain quality</w:t>
            </w:r>
          </w:p>
        </w:tc>
        <w:tc>
          <w:tcPr>
            <w:tcW w:w="14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10"/>
                <w:szCs w:val="10"/>
                <w:color w:val="auto"/>
              </w:rPr>
            </w:pPr>
          </w:p>
        </w:tc>
        <w:tc>
          <w:tcPr>
            <w:tcW w:w="15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10"/>
                <w:szCs w:val="10"/>
                <w:color w:val="auto"/>
              </w:rPr>
            </w:pPr>
          </w:p>
        </w:tc>
        <w:tc>
          <w:tcPr>
            <w:tcW w:w="6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2"/>
              </w:rPr>
              <w:t>Above</w:t>
            </w:r>
          </w:p>
        </w:tc>
      </w:tr>
      <w:tr>
        <w:trPr>
          <w:trHeight w:val="137"/>
        </w:trPr>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87"/>
              </w:rPr>
              <w:t>predetermined threshold</w:t>
            </w:r>
          </w:p>
        </w:tc>
        <w:tc>
          <w:tcPr>
            <w:tcW w:w="16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89"/>
              </w:rPr>
              <w:t>predetermined target</w:t>
            </w:r>
          </w:p>
        </w:tc>
        <w:tc>
          <w:tcPr>
            <w:tcW w:w="16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Arial" w:cs="Arial" w:eastAsia="Arial" w:hAnsi="Arial"/>
                <w:sz w:val="13"/>
                <w:szCs w:val="13"/>
                <w:color w:val="auto"/>
                <w:w w:val="87"/>
              </w:rPr>
              <w:t>predetermined outstanding</w:t>
            </w:r>
          </w:p>
        </w:tc>
        <w:tc>
          <w:tcPr>
            <w:tcW w:w="16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84"/>
              </w:rPr>
              <w:t>Target at</w:t>
            </w:r>
          </w:p>
        </w:tc>
      </w:tr>
      <w:tr>
        <w:trPr>
          <w:trHeight w:val="155"/>
        </w:trPr>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level of performance</w:t>
            </w:r>
          </w:p>
        </w:tc>
        <w:tc>
          <w:tcPr>
            <w:tcW w:w="1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level of performance</w:t>
            </w:r>
          </w:p>
        </w:tc>
        <w:tc>
          <w:tcPr>
            <w:tcW w:w="1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level of performance</w:t>
            </w:r>
          </w:p>
        </w:tc>
        <w:tc>
          <w:tcPr>
            <w:tcW w:w="800" w:type="dxa"/>
            <w:vAlign w:val="bottom"/>
            <w:gridSpan w:val="2"/>
          </w:tcPr>
          <w:p>
            <w:pPr>
              <w:jc w:val="center"/>
              <w:ind w:left="98"/>
              <w:spacing w:after="0" w:line="155" w:lineRule="exact"/>
              <w:rPr>
                <w:sz w:val="20"/>
                <w:szCs w:val="20"/>
                <w:color w:val="auto"/>
              </w:rPr>
            </w:pPr>
            <w:r>
              <w:rPr>
                <w:rFonts w:ascii="Arial" w:cs="Arial" w:eastAsia="Arial" w:hAnsi="Arial"/>
                <w:sz w:val="11"/>
                <w:szCs w:val="11"/>
                <w:color w:val="auto"/>
              </w:rPr>
              <w:t>137.5%</w:t>
            </w:r>
            <w:r>
              <w:rPr>
                <w:rFonts w:ascii="Arial" w:cs="Arial" w:eastAsia="Arial" w:hAnsi="Arial"/>
                <w:sz w:val="17"/>
                <w:szCs w:val="17"/>
                <w:color w:val="auto"/>
                <w:vertAlign w:val="superscript"/>
              </w:rPr>
              <w:t>(1)</w:t>
            </w:r>
          </w:p>
        </w:tc>
      </w:tr>
      <w:tr>
        <w:trPr>
          <w:trHeight w:val="133"/>
        </w:trPr>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3"/>
                <w:szCs w:val="13"/>
                <w:color w:val="auto"/>
                <w:w w:val="87"/>
              </w:rPr>
              <w:t>standards and</w:t>
            </w:r>
          </w:p>
        </w:tc>
        <w:tc>
          <w:tcPr>
            <w:tcW w:w="16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3"/>
                <w:szCs w:val="13"/>
                <w:color w:val="auto"/>
                <w:w w:val="87"/>
              </w:rPr>
              <w:t>standards and</w:t>
            </w:r>
          </w:p>
        </w:tc>
        <w:tc>
          <w:tcPr>
            <w:tcW w:w="16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3"/>
                <w:szCs w:val="13"/>
                <w:color w:val="auto"/>
                <w:w w:val="87"/>
              </w:rPr>
              <w:t>standards and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3"/>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quality levels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quality levels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quality levels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7.</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Deliver NextGen REAL Suite applications</w:t>
            </w: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5"/>
              </w:rPr>
              <w:t>Target</w:t>
            </w:r>
          </w:p>
        </w:tc>
      </w:tr>
      <w:tr>
        <w:trPr>
          <w:trHeight w:val="142"/>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7"/>
              </w:rPr>
              <w:t>predetermined threshold</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target</w:t>
            </w:r>
          </w:p>
        </w:tc>
        <w:tc>
          <w:tcPr>
            <w:tcW w:w="1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3"/>
                <w:szCs w:val="13"/>
                <w:color w:val="auto"/>
                <w:w w:val="87"/>
              </w:rPr>
              <w:t>predetermined outstanding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3"/>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levels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levels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6"/>
              </w:rPr>
              <w:t>levels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8.</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Enhance legacy REAL Suite application</w:t>
            </w: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9"/>
              </w:rPr>
              <w:t>Threshold</w:t>
            </w:r>
          </w:p>
        </w:tc>
      </w:tr>
      <w:tr>
        <w:trPr>
          <w:trHeight w:val="142"/>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7"/>
              </w:rPr>
              <w:t>predetermined threshold</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target</w:t>
            </w:r>
          </w:p>
        </w:tc>
        <w:tc>
          <w:tcPr>
            <w:tcW w:w="1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3"/>
                <w:szCs w:val="13"/>
                <w:color w:val="auto"/>
                <w:w w:val="87"/>
              </w:rPr>
              <w:t>predetermined outstanding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3"/>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levels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levels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6"/>
              </w:rPr>
              <w:t>levels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9.</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Maintain business unit level compliance with regulatory</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800" w:type="dxa"/>
            <w:vAlign w:val="bottom"/>
            <w:gridSpan w:val="2"/>
          </w:tcPr>
          <w:p>
            <w:pPr>
              <w:jc w:val="center"/>
              <w:ind w:left="98"/>
              <w:spacing w:after="0"/>
              <w:rPr>
                <w:sz w:val="20"/>
                <w:szCs w:val="20"/>
                <w:color w:val="auto"/>
              </w:rPr>
            </w:pPr>
            <w:r>
              <w:rPr>
                <w:rFonts w:ascii="Arial" w:cs="Arial" w:eastAsia="Arial" w:hAnsi="Arial"/>
                <w:sz w:val="13"/>
                <w:szCs w:val="13"/>
                <w:color w:val="auto"/>
                <w:w w:val="91"/>
              </w:rPr>
              <w:t>Outstanding</w:t>
            </w:r>
          </w:p>
        </w:tc>
      </w:tr>
      <w:tr>
        <w:trPr>
          <w:trHeight w:val="163"/>
        </w:trPr>
        <w:tc>
          <w:tcPr>
            <w:tcW w:w="280" w:type="dxa"/>
            <w:vAlign w:val="bottom"/>
          </w:tcPr>
          <w:p>
            <w:pPr>
              <w:spacing w:after="0"/>
              <w:rPr>
                <w:sz w:val="14"/>
                <w:szCs w:val="14"/>
                <w:color w:val="auto"/>
              </w:rPr>
            </w:pP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requirements</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10.</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Improve effectiveness and efficiency of origination</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800" w:type="dxa"/>
            <w:vAlign w:val="bottom"/>
            <w:gridSpan w:val="2"/>
          </w:tcPr>
          <w:p>
            <w:pPr>
              <w:jc w:val="center"/>
              <w:ind w:left="98"/>
              <w:spacing w:after="0"/>
              <w:rPr>
                <w:sz w:val="20"/>
                <w:szCs w:val="20"/>
                <w:color w:val="auto"/>
              </w:rPr>
            </w:pPr>
            <w:r>
              <w:rPr>
                <w:rFonts w:ascii="Arial" w:cs="Arial" w:eastAsia="Arial" w:hAnsi="Arial"/>
                <w:sz w:val="13"/>
                <w:szCs w:val="13"/>
                <w:color w:val="auto"/>
                <w:w w:val="91"/>
              </w:rPr>
              <w:t>Outstanding</w:t>
            </w:r>
          </w:p>
        </w:tc>
      </w:tr>
      <w:tr>
        <w:trPr>
          <w:trHeight w:val="163"/>
        </w:trPr>
        <w:tc>
          <w:tcPr>
            <w:tcW w:w="280" w:type="dxa"/>
            <w:vAlign w:val="bottom"/>
          </w:tcPr>
          <w:p>
            <w:pPr>
              <w:spacing w:after="0"/>
              <w:rPr>
                <w:sz w:val="14"/>
                <w:szCs w:val="14"/>
                <w:color w:val="auto"/>
              </w:rPr>
            </w:pP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management services</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11.</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Effectively implement a capacity management strategy</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5"/>
              </w:rPr>
              <w:t>Target</w:t>
            </w:r>
          </w:p>
        </w:tc>
      </w:tr>
      <w:tr>
        <w:trPr>
          <w:trHeight w:val="163"/>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12.</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Hire key positions</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Hire 15 of the 21</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Hire 17 of the 21</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Hire 19 of the 21</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5"/>
              </w:rPr>
              <w:t>Target</w:t>
            </w:r>
          </w:p>
        </w:tc>
      </w:tr>
      <w:tr>
        <w:trPr>
          <w:trHeight w:val="142"/>
        </w:trPr>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93"/>
              </w:rPr>
              <w:t>positions by</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93"/>
              </w:rPr>
              <w:t>positions by</w:t>
            </w:r>
          </w:p>
        </w:tc>
        <w:tc>
          <w:tcPr>
            <w:tcW w:w="1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3"/>
                <w:szCs w:val="13"/>
                <w:color w:val="auto"/>
                <w:w w:val="93"/>
              </w:rPr>
              <w:t>positions by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3"/>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7"/>
              </w:rPr>
              <w:t>January 31, 2013</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7"/>
              </w:rPr>
              <w:t>January 31, 2013</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87"/>
              </w:rPr>
              <w:t>January 31, 2013</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13.</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Implement workforce and workplace management tool</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5"/>
              </w:rPr>
              <w:t>Target</w:t>
            </w:r>
          </w:p>
        </w:tc>
      </w:tr>
      <w:tr>
        <w:trPr>
          <w:trHeight w:val="163"/>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14.</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Establish a rolling thirteen month forecast process and</w:t>
            </w: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800" w:type="dxa"/>
            <w:vAlign w:val="bottom"/>
            <w:gridSpan w:val="2"/>
          </w:tcPr>
          <w:p>
            <w:pPr>
              <w:jc w:val="center"/>
              <w:ind w:left="98"/>
              <w:spacing w:after="0"/>
              <w:rPr>
                <w:sz w:val="20"/>
                <w:szCs w:val="20"/>
                <w:color w:val="auto"/>
              </w:rPr>
            </w:pPr>
            <w:r>
              <w:rPr>
                <w:rFonts w:ascii="Arial" w:cs="Arial" w:eastAsia="Arial" w:hAnsi="Arial"/>
                <w:sz w:val="13"/>
                <w:szCs w:val="13"/>
                <w:color w:val="auto"/>
                <w:w w:val="91"/>
              </w:rPr>
              <w:t>Outstanding</w:t>
            </w:r>
          </w:p>
        </w:tc>
      </w:tr>
      <w:tr>
        <w:trPr>
          <w:trHeight w:val="142"/>
        </w:trPr>
        <w:tc>
          <w:tcPr>
            <w:tcW w:w="280" w:type="dxa"/>
            <w:vAlign w:val="bottom"/>
          </w:tcPr>
          <w:p>
            <w:pPr>
              <w:spacing w:after="0"/>
              <w:rPr>
                <w:sz w:val="12"/>
                <w:szCs w:val="12"/>
                <w:color w:val="auto"/>
              </w:rPr>
            </w:pPr>
          </w:p>
        </w:tc>
        <w:tc>
          <w:tcPr>
            <w:tcW w:w="3420" w:type="dxa"/>
            <w:vAlign w:val="bottom"/>
            <w:gridSpan w:val="4"/>
          </w:tcPr>
          <w:p>
            <w:pPr>
              <w:ind w:left="100"/>
              <w:spacing w:after="0" w:line="142" w:lineRule="exact"/>
              <w:rPr>
                <w:sz w:val="20"/>
                <w:szCs w:val="20"/>
                <w:color w:val="auto"/>
              </w:rPr>
            </w:pPr>
            <w:r>
              <w:rPr>
                <w:rFonts w:ascii="Arial" w:cs="Arial" w:eastAsia="Arial" w:hAnsi="Arial"/>
                <w:sz w:val="13"/>
                <w:szCs w:val="13"/>
                <w:color w:val="auto"/>
              </w:rPr>
              <w:t>develop a 3-year annual forecast</w:t>
            </w: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7"/>
              </w:rPr>
              <w:t>predetermined threshold</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89"/>
              </w:rPr>
              <w:t>predetermined target</w:t>
            </w:r>
          </w:p>
        </w:tc>
        <w:tc>
          <w:tcPr>
            <w:tcW w:w="1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3"/>
                <w:szCs w:val="13"/>
                <w:color w:val="auto"/>
                <w:w w:val="87"/>
              </w:rPr>
              <w:t>predetermined outstanding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3"/>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levels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levels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6"/>
              </w:rPr>
              <w:t>levels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15.</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Complete build out and funding of NewSource</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800" w:type="dxa"/>
            <w:vAlign w:val="bottom"/>
            <w:gridSpan w:val="2"/>
          </w:tcPr>
          <w:p>
            <w:pPr>
              <w:jc w:val="center"/>
              <w:ind w:left="98"/>
              <w:spacing w:after="0"/>
              <w:rPr>
                <w:sz w:val="20"/>
                <w:szCs w:val="20"/>
                <w:color w:val="auto"/>
              </w:rPr>
            </w:pPr>
            <w:r>
              <w:rPr>
                <w:rFonts w:ascii="Arial" w:cs="Arial" w:eastAsia="Arial" w:hAnsi="Arial"/>
                <w:sz w:val="13"/>
                <w:szCs w:val="13"/>
                <w:color w:val="auto"/>
                <w:w w:val="91"/>
              </w:rPr>
              <w:t>Outstanding</w:t>
            </w:r>
          </w:p>
        </w:tc>
      </w:tr>
      <w:tr>
        <w:trPr>
          <w:trHeight w:val="142"/>
        </w:trPr>
        <w:tc>
          <w:tcPr>
            <w:tcW w:w="280" w:type="dxa"/>
            <w:vAlign w:val="bottom"/>
          </w:tcPr>
          <w:p>
            <w:pPr>
              <w:spacing w:after="0"/>
              <w:rPr>
                <w:sz w:val="12"/>
                <w:szCs w:val="12"/>
                <w:color w:val="auto"/>
              </w:rPr>
            </w:pPr>
          </w:p>
        </w:tc>
        <w:tc>
          <w:tcPr>
            <w:tcW w:w="3420" w:type="dxa"/>
            <w:vAlign w:val="bottom"/>
            <w:gridSpan w:val="4"/>
          </w:tcPr>
          <w:p>
            <w:pPr>
              <w:ind w:left="100"/>
              <w:spacing w:after="0" w:line="142" w:lineRule="exact"/>
              <w:rPr>
                <w:sz w:val="20"/>
                <w:szCs w:val="20"/>
                <w:color w:val="auto"/>
              </w:rPr>
            </w:pPr>
            <w:r>
              <w:rPr>
                <w:rFonts w:ascii="Arial" w:cs="Arial" w:eastAsia="Arial" w:hAnsi="Arial"/>
                <w:sz w:val="13"/>
                <w:szCs w:val="13"/>
                <w:color w:val="auto"/>
                <w:w w:val="99"/>
              </w:rPr>
              <w:t>Reinsurance Co. and establish direct title insurance in the</w:t>
            </w: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3"/>
        </w:trPr>
        <w:tc>
          <w:tcPr>
            <w:tcW w:w="280" w:type="dxa"/>
            <w:vAlign w:val="bottom"/>
          </w:tcPr>
          <w:p>
            <w:pPr>
              <w:spacing w:after="0"/>
              <w:rPr>
                <w:sz w:val="14"/>
                <w:szCs w:val="14"/>
                <w:color w:val="auto"/>
              </w:rPr>
            </w:pP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U.S. and reinsurance to NewSource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280" w:type="dxa"/>
            <w:vAlign w:val="bottom"/>
          </w:tcPr>
          <w:p>
            <w:pPr>
              <w:spacing w:after="0"/>
              <w:rPr>
                <w:sz w:val="20"/>
                <w:szCs w:val="20"/>
                <w:color w:val="auto"/>
              </w:rPr>
            </w:pPr>
            <w:r>
              <w:rPr>
                <w:rFonts w:ascii="Arial" w:cs="Arial" w:eastAsia="Arial" w:hAnsi="Arial"/>
                <w:sz w:val="13"/>
                <w:szCs w:val="13"/>
                <w:color w:val="auto"/>
              </w:rPr>
              <w:t>16.</w:t>
            </w: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w w:val="94"/>
              </w:rPr>
              <w:t>Develop additional mortgage related insurance products and</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As determined by the</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9"/>
              </w:rPr>
              <w:t>Threshold</w:t>
            </w:r>
          </w:p>
        </w:tc>
      </w:tr>
      <w:tr>
        <w:trPr>
          <w:trHeight w:val="163"/>
        </w:trPr>
        <w:tc>
          <w:tcPr>
            <w:tcW w:w="280" w:type="dxa"/>
            <w:vAlign w:val="bottom"/>
          </w:tcPr>
          <w:p>
            <w:pPr>
              <w:spacing w:after="0"/>
              <w:rPr>
                <w:sz w:val="14"/>
                <w:szCs w:val="14"/>
                <w:color w:val="auto"/>
              </w:rPr>
            </w:pPr>
          </w:p>
        </w:tc>
        <w:tc>
          <w:tcPr>
            <w:tcW w:w="3420" w:type="dxa"/>
            <w:vAlign w:val="bottom"/>
            <w:gridSpan w:val="4"/>
          </w:tcPr>
          <w:p>
            <w:pPr>
              <w:ind w:left="100"/>
              <w:spacing w:after="0"/>
              <w:rPr>
                <w:sz w:val="20"/>
                <w:szCs w:val="20"/>
                <w:color w:val="auto"/>
              </w:rPr>
            </w:pPr>
            <w:r>
              <w:rPr>
                <w:rFonts w:ascii="Arial" w:cs="Arial" w:eastAsia="Arial" w:hAnsi="Arial"/>
                <w:sz w:val="13"/>
                <w:szCs w:val="13"/>
                <w:color w:val="auto"/>
              </w:rPr>
              <w:t>services through data and market analytics</w:t>
            </w: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1"/>
              </w:rPr>
              <w:t>Board of Directors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91"/>
        </w:trPr>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184" w:lineRule="exact"/>
        <w:rPr>
          <w:sz w:val="20"/>
          <w:szCs w:val="20"/>
          <w:color w:val="auto"/>
        </w:rPr>
      </w:pPr>
    </w:p>
    <w:p>
      <w:pPr>
        <w:ind w:left="1660" w:hanging="515"/>
        <w:spacing w:after="0"/>
        <w:tabs>
          <w:tab w:leader="none" w:pos="1660" w:val="left"/>
        </w:tabs>
        <w:numPr>
          <w:ilvl w:val="0"/>
          <w:numId w:val="27"/>
        </w:numPr>
        <w:rPr>
          <w:rFonts w:ascii="Arial" w:cs="Arial" w:eastAsia="Arial" w:hAnsi="Arial"/>
          <w:sz w:val="11"/>
          <w:szCs w:val="11"/>
          <w:color w:val="auto"/>
        </w:rPr>
      </w:pPr>
      <w:r>
        <w:rPr>
          <w:rFonts w:ascii="Arial" w:cs="Arial" w:eastAsia="Arial" w:hAnsi="Arial"/>
          <w:sz w:val="13"/>
          <w:szCs w:val="13"/>
          <w:color w:val="auto"/>
        </w:rPr>
        <w:t>Three out of four metrics achieved at Outstanding and one at Target.</w:t>
      </w:r>
    </w:p>
    <w:p>
      <w:pPr>
        <w:spacing w:after="0" w:line="198"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40"/>
          </w:cols>
          <w:pgMar w:left="240" w:top="127" w:right="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scorecard (80%) (of which 50% or more is weighted on Corporate Financial Objectives), and (ii) a performance appraisal (20%).</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reviewed with senior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The 2012 personal scorecards for our Chief Executive Officer and other named executive officers and their corresponding levels of achievement are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3"/>
          <w:szCs w:val="13"/>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Michelle D. Esterman</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Robert D. Stiles</w:t>
      </w:r>
      <w:r>
        <w:rPr>
          <w:rFonts w:ascii="Arial" w:cs="Arial" w:eastAsia="Arial" w:hAnsi="Arial"/>
          <w:sz w:val="27"/>
          <w:szCs w:val="2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gridSpan w:val="2"/>
          </w:tcPr>
          <w:p>
            <w:pPr>
              <w:ind w:left="1180"/>
              <w:spacing w:after="0"/>
              <w:rPr>
                <w:sz w:val="20"/>
                <w:szCs w:val="20"/>
                <w:color w:val="auto"/>
              </w:rPr>
            </w:pPr>
            <w:r>
              <w:rPr>
                <w:rFonts w:ascii="Arial" w:cs="Arial" w:eastAsia="Arial" w:hAnsi="Arial"/>
                <w:sz w:val="13"/>
                <w:szCs w:val="13"/>
                <w:b w:val="1"/>
                <w:bCs w:val="1"/>
                <w:color w:val="auto"/>
              </w:rPr>
              <w:t>2012 Scorecard</w:t>
            </w:r>
          </w:p>
        </w:tc>
        <w:tc>
          <w:tcPr>
            <w:tcW w:w="1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Levels of Achievement</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0"/>
              </w:rPr>
              <w:t>Level</w:t>
            </w:r>
          </w:p>
        </w:tc>
      </w:tr>
      <w:tr>
        <w:trPr>
          <w:trHeight w:val="135"/>
        </w:trPr>
        <w:tc>
          <w:tcPr>
            <w:tcW w:w="400" w:type="dxa"/>
            <w:vAlign w:val="bottom"/>
          </w:tcPr>
          <w:p>
            <w:pPr>
              <w:jc w:val="right"/>
              <w:ind w:right="58"/>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3360" w:type="dxa"/>
            <w:vAlign w:val="bottom"/>
            <w:gridSpan w:val="2"/>
          </w:tcPr>
          <w:p>
            <w:pPr>
              <w:ind w:left="1360"/>
              <w:spacing w:after="0" w:line="134" w:lineRule="exact"/>
              <w:rPr>
                <w:sz w:val="20"/>
                <w:szCs w:val="20"/>
                <w:color w:val="auto"/>
              </w:rPr>
            </w:pPr>
            <w:r>
              <w:rPr>
                <w:rFonts w:ascii="Arial" w:cs="Arial" w:eastAsia="Arial" w:hAnsi="Arial"/>
                <w:sz w:val="13"/>
                <w:szCs w:val="13"/>
                <w:b w:val="1"/>
                <w:bCs w:val="1"/>
                <w:color w:val="auto"/>
              </w:rPr>
              <w:t>Elements</w:t>
            </w:r>
          </w:p>
        </w:tc>
        <w:tc>
          <w:tcPr>
            <w:tcW w:w="13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Threshold</w:t>
            </w:r>
          </w:p>
        </w:tc>
        <w:tc>
          <w:tcPr>
            <w:tcW w:w="16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Target</w:t>
            </w:r>
          </w:p>
        </w:tc>
        <w:tc>
          <w:tcPr>
            <w:tcW w:w="160" w:type="dxa"/>
            <w:vAlign w:val="bottom"/>
          </w:tcPr>
          <w:p>
            <w:pPr>
              <w:spacing w:after="0"/>
              <w:rPr>
                <w:sz w:val="11"/>
                <w:szCs w:val="11"/>
                <w:color w:val="auto"/>
              </w:rPr>
            </w:pPr>
          </w:p>
        </w:tc>
        <w:tc>
          <w:tcPr>
            <w:tcW w:w="13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6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6"/>
              </w:rPr>
              <w:t>Achieved</w:t>
            </w:r>
          </w:p>
        </w:tc>
      </w:tr>
      <w:tr>
        <w:trPr>
          <w:trHeight w:val="206"/>
        </w:trPr>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3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Achieve Service Revenue Target</w:t>
            </w:r>
          </w:p>
        </w:tc>
        <w:tc>
          <w:tcPr>
            <w:tcW w:w="14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$344.4 million</w:t>
            </w:r>
          </w:p>
        </w:tc>
        <w:tc>
          <w:tcPr>
            <w:tcW w:w="16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$405.1 million</w:t>
            </w:r>
          </w:p>
        </w:tc>
        <w:tc>
          <w:tcPr>
            <w:tcW w:w="16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$465.9 million</w:t>
            </w:r>
          </w:p>
        </w:tc>
        <w:tc>
          <w:tcPr>
            <w:tcW w:w="160" w:type="dxa"/>
            <w:vAlign w:val="bottom"/>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$466.9 million</w:t>
            </w:r>
          </w:p>
        </w:tc>
      </w:tr>
      <w:tr>
        <w:trPr>
          <w:trHeight w:val="422"/>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Achieve EPS Target</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$3.81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$4.12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$4.43 diluted EPS</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$4.43 diluted</w:t>
            </w:r>
          </w:p>
        </w:tc>
      </w:tr>
      <w:tr>
        <w:trPr>
          <w:trHeight w:val="213"/>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2"/>
              </w:rPr>
              <w:t>EPS</w:t>
            </w:r>
          </w:p>
        </w:tc>
      </w:tr>
      <w:tr>
        <w:trPr>
          <w:trHeight w:val="431"/>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Successfully complete the key strategic</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Weighted</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Weighted</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Weighted</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Achievement of</w:t>
            </w: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initiatives of the Company</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Average of 60%</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Average of 80%</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Average of 100%</w:t>
            </w:r>
          </w:p>
        </w:tc>
        <w:tc>
          <w:tcPr>
            <w:tcW w:w="1240" w:type="dxa"/>
            <w:vAlign w:val="bottom"/>
            <w:gridSpan w:val="2"/>
          </w:tcPr>
          <w:p>
            <w:pPr>
              <w:jc w:val="center"/>
              <w:ind w:left="76"/>
              <w:spacing w:after="0"/>
              <w:rPr>
                <w:sz w:val="20"/>
                <w:szCs w:val="20"/>
                <w:color w:val="auto"/>
              </w:rPr>
            </w:pPr>
            <w:r>
              <w:rPr>
                <w:rFonts w:ascii="Arial" w:cs="Arial" w:eastAsia="Arial" w:hAnsi="Arial"/>
                <w:sz w:val="17"/>
                <w:szCs w:val="17"/>
                <w:color w:val="auto"/>
                <w:w w:val="91"/>
              </w:rPr>
              <w:t>150%</w:t>
            </w: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for Strategic</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for Strategic</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for Strategic</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8"/>
              </w:rPr>
              <w:t>1,4,5,6,7,8,9,</w:t>
            </w:r>
          </w:p>
        </w:tc>
        <w:tc>
          <w:tcPr>
            <w:tcW w:w="1520" w:type="dxa"/>
            <w:vAlign w:val="bottom"/>
            <w:gridSpan w:val="2"/>
          </w:tcPr>
          <w:p>
            <w:pPr>
              <w:jc w:val="center"/>
              <w:ind w:left="76"/>
              <w:spacing w:after="0"/>
              <w:rPr>
                <w:sz w:val="20"/>
                <w:szCs w:val="20"/>
                <w:color w:val="auto"/>
              </w:rPr>
            </w:pPr>
            <w:r>
              <w:rPr>
                <w:rFonts w:ascii="Arial" w:cs="Arial" w:eastAsia="Arial" w:hAnsi="Arial"/>
                <w:sz w:val="17"/>
                <w:szCs w:val="17"/>
                <w:color w:val="auto"/>
                <w:w w:val="88"/>
              </w:rPr>
              <w:t>1,4,5,6,7,8,9,</w:t>
            </w:r>
          </w:p>
        </w:tc>
        <w:tc>
          <w:tcPr>
            <w:tcW w:w="1520" w:type="dxa"/>
            <w:vAlign w:val="bottom"/>
            <w:gridSpan w:val="2"/>
          </w:tcPr>
          <w:p>
            <w:pPr>
              <w:jc w:val="center"/>
              <w:ind w:left="76"/>
              <w:spacing w:after="0"/>
              <w:rPr>
                <w:sz w:val="20"/>
                <w:szCs w:val="20"/>
                <w:color w:val="auto"/>
              </w:rPr>
            </w:pPr>
            <w:r>
              <w:rPr>
                <w:rFonts w:ascii="Arial" w:cs="Arial" w:eastAsia="Arial" w:hAnsi="Arial"/>
                <w:sz w:val="17"/>
                <w:szCs w:val="17"/>
                <w:color w:val="auto"/>
                <w:w w:val="88"/>
              </w:rPr>
              <w:t>1,4,5,6,7,8,9,</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12,14,15,16</w:t>
            </w:r>
          </w:p>
        </w:tc>
        <w:tc>
          <w:tcPr>
            <w:tcW w:w="1520" w:type="dxa"/>
            <w:vAlign w:val="bottom"/>
            <w:gridSpan w:val="2"/>
          </w:tcPr>
          <w:p>
            <w:pPr>
              <w:jc w:val="center"/>
              <w:ind w:left="76"/>
              <w:spacing w:after="0"/>
              <w:rPr>
                <w:sz w:val="20"/>
                <w:szCs w:val="20"/>
                <w:color w:val="auto"/>
              </w:rPr>
            </w:pPr>
            <w:r>
              <w:rPr>
                <w:rFonts w:ascii="Arial" w:cs="Arial" w:eastAsia="Arial" w:hAnsi="Arial"/>
                <w:sz w:val="17"/>
                <w:szCs w:val="17"/>
                <w:color w:val="auto"/>
                <w:w w:val="89"/>
              </w:rPr>
              <w:t>12,14,15,16</w:t>
            </w:r>
          </w:p>
        </w:tc>
        <w:tc>
          <w:tcPr>
            <w:tcW w:w="1520" w:type="dxa"/>
            <w:vAlign w:val="bottom"/>
            <w:gridSpan w:val="2"/>
          </w:tcPr>
          <w:p>
            <w:pPr>
              <w:jc w:val="center"/>
              <w:ind w:left="76"/>
              <w:spacing w:after="0"/>
              <w:rPr>
                <w:sz w:val="20"/>
                <w:szCs w:val="20"/>
                <w:color w:val="auto"/>
              </w:rPr>
            </w:pPr>
            <w:r>
              <w:rPr>
                <w:rFonts w:ascii="Arial" w:cs="Arial" w:eastAsia="Arial" w:hAnsi="Arial"/>
                <w:sz w:val="17"/>
                <w:szCs w:val="17"/>
                <w:color w:val="auto"/>
                <w:w w:val="89"/>
              </w:rPr>
              <w:t>12,14,15,16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8"/>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3360" w:type="dxa"/>
            <w:vAlign w:val="bottom"/>
            <w:gridSpan w:val="2"/>
          </w:tcPr>
          <w:p>
            <w:pPr>
              <w:spacing w:after="0"/>
              <w:rPr>
                <w:sz w:val="20"/>
                <w:szCs w:val="20"/>
                <w:color w:val="auto"/>
              </w:rPr>
            </w:pPr>
            <w:r>
              <w:rPr>
                <w:rFonts w:ascii="Arial" w:cs="Arial" w:eastAsia="Arial" w:hAnsi="Arial"/>
                <w:sz w:val="17"/>
                <w:szCs w:val="17"/>
                <w:color w:val="auto"/>
              </w:rPr>
              <w:t>Achieve Service Revenue Target</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$344.4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$405.1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$465.9 million</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$466.9 million</w:t>
            </w:r>
          </w:p>
        </w:tc>
      </w:tr>
      <w:tr>
        <w:trPr>
          <w:trHeight w:val="431"/>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Achieve EPS Target</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$3.81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$4.12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$4.43 diluted EPS</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$4.43 diluted</w:t>
            </w:r>
          </w:p>
        </w:tc>
      </w:tr>
      <w:tr>
        <w:trPr>
          <w:trHeight w:val="213"/>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2"/>
              </w:rPr>
              <w:t>EPS</w:t>
            </w:r>
          </w:p>
        </w:tc>
      </w:tr>
      <w:tr>
        <w:trPr>
          <w:trHeight w:val="431"/>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Successfully complete the key strategic</w:t>
            </w: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9"/>
              </w:rPr>
              <w:t>Weighted</w:t>
            </w: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initiatives of the Company</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8"/>
              </w:rPr>
              <w:t>Average</w:t>
            </w: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2,3,5,9,10,11,12</w:t>
            </w:r>
          </w:p>
        </w:tc>
        <w:tc>
          <w:tcPr>
            <w:tcW w:w="1520" w:type="dxa"/>
            <w:vAlign w:val="bottom"/>
            <w:gridSpan w:val="2"/>
          </w:tcPr>
          <w:p>
            <w:pPr>
              <w:jc w:val="center"/>
              <w:ind w:left="76"/>
              <w:spacing w:after="0"/>
              <w:rPr>
                <w:sz w:val="20"/>
                <w:szCs w:val="20"/>
                <w:color w:val="auto"/>
              </w:rPr>
            </w:pPr>
            <w:r>
              <w:rPr>
                <w:rFonts w:ascii="Arial" w:cs="Arial" w:eastAsia="Arial" w:hAnsi="Arial"/>
                <w:sz w:val="17"/>
                <w:szCs w:val="17"/>
                <w:color w:val="auto"/>
                <w:w w:val="87"/>
              </w:rPr>
              <w:t>2,3,5,9,10,11,12</w:t>
            </w:r>
          </w:p>
        </w:tc>
        <w:tc>
          <w:tcPr>
            <w:tcW w:w="1520" w:type="dxa"/>
            <w:vAlign w:val="bottom"/>
            <w:gridSpan w:val="2"/>
          </w:tcPr>
          <w:p>
            <w:pPr>
              <w:jc w:val="center"/>
              <w:ind w:left="76"/>
              <w:spacing w:after="0"/>
              <w:rPr>
                <w:sz w:val="20"/>
                <w:szCs w:val="20"/>
                <w:color w:val="auto"/>
              </w:rPr>
            </w:pPr>
            <w:r>
              <w:rPr>
                <w:rFonts w:ascii="Arial" w:cs="Arial" w:eastAsia="Arial" w:hAnsi="Arial"/>
                <w:sz w:val="17"/>
                <w:szCs w:val="17"/>
                <w:color w:val="auto"/>
                <w:w w:val="87"/>
              </w:rPr>
              <w:t>2,3,5,9,10,11,12</w:t>
            </w: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Achievement of</w:t>
            </w:r>
          </w:p>
        </w:tc>
      </w:tr>
      <w:tr>
        <w:trPr>
          <w:trHeight w:val="213"/>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gridSpan w:val="2"/>
          </w:tcPr>
          <w:p>
            <w:pPr>
              <w:jc w:val="center"/>
              <w:ind w:left="76"/>
              <w:spacing w:after="0"/>
              <w:rPr>
                <w:sz w:val="20"/>
                <w:szCs w:val="20"/>
                <w:color w:val="auto"/>
              </w:rPr>
            </w:pPr>
            <w:r>
              <w:rPr>
                <w:rFonts w:ascii="Arial" w:cs="Arial" w:eastAsia="Arial" w:hAnsi="Arial"/>
                <w:sz w:val="17"/>
                <w:szCs w:val="17"/>
                <w:color w:val="auto"/>
                <w:w w:val="91"/>
              </w:rPr>
              <w:t>130%</w:t>
            </w:r>
          </w:p>
        </w:tc>
      </w:tr>
      <w:tr>
        <w:trPr>
          <w:trHeight w:val="438"/>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3360" w:type="dxa"/>
            <w:vAlign w:val="bottom"/>
            <w:gridSpan w:val="2"/>
          </w:tcPr>
          <w:p>
            <w:pPr>
              <w:spacing w:after="0"/>
              <w:rPr>
                <w:sz w:val="20"/>
                <w:szCs w:val="20"/>
                <w:color w:val="auto"/>
              </w:rPr>
            </w:pPr>
            <w:r>
              <w:rPr>
                <w:rFonts w:ascii="Arial" w:cs="Arial" w:eastAsia="Arial" w:hAnsi="Arial"/>
                <w:sz w:val="17"/>
                <w:szCs w:val="17"/>
                <w:color w:val="auto"/>
              </w:rPr>
              <w:t>Achieve Corporate Service Revenue Target</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$344.4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$405.1 million</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$465.9 million</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$466.9 million</w:t>
            </w:r>
          </w:p>
        </w:tc>
      </w:tr>
      <w:tr>
        <w:trPr>
          <w:trHeight w:val="431"/>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Achieve EPS Target</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$3.81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$4.12 diluted EPS</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$4.43 diluted EPS</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$4.43 diluted</w:t>
            </w:r>
          </w:p>
        </w:tc>
      </w:tr>
      <w:tr>
        <w:trPr>
          <w:trHeight w:val="213"/>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2"/>
              </w:rPr>
              <w:t>EPS</w:t>
            </w:r>
          </w:p>
        </w:tc>
      </w:tr>
      <w:tr>
        <w:trPr>
          <w:trHeight w:val="431"/>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Successfully complete the key strategic</w:t>
            </w: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6"/>
              </w:rPr>
              <w:t>See Strategic</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9"/>
              </w:rPr>
              <w:t>Weighted</w:t>
            </w: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initiatives of the Company</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Initiatives</w:t>
            </w: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8"/>
              </w:rPr>
              <w:t>Average</w:t>
            </w:r>
          </w:p>
        </w:tc>
      </w:tr>
      <w:tr>
        <w:trPr>
          <w:trHeight w:val="206"/>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5,13,14,15</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w w:val="87"/>
              </w:rPr>
              <w:t>5,13,14,15</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w w:val="87"/>
              </w:rPr>
              <w:t>5,13,14,15</w:t>
            </w: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Achievement of</w:t>
            </w:r>
          </w:p>
        </w:tc>
      </w:tr>
      <w:tr>
        <w:trPr>
          <w:trHeight w:val="213"/>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gridSpan w:val="2"/>
          </w:tcPr>
          <w:p>
            <w:pPr>
              <w:jc w:val="center"/>
              <w:ind w:left="76"/>
              <w:spacing w:after="0"/>
              <w:rPr>
                <w:sz w:val="20"/>
                <w:szCs w:val="20"/>
                <w:color w:val="auto"/>
              </w:rPr>
            </w:pPr>
            <w:r>
              <w:rPr>
                <w:rFonts w:ascii="Arial" w:cs="Arial" w:eastAsia="Arial" w:hAnsi="Arial"/>
                <w:sz w:val="17"/>
                <w:szCs w:val="17"/>
                <w:color w:val="auto"/>
                <w:w w:val="91"/>
              </w:rPr>
              <w:t>140%</w:t>
            </w:r>
          </w:p>
        </w:tc>
      </w:tr>
      <w:tr>
        <w:trPr>
          <w:trHeight w:val="438"/>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3360" w:type="dxa"/>
            <w:vAlign w:val="bottom"/>
            <w:gridSpan w:val="2"/>
          </w:tcPr>
          <w:p>
            <w:pPr>
              <w:spacing w:after="0"/>
              <w:rPr>
                <w:sz w:val="20"/>
                <w:szCs w:val="20"/>
                <w:color w:val="auto"/>
              </w:rPr>
            </w:pPr>
            <w:r>
              <w:rPr>
                <w:rFonts w:ascii="Arial" w:cs="Arial" w:eastAsia="Arial" w:hAnsi="Arial"/>
                <w:sz w:val="17"/>
                <w:szCs w:val="17"/>
                <w:color w:val="auto"/>
              </w:rPr>
              <w:t>Achieve Corporate Service Revenue Target</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r>
      <w:tr>
        <w:trPr>
          <w:trHeight w:val="438"/>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Achieve EPS Target</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r>
      <w:tr>
        <w:trPr>
          <w:trHeight w:val="469"/>
        </w:trPr>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360" w:type="dxa"/>
            <w:vAlign w:val="bottom"/>
            <w:gridSpan w:val="2"/>
          </w:tcPr>
          <w:p>
            <w:pPr>
              <w:spacing w:after="0"/>
              <w:rPr>
                <w:sz w:val="20"/>
                <w:szCs w:val="20"/>
                <w:color w:val="auto"/>
              </w:rPr>
            </w:pPr>
            <w:r>
              <w:rPr>
                <w:rFonts w:ascii="Arial" w:cs="Arial" w:eastAsia="Arial" w:hAnsi="Arial"/>
                <w:sz w:val="17"/>
                <w:szCs w:val="17"/>
                <w:color w:val="auto"/>
              </w:rPr>
              <w:t>Successfully complete the key strategic</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r>
      <w:tr>
        <w:trPr>
          <w:trHeight w:val="213"/>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initiatives of the Company</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99" w:lineRule="exact"/>
        <w:rPr>
          <w:sz w:val="20"/>
          <w:szCs w:val="20"/>
          <w:color w:val="auto"/>
        </w:rPr>
      </w:pPr>
    </w:p>
    <w:p>
      <w:pPr>
        <w:sectPr>
          <w:pgSz w:w="11900" w:h="16838" w:orient="portrait"/>
          <w:cols w:equalWidth="0" w:num="2">
            <w:col w:w="1640" w:space="160"/>
            <w:col w:w="9620"/>
          </w:cols>
          <w:pgMar w:left="240" w:top="131" w:right="239" w:bottom="1440" w:gutter="0" w:footer="0" w:header="0"/>
          <w:type w:val="continuous"/>
        </w:sectPr>
      </w:pPr>
    </w:p>
    <w:p>
      <w:pPr>
        <w:ind w:left="520" w:right="40" w:hanging="517"/>
        <w:spacing w:after="0" w:line="194" w:lineRule="auto"/>
        <w:tabs>
          <w:tab w:leader="none" w:pos="52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 and her incentive compensation for the 2012 fiscal year has been prorated from that date.</w:t>
      </w:r>
    </w:p>
    <w:p>
      <w:pPr>
        <w:spacing w:after="0" w:line="103" w:lineRule="exact"/>
        <w:rPr>
          <w:rFonts w:ascii="Arial" w:cs="Arial" w:eastAsia="Arial" w:hAnsi="Arial"/>
          <w:sz w:val="28"/>
          <w:szCs w:val="28"/>
          <w:color w:val="auto"/>
          <w:vertAlign w:val="superscript"/>
        </w:rPr>
      </w:pPr>
    </w:p>
    <w:p>
      <w:pPr>
        <w:ind w:left="520" w:hanging="517"/>
        <w:spacing w:after="0"/>
        <w:tabs>
          <w:tab w:leader="none" w:pos="52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Mr. Stiles resigned as Chief Financial Officer effective March 1, 2012, and he was therefore not eligible for 2012 incentive compensation.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ind w:right="200"/>
        <w:spacing w:after="0" w:line="258" w:lineRule="auto"/>
        <w:rPr>
          <w:sz w:val="20"/>
          <w:szCs w:val="20"/>
          <w:color w:val="auto"/>
        </w:rPr>
      </w:pPr>
      <w:r>
        <w:rPr>
          <w:rFonts w:ascii="Arial" w:cs="Arial" w:eastAsia="Arial" w:hAnsi="Arial"/>
          <w:sz w:val="17"/>
          <w:szCs w:val="17"/>
          <w:color w:val="auto"/>
        </w:rPr>
        <w:t>Executives have 20% of their incentive compensation determined by their performance appraisal for the service year. Each of our named executive officers performs a self-assessment as to his or her performance against his or her goals for the applicable year. Our Chief Executive Officer utilizes these assessments, as well as his own observations, to prepare a written performance appraisal for each of the other executive officers. These performance appraisals rate performance on objective criteria related to two key factors: (i) the executive's ability to improve and develop their organization throughout the year, and (ii) the executive's strategic contributions to the direction of the Company.</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Chief Executive Officer's scorecard performance and personal performance appraisal are determined by the Compensation Committee in consultation with the Chairman taking into consideration whether the Company's performance and corresponding incentive results present a fair representation of the Chief Executive Officer's performance.</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For our executives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2012, incentive compensation was awarded accordingly. Please see the Summary Compensation Table under Executive Compensation for the actual amounts awarded in 2012.</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Generally, at the first Board of Directors meeting of the fiscal year, the Compensation Committee approves the corporate scorecard and annual incentive components for the Chief Executive Officer and other executives for the upcoming year. The Company's 2013 key performance indicators have been developed and approved by the Board of Directors at the February 12, 2013 Board of Directors meeting.</w:t>
      </w:r>
    </w:p>
    <w:p>
      <w:pPr>
        <w:spacing w:after="0" w:line="182"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The corporate scorecard for 2013 includes achieving an overall revenue target, achieving business segment specific revenue and pre-tax income targets and increasing earnings per share. In addition, the corporate scorecard provides for successful completion of strategic initiatives established to enhance long-term corporate and shareholder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2013 corporate strategic initiatives relate to:</w:t>
      </w:r>
    </w:p>
    <w:p>
      <w:pPr>
        <w:spacing w:after="0" w:line="229" w:lineRule="exact"/>
        <w:rPr>
          <w:sz w:val="20"/>
          <w:szCs w:val="20"/>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Improving performance through operational effectiveness and efficiency</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Developing, implementing and scaling new services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Diversifying revenue and customer base</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Maintaining compliance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Setting Compensation Levels</w:t>
      </w:r>
    </w:p>
    <w:p>
      <w:pPr>
        <w:spacing w:after="0" w:line="221"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believe our executive compensation programs are effectively designed and working well in alignment with the interests of our shareholders and are instrumental to achieving our business strategy. In determining executive compensation for fiscal year 2012, our Compensation Committee considered the overwhelming shareholder support that the "Say-on-Pay" proposal received at our May 18, 2011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 The next "Say-on-Pay" vote will be at our 2014 Annual Meeting of Shareholders.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ind w:right="640"/>
        <w:spacing w:after="0" w:line="274" w:lineRule="auto"/>
        <w:rPr>
          <w:sz w:val="20"/>
          <w:szCs w:val="20"/>
          <w:color w:val="auto"/>
        </w:rPr>
      </w:pPr>
      <w:r>
        <w:rPr>
          <w:rFonts w:ascii="Arial" w:cs="Arial" w:eastAsia="Arial" w:hAnsi="Arial"/>
          <w:sz w:val="17"/>
          <w:szCs w:val="17"/>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Increases for Certain Officers</w:t>
      </w:r>
    </w:p>
    <w:p>
      <w:pPr>
        <w:spacing w:after="0" w:line="22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the third quarter 2012, our Compensation Committee most recently conducted compensation benchmarking with the assistance of its compensation consultant, Exequity. Exequity assisted the Compensation Committee in reviewing the compensation levels for the Chief Executive Officer and the Chief Administration Officer and General Counsel.</w:t>
      </w:r>
    </w:p>
    <w:p>
      <w:pPr>
        <w:spacing w:after="0" w:line="18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Exequity reviewed the pay levels for these named executive officers compared to pay levels among our peer companies, as analyzed by management, to help identify the competitive positioning of our pay practices.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 order to provide a robust array of pay benchmarking data, Exequity reviewed executive pay among two sets of companies:</w:t>
      </w:r>
    </w:p>
    <w:p>
      <w:pPr>
        <w:spacing w:after="0" w:line="229" w:lineRule="exact"/>
        <w:rPr>
          <w:sz w:val="20"/>
          <w:szCs w:val="20"/>
          <w:color w:val="auto"/>
        </w:rPr>
      </w:pPr>
    </w:p>
    <w:p>
      <w:pPr>
        <w:ind w:left="1040" w:right="220" w:hanging="522"/>
        <w:spacing w:after="0" w:line="260"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primary peer group of 14 companies with similar operational dynamics as Altisource, but which includes companies larger than Altisource (revenues ranging from $278MM - $3.8B). This peer group consists of the following companies: CoreLogic, Inc., Equifax, EXL Service Holdings Inc., First American Financial Corporation, Fleetcor Technologies Inc., Genpact Ltd., Highwoods Properties Inc., iGate, Lenders Processing Services, Nationstar Mortgage Holdings, TNS Inc., Virtusa Corp., WP Carey &amp; Co LLC and Wright Express.</w:t>
      </w:r>
    </w:p>
    <w:p>
      <w:pPr>
        <w:spacing w:after="0" w:line="208" w:lineRule="exact"/>
        <w:rPr>
          <w:rFonts w:ascii="Arial" w:cs="Arial" w:eastAsia="Arial" w:hAnsi="Arial"/>
          <w:sz w:val="17"/>
          <w:szCs w:val="17"/>
          <w:color w:val="auto"/>
        </w:rPr>
      </w:pPr>
    </w:p>
    <w:p>
      <w:pPr>
        <w:ind w:left="1040" w:right="100" w:hanging="522"/>
        <w:spacing w:after="0" w:line="314" w:lineRule="auto"/>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secondary peer group of 8 of the 14 above companies (revenues ranging between $278MM - $780MM) that excluded the peer companies with considerably greater annual revenues than Altisource. This peer group consists of the following companies: EXL Service Holdings Inc., Fleetcor Technologies Inc., Highwoods Properties Inc., iGate, Nationstar Mortgage Holdings, TNS Inc., Virtusa Corp., WP Carey &amp; Co LLC and Wright Express.</w:t>
      </w:r>
    </w:p>
    <w:p>
      <w:pPr>
        <w:spacing w:after="0" w:line="14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Additionally, utilizing a similar benchmarking analysis and other relevant factors, the Compensation Committee reviewed the compensation levels for the Chief Financial Officer in the first quarter of 2013.</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All information was obtained from publicly available proxy disclosures and included base salary, annual incentive compensation and long-term incentive compensation.</w:t>
      </w:r>
    </w:p>
    <w:p>
      <w:pPr>
        <w:spacing w:after="0" w:line="240" w:lineRule="exact"/>
        <w:rPr>
          <w:sz w:val="20"/>
          <w:szCs w:val="20"/>
          <w:color w:val="auto"/>
        </w:rPr>
      </w:pPr>
    </w:p>
    <w:p>
      <w:pPr>
        <w:ind w:right="140"/>
        <w:spacing w:after="0" w:line="343" w:lineRule="auto"/>
        <w:rPr>
          <w:sz w:val="20"/>
          <w:szCs w:val="20"/>
          <w:color w:val="auto"/>
        </w:rPr>
      </w:pPr>
      <w:r>
        <w:rPr>
          <w:rFonts w:ascii="Arial" w:cs="Arial" w:eastAsia="Arial" w:hAnsi="Arial"/>
          <w:sz w:val="15"/>
          <w:szCs w:val="15"/>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Based on the benchmarking analyses, performance, retention and other relevant considerations, the Compensation Committee reviewed recommendations and determined appropriate base salary and annual incentive compensation targets for the Chief Executive Officer and the Chief Administration Officer and General Counsel in the third quarter of 2012, and for the Chief Financial Officer in the first quarter of 2013.</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Please see "Role of Compensation Consultant" for further information regarding our use of an independent compensation consultant.</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t>The Board approved the following increases to the base salaries of the following named executive officers, effective as of September 1, 2012 for Messrs. Shepro and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Wilcox, and March 1, 2013 for Ms. Esterman:</w:t>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w w:val="85"/>
              </w:rPr>
              <w:t>Previous Base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87"/>
              </w:rPr>
              <w:t>New Base</w:t>
            </w:r>
          </w:p>
        </w:tc>
        <w:tc>
          <w:tcPr>
            <w:tcW w:w="160" w:type="dxa"/>
            <w:vAlign w:val="bottom"/>
          </w:tcPr>
          <w:p>
            <w:pPr>
              <w:spacing w:after="0"/>
              <w:rPr>
                <w:sz w:val="17"/>
                <w:szCs w:val="17"/>
                <w:color w:val="auto"/>
              </w:rPr>
            </w:pPr>
          </w:p>
        </w:tc>
        <w:tc>
          <w:tcPr>
            <w:tcW w:w="1460" w:type="dxa"/>
            <w:vAlign w:val="bottom"/>
          </w:tcPr>
          <w:p>
            <w:pPr>
              <w:jc w:val="right"/>
              <w:ind w:right="116"/>
              <w:spacing w:after="0"/>
              <w:rPr>
                <w:sz w:val="20"/>
                <w:szCs w:val="20"/>
                <w:color w:val="auto"/>
              </w:rPr>
            </w:pPr>
            <w:r>
              <w:rPr>
                <w:rFonts w:ascii="Arial" w:cs="Arial" w:eastAsia="Arial" w:hAnsi="Arial"/>
                <w:sz w:val="17"/>
                <w:szCs w:val="17"/>
                <w:b w:val="1"/>
                <w:bCs w:val="1"/>
                <w:color w:val="auto"/>
              </w:rPr>
              <w:t>Resulting Base</w:t>
            </w:r>
          </w:p>
        </w:tc>
        <w:tc>
          <w:tcPr>
            <w:tcW w:w="0" w:type="dxa"/>
            <w:vAlign w:val="bottom"/>
          </w:tcPr>
          <w:p>
            <w:pPr>
              <w:spacing w:after="0"/>
              <w:rPr>
                <w:sz w:val="1"/>
                <w:szCs w:val="1"/>
                <w:color w:val="auto"/>
              </w:rPr>
            </w:pPr>
          </w:p>
        </w:tc>
      </w:tr>
      <w:tr>
        <w:trPr>
          <w:trHeight w:val="218"/>
        </w:trPr>
        <w:tc>
          <w:tcPr>
            <w:tcW w:w="4980" w:type="dxa"/>
            <w:vAlign w:val="bottom"/>
            <w:gridSpan w:val="3"/>
          </w:tcPr>
          <w:p>
            <w:pPr>
              <w:spacing w:after="0"/>
              <w:rPr>
                <w:sz w:val="20"/>
                <w:szCs w:val="20"/>
                <w:color w:val="auto"/>
              </w:rPr>
            </w:pPr>
            <w:r>
              <w:rPr>
                <w:rFonts w:ascii="Arial" w:cs="Arial" w:eastAsia="Arial" w:hAnsi="Arial"/>
                <w:sz w:val="17"/>
                <w:szCs w:val="17"/>
                <w:b w:val="1"/>
                <w:bCs w:val="1"/>
                <w:color w:val="auto"/>
              </w:rPr>
              <w:t>Officer</w:t>
            </w:r>
          </w:p>
        </w:tc>
        <w:tc>
          <w:tcPr>
            <w:tcW w:w="1040" w:type="dxa"/>
            <w:vAlign w:val="bottom"/>
          </w:tcPr>
          <w:p>
            <w:pPr>
              <w:jc w:val="right"/>
              <w:ind w:right="96"/>
              <w:spacing w:after="0"/>
              <w:rPr>
                <w:sz w:val="20"/>
                <w:szCs w:val="20"/>
                <w:color w:val="auto"/>
              </w:rPr>
            </w:pPr>
            <w:r>
              <w:rPr>
                <w:rFonts w:ascii="Arial" w:cs="Arial" w:eastAsia="Arial" w:hAnsi="Arial"/>
                <w:sz w:val="17"/>
                <w:szCs w:val="17"/>
                <w:b w:val="1"/>
                <w:bCs w:val="1"/>
                <w:color w:val="auto"/>
              </w:rPr>
              <w:t>Salary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1"/>
              </w:rPr>
              <w:t xml:space="preserve">Salary </w:t>
            </w:r>
            <w:r>
              <w:rPr>
                <w:rFonts w:ascii="Arial" w:cs="Arial" w:eastAsia="Arial" w:hAnsi="Arial"/>
                <w:sz w:val="17"/>
                <w:szCs w:val="17"/>
                <w:b w:val="1"/>
                <w:bCs w:val="1"/>
                <w:u w:val="single" w:color="auto"/>
                <w:color w:val="auto"/>
                <w:w w:val="91"/>
              </w:rPr>
              <w:t>($</w:t>
            </w:r>
            <w:r>
              <w:rPr>
                <w:rFonts w:ascii="Arial" w:cs="Arial" w:eastAsia="Arial" w:hAnsi="Arial"/>
                <w:sz w:val="17"/>
                <w:szCs w:val="17"/>
                <w:b w:val="1"/>
                <w:bCs w:val="1"/>
                <w:color w:val="auto"/>
                <w:w w:val="91"/>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w w:val="91"/>
              </w:rPr>
              <w:t>Salary Increase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9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Mr. William B. Shepro,</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464,376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4980" w:type="dxa"/>
            <w:vAlign w:val="bottom"/>
            <w:gridSpan w:val="3"/>
            <w:vMerge w:val="restart"/>
          </w:tcPr>
          <w:p>
            <w:pPr>
              <w:spacing w:after="0"/>
              <w:rPr>
                <w:sz w:val="20"/>
                <w:szCs w:val="20"/>
                <w:color w:val="auto"/>
              </w:rPr>
            </w:pPr>
            <w:r>
              <w:rPr>
                <w:rFonts w:ascii="Arial" w:cs="Arial" w:eastAsia="Arial" w:hAnsi="Arial"/>
                <w:sz w:val="17"/>
                <w:szCs w:val="17"/>
                <w:color w:val="auto"/>
              </w:rPr>
              <w:t>Mr. Kevin J. Wilcox,</w:t>
            </w: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80" w:type="dxa"/>
            <w:vAlign w:val="bottom"/>
            <w:gridSpan w:val="3"/>
          </w:tcPr>
          <w:p>
            <w:pPr>
              <w:spacing w:after="0"/>
              <w:rPr>
                <w:sz w:val="20"/>
                <w:szCs w:val="20"/>
                <w:color w:val="auto"/>
              </w:rPr>
            </w:pPr>
            <w:r>
              <w:rPr>
                <w:rFonts w:ascii="Arial" w:cs="Arial" w:eastAsia="Arial" w:hAnsi="Arial"/>
                <w:sz w:val="17"/>
                <w:szCs w:val="17"/>
                <w:color w:val="auto"/>
              </w:rPr>
              <w:t>Chief Administration Officer and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gridSpan w:val="3"/>
          </w:tcPr>
          <w:p>
            <w:pPr>
              <w:spacing w:after="0"/>
              <w:rPr>
                <w:sz w:val="20"/>
                <w:szCs w:val="20"/>
                <w:color w:val="auto"/>
              </w:rPr>
            </w:pPr>
            <w:r>
              <w:rPr>
                <w:rFonts w:ascii="Arial" w:cs="Arial" w:eastAsia="Arial" w:hAnsi="Arial"/>
                <w:sz w:val="17"/>
                <w:szCs w:val="17"/>
                <w:color w:val="auto"/>
              </w:rPr>
              <w:t>General Counsel</w:t>
            </w:r>
          </w:p>
        </w:tc>
        <w:tc>
          <w:tcPr>
            <w:tcW w:w="1040" w:type="dxa"/>
            <w:vAlign w:val="bottom"/>
          </w:tcPr>
          <w:p>
            <w:pPr>
              <w:jc w:val="right"/>
              <w:spacing w:after="0"/>
              <w:rPr>
                <w:sz w:val="20"/>
                <w:szCs w:val="20"/>
                <w:color w:val="auto"/>
              </w:rPr>
            </w:pPr>
            <w:r>
              <w:rPr>
                <w:rFonts w:ascii="Arial" w:cs="Arial" w:eastAsia="Arial" w:hAnsi="Arial"/>
                <w:sz w:val="17"/>
                <w:szCs w:val="17"/>
                <w:color w:val="auto"/>
              </w:rPr>
              <w:t>382,325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425,000</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Ms. Michelle D. Esterman,</w:t>
            </w: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Financial Officer</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 Board determined that the ratio of the base compensation and the incentive compensation to the total compensation would remain the same. The target incentive compensation for each executive was therefore increased by the same percentage as the executive's base salary:</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9"/>
              </w:rPr>
              <w:t>Resulting Target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7"/>
              </w:rPr>
              <w:t>Previous Target</w:t>
            </w: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New Target</w:t>
            </w: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0" w:type="dxa"/>
            <w:vAlign w:val="bottom"/>
          </w:tcPr>
          <w:p>
            <w:pPr>
              <w:spacing w:after="0"/>
              <w:rPr>
                <w:sz w:val="1"/>
                <w:szCs w:val="1"/>
                <w:color w:val="auto"/>
              </w:rPr>
            </w:pPr>
          </w:p>
        </w:tc>
      </w:tr>
      <w:tr>
        <w:trPr>
          <w:trHeight w:val="218"/>
        </w:trPr>
        <w:tc>
          <w:tcPr>
            <w:tcW w:w="4360" w:type="dxa"/>
            <w:vAlign w:val="bottom"/>
            <w:gridSpan w:val="3"/>
          </w:tcPr>
          <w:p>
            <w:pPr>
              <w:spacing w:after="0"/>
              <w:rPr>
                <w:sz w:val="20"/>
                <w:szCs w:val="20"/>
                <w:color w:val="auto"/>
              </w:rPr>
            </w:pPr>
            <w:r>
              <w:rPr>
                <w:rFonts w:ascii="Arial" w:cs="Arial" w:eastAsia="Arial" w:hAnsi="Arial"/>
                <w:sz w:val="17"/>
                <w:szCs w:val="17"/>
                <w:b w:val="1"/>
                <w:bCs w:val="1"/>
                <w:color w:val="auto"/>
              </w:rPr>
              <w:t>Officer</w:t>
            </w: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 xml:space="preserve">Compensation </w:t>
            </w:r>
            <w:r>
              <w:rPr>
                <w:rFonts w:ascii="Arial" w:cs="Arial" w:eastAsia="Arial" w:hAnsi="Arial"/>
                <w:sz w:val="17"/>
                <w:szCs w:val="17"/>
                <w:b w:val="1"/>
                <w:bCs w:val="1"/>
                <w:u w:val="single" w:color="auto"/>
                <w:color w:val="auto"/>
                <w:w w:val="89"/>
              </w:rPr>
              <w:t>($</w:t>
            </w:r>
            <w:r>
              <w:rPr>
                <w:rFonts w:ascii="Arial" w:cs="Arial" w:eastAsia="Arial" w:hAnsi="Arial"/>
                <w:sz w:val="17"/>
                <w:szCs w:val="17"/>
                <w:b w:val="1"/>
                <w:bCs w:val="1"/>
                <w:color w:val="auto"/>
                <w:w w:val="89"/>
              </w:rPr>
              <w:t>)</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 xml:space="preserve">Compensation </w:t>
            </w:r>
            <w:r>
              <w:rPr>
                <w:rFonts w:ascii="Arial" w:cs="Arial" w:eastAsia="Arial" w:hAnsi="Arial"/>
                <w:sz w:val="17"/>
                <w:szCs w:val="17"/>
                <w:b w:val="1"/>
                <w:bCs w:val="1"/>
                <w:u w:val="single" w:color="auto"/>
                <w:color w:val="auto"/>
                <w:w w:val="89"/>
              </w:rPr>
              <w:t>($</w:t>
            </w:r>
            <w:r>
              <w:rPr>
                <w:rFonts w:ascii="Arial" w:cs="Arial" w:eastAsia="Arial" w:hAnsi="Arial"/>
                <w:sz w:val="17"/>
                <w:szCs w:val="17"/>
                <w:b w:val="1"/>
                <w:bCs w:val="1"/>
                <w:color w:val="auto"/>
                <w:w w:val="89"/>
              </w:rPr>
              <w: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1"/>
              </w:rPr>
              <w:t>Increase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4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Mr. William B. Shepro,</w:t>
            </w: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696,564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4360" w:type="dxa"/>
            <w:vAlign w:val="bottom"/>
            <w:gridSpan w:val="3"/>
            <w:vMerge w:val="restart"/>
          </w:tcPr>
          <w:p>
            <w:pPr>
              <w:spacing w:after="0"/>
              <w:rPr>
                <w:sz w:val="20"/>
                <w:szCs w:val="20"/>
                <w:color w:val="auto"/>
              </w:rPr>
            </w:pPr>
            <w:r>
              <w:rPr>
                <w:rFonts w:ascii="Arial" w:cs="Arial" w:eastAsia="Arial" w:hAnsi="Arial"/>
                <w:sz w:val="17"/>
                <w:szCs w:val="17"/>
                <w:color w:val="auto"/>
              </w:rPr>
              <w:t>Mr. Kevin J. Wilcox,</w:t>
            </w: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gridSpan w:val="3"/>
          </w:tcPr>
          <w:p>
            <w:pPr>
              <w:spacing w:after="0"/>
              <w:rPr>
                <w:sz w:val="20"/>
                <w:szCs w:val="20"/>
                <w:color w:val="auto"/>
              </w:rPr>
            </w:pPr>
            <w:r>
              <w:rPr>
                <w:rFonts w:ascii="Arial" w:cs="Arial" w:eastAsia="Arial" w:hAnsi="Arial"/>
                <w:sz w:val="17"/>
                <w:szCs w:val="17"/>
                <w:color w:val="auto"/>
              </w:rPr>
              <w:t>Chief Administration Officer and</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gridSpan w:val="3"/>
          </w:tcPr>
          <w:p>
            <w:pPr>
              <w:spacing w:after="0"/>
              <w:rPr>
                <w:sz w:val="20"/>
                <w:szCs w:val="20"/>
                <w:color w:val="auto"/>
              </w:rPr>
            </w:pPr>
            <w:r>
              <w:rPr>
                <w:rFonts w:ascii="Arial" w:cs="Arial" w:eastAsia="Arial" w:hAnsi="Arial"/>
                <w:sz w:val="17"/>
                <w:szCs w:val="17"/>
                <w:color w:val="auto"/>
              </w:rPr>
              <w:t>General Counsel</w:t>
            </w:r>
          </w:p>
        </w:tc>
        <w:tc>
          <w:tcPr>
            <w:tcW w:w="1340" w:type="dxa"/>
            <w:vAlign w:val="bottom"/>
          </w:tcPr>
          <w:p>
            <w:pPr>
              <w:jc w:val="right"/>
              <w:spacing w:after="0"/>
              <w:rPr>
                <w:sz w:val="20"/>
                <w:szCs w:val="20"/>
                <w:color w:val="auto"/>
              </w:rPr>
            </w:pPr>
            <w:r>
              <w:rPr>
                <w:rFonts w:ascii="Arial" w:cs="Arial" w:eastAsia="Arial" w:hAnsi="Arial"/>
                <w:sz w:val="17"/>
                <w:szCs w:val="17"/>
                <w:color w:val="auto"/>
              </w:rPr>
              <w:t>382,325</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425,000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Ms. Michelle D. Esterman,</w:t>
            </w: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Chief Financial Officer</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Mr. Shepro, Mr. Wilcox and Ms. Esterman's employment contracts were amended accordingly.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(the "Code"), or nonqualified stock options, as determined by the Compensation Committee.</w:t>
      </w:r>
    </w:p>
    <w:p>
      <w:pPr>
        <w:spacing w:after="0" w:line="17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lapses without being exercised, shares of common stock subject to such award will again be available for future award.</w:t>
      </w:r>
    </w:p>
    <w:p>
      <w:pPr>
        <w:spacing w:after="0" w:line="21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In line with the objectives of our compensation philosophy, Ms. Esterman received 58,500 stock options to purchase the Company's common stock pursuant to the 2009 Equity Incentive Plan when she joined the Company as Chief Financial Officer on March 12, 2012.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15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Additionally, on August 14, 2012, the Board of the Company approved, on the recommendation of our Compensation Committee, a plan pursuant to which AAMC Restricted Stock would be granted to our named executives. On December 11, 2012, the following grants were made pursuant to the plan. Mr. Shepro was granted 29,216 shares of AAMC Restricted Stock with an aggregate fair value of $172,228. Mr. Wilcox was granted 14,608 shares of AAMC Restricted Stock with an aggregate fair value of $86,114. Ms. Esterman was granted 8,765 shares of AAMC Restricted Stock with an aggregate fair value of $51,670.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AAMC Restricted Stock will vest in three tranches, subject to the achievement of the following performance hurdles:</w:t>
      </w:r>
    </w:p>
    <w:p>
      <w:pPr>
        <w:spacing w:after="0" w:line="229" w:lineRule="exact"/>
        <w:rPr>
          <w:sz w:val="20"/>
          <w:szCs w:val="20"/>
          <w:color w:val="auto"/>
        </w:rPr>
      </w:pPr>
    </w:p>
    <w:p>
      <w:pPr>
        <w:ind w:left="1040" w:hanging="522"/>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25% will vest in accordance with the vesting schedule set forth below if the market value of AAMC stock meets all three of the following conditions:</w:t>
      </w:r>
    </w:p>
    <w:p>
      <w:pPr>
        <w:spacing w:after="0" w:line="29" w:lineRule="exact"/>
        <w:rPr>
          <w:rFonts w:ascii="Arial" w:cs="Arial" w:eastAsia="Arial" w:hAnsi="Arial"/>
          <w:sz w:val="16"/>
          <w:szCs w:val="16"/>
          <w:color w:val="auto"/>
        </w:rPr>
      </w:pPr>
    </w:p>
    <w:p>
      <w:pPr>
        <w:ind w:left="1040" w:right="40" w:hanging="7"/>
        <w:spacing w:after="0" w:line="265" w:lineRule="auto"/>
        <w:tabs>
          <w:tab w:leader="none" w:pos="12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market value is at least equal to $250 million; (ii) the market value has realized a compounded annual gain of at least 20% over the market value on the date of the grant; and (iii) the market value is at least double the market value on the date of the grant.</w:t>
      </w:r>
    </w:p>
    <w:p>
      <w:pPr>
        <w:spacing w:after="0" w:line="205"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50% will vest in accordance with the vesting schedule set forth below if the market value of AAMC stock meets all three of the following conditions:</w:t>
      </w:r>
    </w:p>
    <w:p>
      <w:pPr>
        <w:spacing w:after="0" w:line="29" w:lineRule="exact"/>
        <w:rPr>
          <w:rFonts w:ascii="Arial" w:cs="Arial" w:eastAsia="Arial" w:hAnsi="Arial"/>
          <w:sz w:val="16"/>
          <w:szCs w:val="16"/>
          <w:color w:val="auto"/>
        </w:rPr>
      </w:pPr>
    </w:p>
    <w:p>
      <w:pPr>
        <w:ind w:left="1040" w:right="120" w:hanging="7"/>
        <w:spacing w:after="0" w:line="265" w:lineRule="auto"/>
        <w:tabs>
          <w:tab w:leader="none" w:pos="12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market value is at least equal to $500 million; (ii) the market value has realized a compounded annual gain of at least 22.5% over the market value on the date of the grant; and (iii) the market value is at least triple the market value on the date of the grant.</w:t>
      </w:r>
    </w:p>
    <w:p>
      <w:pPr>
        <w:spacing w:after="0" w:line="192" w:lineRule="exact"/>
        <w:rPr>
          <w:rFonts w:ascii="Arial" w:cs="Arial" w:eastAsia="Arial" w:hAnsi="Arial"/>
          <w:sz w:val="17"/>
          <w:szCs w:val="17"/>
          <w:color w:val="auto"/>
        </w:rPr>
      </w:pPr>
    </w:p>
    <w:p>
      <w:pPr>
        <w:ind w:left="1040" w:hanging="522"/>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25% will vest in accordance with the vesting schedule set forth below if the market value of AAMC stock meets all three of the following conditions:</w:t>
      </w:r>
    </w:p>
    <w:p>
      <w:pPr>
        <w:spacing w:after="0" w:line="29" w:lineRule="exact"/>
        <w:rPr>
          <w:rFonts w:ascii="Arial" w:cs="Arial" w:eastAsia="Arial" w:hAnsi="Arial"/>
          <w:sz w:val="16"/>
          <w:szCs w:val="16"/>
          <w:color w:val="auto"/>
        </w:rPr>
      </w:pPr>
    </w:p>
    <w:p>
      <w:pPr>
        <w:ind w:left="1040" w:right="40" w:hanging="7"/>
        <w:spacing w:after="0" w:line="265" w:lineRule="auto"/>
        <w:tabs>
          <w:tab w:leader="none" w:pos="12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market value is at least equal to $750 million; (ii) the market value has realized a compounded annual gain of at least 25% over the market value on the date of the grant; and (iii) the market value is at least quadruple the market value on the date of the grant.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AAMC Restricted Stock will vest according to the following vesting schedule:</w:t>
      </w:r>
    </w:p>
    <w:p>
      <w:pPr>
        <w:spacing w:after="0" w:line="229" w:lineRule="exact"/>
        <w:rPr>
          <w:sz w:val="20"/>
          <w:szCs w:val="20"/>
          <w:color w:val="auto"/>
        </w:rPr>
      </w:pPr>
    </w:p>
    <w:p>
      <w:pPr>
        <w:ind w:left="1040" w:hanging="52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25% of each tranche will vest on the first anniversary of the date when the three conditions for that tranche are met.</w:t>
      </w:r>
    </w:p>
    <w:p>
      <w:pPr>
        <w:spacing w:after="0" w:line="242" w:lineRule="exact"/>
        <w:rPr>
          <w:rFonts w:ascii="Arial" w:cs="Arial" w:eastAsia="Arial" w:hAnsi="Arial"/>
          <w:sz w:val="17"/>
          <w:szCs w:val="17"/>
          <w:color w:val="auto"/>
        </w:rPr>
      </w:pPr>
    </w:p>
    <w:p>
      <w:pPr>
        <w:ind w:left="5640" w:right="380" w:hanging="5122"/>
        <w:spacing w:after="0" w:line="527" w:lineRule="auto"/>
        <w:tabs>
          <w:tab w:leader="none" w:pos="104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remaining 75% will vest in substantially equal installments on each of the first three anniversaries of the initial vesting of the applicable tranche.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line="260" w:lineRule="auto"/>
        <w:rPr>
          <w:sz w:val="20"/>
          <w:szCs w:val="20"/>
          <w:color w:val="auto"/>
        </w:rPr>
      </w:pPr>
      <w:r>
        <w:rPr>
          <w:rFonts w:ascii="Arial" w:cs="Arial" w:eastAsia="Arial" w:hAnsi="Arial"/>
          <w:sz w:val="17"/>
          <w:szCs w:val="17"/>
          <w:color w:val="auto"/>
        </w:rPr>
        <w:t>If an award recipient's service with the Company or any of its affiliates is terminated prior to full vesting of the AAMC Restricted Stock, then the award recipient will forfeit all unvested AAMC Restricted Stock to AAMC, except that if (i) an award recipient's service is terminated either by the Company (or an affiliate) without cause or due to death or disability and (ii) a performance hurdle has already been achieved or is achieved within ninety days of termination, unvested stock for the corresponding tranche will continue to vest according to the above vesting schedule.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Policies</w:t>
      </w:r>
    </w:p>
    <w:p>
      <w:pPr>
        <w:spacing w:after="0" w:line="22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plans are adequate to achieve this philosophy. We also maintain a management directive detailing our trading window period policy for Directors, executive officers and other employees and our insider trading policy.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Compensation Committee's policy with respect to other employee benefit plans is to provide benefits to our employees, including our executive officers, that are comparable to benefits offered by companies of a similar size to ours. A competitive comprehensive benefit program is essential to achieving the goal of attracting and retaining highly qualified employees.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21"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auto"/>
        </w:rPr>
        <w:t>Below is a description of the amounts payable to each named executive officer assuming the executive's employment had terminated under various scenarios, or a change of control had occurred, on December 31, 2012 (the last business day of fiscal year 2012). Due to the number of factors that affect the nature and amount of any benefits under the various scenarios, actual amounts paid or distributed may be different.</w:t>
      </w:r>
    </w:p>
    <w:p>
      <w:pPr>
        <w:spacing w:after="0" w:line="182"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 the Company will pay all standard relocation costs to relocate the officer to the United States. If the Company terminates the employment of the officer other than for "cause" and, in some instances, where employment is terminated for "good reason" by the officer, the Company is obligated to make a cash payment of between four and twelve months' salary. In the case of the Chief Executive Officer and Chief Administration Officer, the Company will be obligated to pay one (1) year's target incentive compensation in such instance. Additionally, in the event that the Company terminates the employment of the officer other than for "cause" after October 1 of the service year and before incentives are paid for the prior service year, the officer is entitled to receive incentive compensation for such service year. In these instances, the Company will also pay all standard relocation costs to relocate the named executive officer to the United States. If the named executive officer is terminated by the Company for "cause", the Company may terminate without notice and with no liability to make any further payment to the executive, other than amounts accrued and unpaid at the date of termination.</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All named executive officers have options granted pursuant to the 2009 Equity Incentive Plan. A portion of the options vest over time in equal installments (the "Service-based Options"), and the remaining options will vest based on applicable Company performance (the "Market-based Options"). Upon termination of an executive officer's employment other than for cause, the executive officer would be entitled to retain any vested portion of prior equity awards granted as well as any unvested Market-based Options where the vesting hurdles have already been achieved. Additionally, upon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ind w:right="260"/>
        <w:spacing w:after="0" w:line="257" w:lineRule="auto"/>
        <w:rPr>
          <w:sz w:val="20"/>
          <w:szCs w:val="20"/>
          <w:color w:val="auto"/>
        </w:rPr>
      </w:pPr>
      <w:r>
        <w:rPr>
          <w:rFonts w:ascii="Arial" w:cs="Arial" w:eastAsia="Arial" w:hAnsi="Arial"/>
          <w:sz w:val="17"/>
          <w:szCs w:val="17"/>
          <w:color w:val="auto"/>
        </w:rPr>
        <w:t>termination of an executive officer's employment without cause or upon his or her retirement, the executive officer would be entitled to retain unvested Market-based Options where the vesting hurdles are achieved within ninety (90) days of the termination.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in the discretion of the Compensation Committee. Furthermore, pursuant to each stock option agreement granting an equity award, upon termination of an executive for cause, all outstanding stock options awarded pursuant to such stock option agreement are forfeited.</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Certain of the stock option agreements provide for accelerated vesting as set forth below. Upon a named executive officer's retirement, disability, death, termination by the Company without "cause" or termination by the named executive officer for "good reason," all Service-based Options will immediately vest. Additionally, pursuant to these certain agreements, if there is a "change of control event," as defined in the applicable stock option agreement, all options, including Service-based Options and Market-based Options, will vest.</w:t>
      </w:r>
    </w:p>
    <w:p>
      <w:pPr>
        <w:spacing w:after="0" w:line="183" w:lineRule="exact"/>
        <w:rPr>
          <w:sz w:val="20"/>
          <w:szCs w:val="20"/>
          <w:color w:val="auto"/>
        </w:rPr>
      </w:pPr>
    </w:p>
    <w:p>
      <w:pPr>
        <w:jc w:val="both"/>
        <w:ind w:right="780"/>
        <w:spacing w:after="0" w:line="343" w:lineRule="auto"/>
        <w:rPr>
          <w:sz w:val="20"/>
          <w:szCs w:val="20"/>
          <w:color w:val="auto"/>
        </w:rPr>
      </w:pPr>
      <w:r>
        <w:rPr>
          <w:rFonts w:ascii="Arial" w:cs="Arial" w:eastAsia="Arial" w:hAnsi="Arial"/>
          <w:sz w:val="15"/>
          <w:szCs w:val="15"/>
          <w:color w:val="auto"/>
        </w:rPr>
        <w:t>Upon his retirement, disability, death, termination by the Company without "cause" or termination by Mr. Shepro for "good reason," Mr. Shepro would receive $1,885,500 from the accelerated vesting of options. Upon a "change in control," Mr. Shepro would receive $6,988,664 from the accelerated vesting of options.</w:t>
      </w:r>
    </w:p>
    <w:p>
      <w:pPr>
        <w:spacing w:after="0" w:line="1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Upon his retirement, disability, death, termination by the Company without "cause" or termination by Mr. Wilcox for "good reason," Mr. Wilcox would receive $927,000 from the accelerated vesting of options. Upon a "change in control," Mr. Wilcox would receive $3,776,887 from the accelerated vesting of options.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Upon her retirement, disability, death, or termination by the Company without "cause," Ms. Esterman would receive $339,593 from the accelerated vesting of options.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Upon a "change in control," Ms. Esterman would receive $1,188,562 from the accelerated vesting of options.</w:t>
      </w:r>
    </w:p>
    <w:p>
      <w:pPr>
        <w:spacing w:after="0" w:line="209" w:lineRule="exact"/>
        <w:rPr>
          <w:sz w:val="20"/>
          <w:szCs w:val="20"/>
          <w:color w:val="auto"/>
        </w:rPr>
      </w:pPr>
    </w:p>
    <w:p>
      <w:pPr>
        <w:ind w:right="220"/>
        <w:spacing w:after="0" w:line="343" w:lineRule="auto"/>
        <w:rPr>
          <w:sz w:val="20"/>
          <w:szCs w:val="20"/>
          <w:color w:val="auto"/>
        </w:rPr>
      </w:pPr>
      <w:r>
        <w:rPr>
          <w:rFonts w:ascii="Arial" w:cs="Arial" w:eastAsia="Arial" w:hAnsi="Arial"/>
          <w:sz w:val="15"/>
          <w:szCs w:val="15"/>
          <w:color w:val="auto"/>
        </w:rPr>
        <w:t>Pursuant to his Separation Agreement, Mr. Stiles retained all of his vested options, received a $100,000 severance payment and a $52,330 tax equalization payment for 2011 earnings and will be provided tax equalization and preparation for 2012 consistent with past practice during the term of Mr. Stiles' employment.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Considerations</w:t>
      </w:r>
    </w:p>
    <w:p>
      <w:pPr>
        <w:spacing w:after="0" w:line="2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color w:val="auto"/>
        </w:rPr>
        <w:t>The timing of compensation decisions is driven by a variety of tax considerations. In order to avoid being considered deferred compensation under Section 409A of the Code and to be deductible for the prior tax year, our annual incentive awards with respect to the prior year must be paid out by March 18 for employees of the Company who are U.S. taxpayers.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2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Compensation Committee of the Board of Directors has reviewed and discussed the Compensation Discussion and Analysis included on pages 20 through 32 of this proxy statement with management.</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Based on the review and discussion, the Compensation Committee recommended to the Board of Directors that the Compensation Discussion and Analysis be included in this proxy statement.</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Compensation Committee: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Timo Vättö, Chairman</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W. Michael Linn, Director</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Roland Müller-Ineichen, Director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2, 2013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1"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The following table discloses compensation received by our Chief Executive Officer, our Chief Financial Officer and our Chief Administration Officer and General Counsel for fiscal years 2010, 2011 and 2012.</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660" w:type="dxa"/>
            <w:vAlign w:val="bottom"/>
          </w:tcPr>
          <w:p>
            <w:pPr>
              <w:spacing w:after="0"/>
              <w:rPr>
                <w:sz w:val="13"/>
                <w:szCs w:val="13"/>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0"/>
              </w:rPr>
              <w:t>Name and</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280" w:type="dxa"/>
            <w:vAlign w:val="bottom"/>
            <w:gridSpan w:val="2"/>
          </w:tcPr>
          <w:p>
            <w:pPr>
              <w:jc w:val="center"/>
              <w:ind w:right="660"/>
              <w:spacing w:after="0" w:line="142"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23"/>
              <w:spacing w:after="0"/>
              <w:rPr>
                <w:sz w:val="20"/>
                <w:szCs w:val="20"/>
                <w:color w:val="auto"/>
              </w:rPr>
            </w:pPr>
            <w:r>
              <w:rPr>
                <w:rFonts w:ascii="Arial" w:cs="Arial" w:eastAsia="Arial" w:hAnsi="Arial"/>
                <w:sz w:val="13"/>
                <w:szCs w:val="13"/>
                <w:b w:val="1"/>
                <w:bCs w:val="1"/>
                <w:color w:val="auto"/>
              </w:rPr>
              <w:t>Salary</w:t>
            </w:r>
            <w:r>
              <w:rPr>
                <w:rFonts w:ascii="Arial" w:cs="Arial" w:eastAsia="Arial" w:hAnsi="Arial"/>
                <w:sz w:val="21"/>
                <w:szCs w:val="21"/>
                <w:b w:val="1"/>
                <w:bCs w:val="1"/>
                <w:color w:val="auto"/>
                <w:vertAlign w:val="superscript"/>
              </w:rPr>
              <w:t>(1)</w:t>
            </w:r>
          </w:p>
        </w:tc>
        <w:tc>
          <w:tcPr>
            <w:tcW w:w="240" w:type="dxa"/>
            <w:vAlign w:val="bottom"/>
            <w:vMerge w:val="restart"/>
          </w:tcPr>
          <w:p>
            <w:pPr>
              <w:spacing w:after="0"/>
              <w:rPr>
                <w:sz w:val="12"/>
                <w:szCs w:val="12"/>
                <w:color w:val="auto"/>
              </w:rPr>
            </w:pPr>
          </w:p>
        </w:tc>
        <w:tc>
          <w:tcPr>
            <w:tcW w:w="720" w:type="dxa"/>
            <w:vAlign w:val="bottom"/>
          </w:tcPr>
          <w:p>
            <w:pPr>
              <w:jc w:val="right"/>
              <w:ind w:right="139"/>
              <w:spacing w:after="0" w:line="142"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2"/>
                <w:szCs w:val="12"/>
                <w:color w:val="auto"/>
              </w:rPr>
            </w:pPr>
          </w:p>
        </w:tc>
        <w:tc>
          <w:tcPr>
            <w:tcW w:w="860" w:type="dxa"/>
            <w:vAlign w:val="bottom"/>
          </w:tcPr>
          <w:p>
            <w:pPr>
              <w:jc w:val="right"/>
              <w:ind w:right="171"/>
              <w:spacing w:after="0" w:line="142" w:lineRule="exact"/>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Incentive</w:t>
            </w:r>
          </w:p>
        </w:tc>
        <w:tc>
          <w:tcPr>
            <w:tcW w:w="16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19"/>
              <w:spacing w:after="0" w:line="167"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31"/>
              <w:spacing w:after="0" w:line="167" w:lineRule="exact"/>
              <w:rPr>
                <w:sz w:val="20"/>
                <w:szCs w:val="20"/>
                <w:color w:val="auto"/>
              </w:rPr>
            </w:pPr>
            <w:r>
              <w:rPr>
                <w:rFonts w:ascii="Arial" w:cs="Arial" w:eastAsia="Arial" w:hAnsi="Arial"/>
                <w:sz w:val="19"/>
                <w:szCs w:val="19"/>
                <w:b w:val="1"/>
                <w:bCs w:val="1"/>
                <w:color w:val="auto"/>
                <w:vertAlign w:val="subscript"/>
              </w:rPr>
              <w:t>Awards</w:t>
            </w:r>
            <w:r>
              <w:rPr>
                <w:rFonts w:ascii="Arial" w:cs="Arial" w:eastAsia="Arial" w:hAnsi="Arial"/>
                <w:sz w:val="9"/>
                <w:szCs w:val="9"/>
                <w:b w:val="1"/>
                <w:bCs w:val="1"/>
                <w:color w:val="auto"/>
              </w:rPr>
              <w:t>(3)(4)</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2"/>
                <w:szCs w:val="12"/>
                <w:b w:val="1"/>
                <w:bCs w:val="1"/>
                <w:color w:val="auto"/>
                <w:w w:val="93"/>
              </w:rPr>
              <w:t>Compensation</w:t>
            </w:r>
            <w:r>
              <w:rPr>
                <w:rFonts w:ascii="Arial" w:cs="Arial" w:eastAsia="Arial" w:hAnsi="Arial"/>
                <w:sz w:val="19"/>
                <w:szCs w:val="19"/>
                <w:b w:val="1"/>
                <w:bCs w:val="1"/>
                <w:color w:val="auto"/>
                <w:w w:val="93"/>
                <w:vertAlign w:val="superscript"/>
              </w:rPr>
              <w:t>(5)</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(6)</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William B. Shepro</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2010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$445,471</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$2,892,000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$994,500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$106,425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$4,438,396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$455,888</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$854,789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$274,584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$1,585,261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1260" w:type="dxa"/>
            <w:vAlign w:val="bottom"/>
            <w:gridSpan w:val="3"/>
            <w:shd w:val="clear" w:color="auto" w:fill="CCEEFF"/>
          </w:tcPr>
          <w:p>
            <w:pPr>
              <w:jc w:val="right"/>
              <w:ind w:right="80"/>
              <w:spacing w:after="0" w:line="205" w:lineRule="exact"/>
              <w:rPr>
                <w:sz w:val="20"/>
                <w:szCs w:val="20"/>
                <w:color w:val="auto"/>
              </w:rPr>
            </w:pPr>
            <w:r>
              <w:rPr>
                <w:rFonts w:ascii="Arial" w:cs="Arial" w:eastAsia="Arial" w:hAnsi="Arial"/>
                <w:sz w:val="15"/>
                <w:szCs w:val="15"/>
                <w:color w:val="auto"/>
              </w:rPr>
              <w:t>$488,487</w:t>
            </w:r>
            <w:r>
              <w:rPr>
                <w:rFonts w:ascii="Arial" w:cs="Arial" w:eastAsia="Arial" w:hAnsi="Arial"/>
                <w:sz w:val="23"/>
                <w:szCs w:val="23"/>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$172,228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$1,099,095</w:t>
            </w:r>
          </w:p>
        </w:tc>
        <w:tc>
          <w:tcPr>
            <w:tcW w:w="1520" w:type="dxa"/>
            <w:vAlign w:val="bottom"/>
            <w:gridSpan w:val="3"/>
            <w:shd w:val="clear" w:color="auto" w:fill="CCEEFF"/>
          </w:tcPr>
          <w:p>
            <w:pPr>
              <w:jc w:val="right"/>
              <w:ind w:right="80"/>
              <w:spacing w:after="0" w:line="205" w:lineRule="exact"/>
              <w:rPr>
                <w:sz w:val="20"/>
                <w:szCs w:val="20"/>
                <w:color w:val="auto"/>
              </w:rPr>
            </w:pPr>
            <w:r>
              <w:rPr>
                <w:rFonts w:ascii="Arial" w:cs="Arial" w:eastAsia="Arial" w:hAnsi="Arial"/>
                <w:sz w:val="15"/>
                <w:szCs w:val="15"/>
                <w:color w:val="auto"/>
              </w:rPr>
              <w:t>$385,512</w:t>
            </w:r>
            <w:r>
              <w:rPr>
                <w:rFonts w:ascii="Arial" w:cs="Arial" w:eastAsia="Arial" w:hAnsi="Arial"/>
                <w:sz w:val="23"/>
                <w:szCs w:val="23"/>
                <w:color w:val="auto"/>
                <w:vertAlign w:val="superscript"/>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$2,145,322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940" w:type="dxa"/>
            <w:vAlign w:val="bottom"/>
            <w:gridSpan w:val="3"/>
          </w:tcPr>
          <w:p>
            <w:pPr>
              <w:spacing w:after="0"/>
              <w:rPr>
                <w:sz w:val="20"/>
                <w:szCs w:val="20"/>
                <w:color w:val="auto"/>
              </w:rPr>
            </w:pPr>
            <w:r>
              <w:rPr>
                <w:rFonts w:ascii="Arial" w:cs="Arial" w:eastAsia="Arial" w:hAnsi="Arial"/>
                <w:sz w:val="17"/>
                <w:szCs w:val="17"/>
                <w:b w:val="1"/>
                <w:bCs w:val="1"/>
                <w:color w:val="auto"/>
              </w:rPr>
              <w:t>Kevin J. Wilcox</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$363,632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$1,446,000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$500,500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$150,076</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$2,460,208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40" w:type="dxa"/>
            <w:vAlign w:val="bottom"/>
            <w:gridSpan w:val="3"/>
          </w:tcPr>
          <w:p>
            <w:pPr>
              <w:spacing w:after="0"/>
              <w:rPr>
                <w:sz w:val="20"/>
                <w:szCs w:val="20"/>
                <w:color w:val="auto"/>
              </w:rPr>
            </w:pPr>
            <w:r>
              <w:rPr>
                <w:rFonts w:ascii="Arial" w:cs="Arial" w:eastAsia="Arial" w:hAnsi="Arial"/>
                <w:sz w:val="17"/>
                <w:szCs w:val="17"/>
                <w:color w:val="auto"/>
              </w:rPr>
              <w:t>Chief Administration</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$375,437</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$425,182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$131,143</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$931,762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40" w:type="dxa"/>
            <w:vAlign w:val="bottom"/>
            <w:gridSpan w:val="3"/>
          </w:tcPr>
          <w:p>
            <w:pPr>
              <w:spacing w:after="0"/>
              <w:rPr>
                <w:sz w:val="20"/>
                <w:szCs w:val="20"/>
                <w:color w:val="auto"/>
              </w:rPr>
            </w:pPr>
            <w:r>
              <w:rPr>
                <w:rFonts w:ascii="Arial" w:cs="Arial" w:eastAsia="Arial" w:hAnsi="Arial"/>
                <w:sz w:val="17"/>
                <w:szCs w:val="17"/>
                <w:color w:val="auto"/>
                <w:w w:val="89"/>
              </w:rPr>
              <w:t>Officer and General Counsel</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2012</w:t>
            </w:r>
          </w:p>
        </w:tc>
        <w:tc>
          <w:tcPr>
            <w:tcW w:w="1260" w:type="dxa"/>
            <w:vAlign w:val="bottom"/>
            <w:gridSpan w:val="3"/>
          </w:tcPr>
          <w:p>
            <w:pPr>
              <w:jc w:val="right"/>
              <w:ind w:right="80"/>
              <w:spacing w:after="0" w:line="214" w:lineRule="exact"/>
              <w:rPr>
                <w:sz w:val="20"/>
                <w:szCs w:val="20"/>
                <w:color w:val="auto"/>
              </w:rPr>
            </w:pPr>
            <w:r>
              <w:rPr>
                <w:rFonts w:ascii="Arial" w:cs="Arial" w:eastAsia="Arial" w:hAnsi="Arial"/>
                <w:sz w:val="15"/>
                <w:szCs w:val="15"/>
                <w:color w:val="auto"/>
              </w:rPr>
              <w:t>$395,686</w:t>
            </w:r>
            <w:r>
              <w:rPr>
                <w:rFonts w:ascii="Arial" w:cs="Arial" w:eastAsia="Arial" w:hAnsi="Arial"/>
                <w:sz w:val="24"/>
                <w:szCs w:val="24"/>
                <w:color w:val="auto"/>
                <w:vertAlign w:val="superscript"/>
              </w:rPr>
              <w:t>(9)</w:t>
            </w:r>
          </w:p>
        </w:tc>
        <w:tc>
          <w:tcPr>
            <w:tcW w:w="720" w:type="dxa"/>
            <w:vAlign w:val="bottom"/>
          </w:tcPr>
          <w:p>
            <w:pPr>
              <w:jc w:val="right"/>
              <w:spacing w:after="0"/>
              <w:rPr>
                <w:sz w:val="20"/>
                <w:szCs w:val="20"/>
                <w:color w:val="auto"/>
              </w:rPr>
            </w:pPr>
            <w:r>
              <w:rPr>
                <w:rFonts w:ascii="Arial" w:cs="Arial" w:eastAsia="Arial" w:hAnsi="Arial"/>
                <w:sz w:val="17"/>
                <w:szCs w:val="17"/>
                <w:color w:val="auto"/>
              </w:rPr>
              <w:t>$86,114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$569,788</w:t>
            </w:r>
          </w:p>
        </w:tc>
        <w:tc>
          <w:tcPr>
            <w:tcW w:w="1520" w:type="dxa"/>
            <w:vAlign w:val="bottom"/>
            <w:gridSpan w:val="3"/>
          </w:tcPr>
          <w:p>
            <w:pPr>
              <w:jc w:val="right"/>
              <w:ind w:right="20"/>
              <w:spacing w:after="0" w:line="214" w:lineRule="exact"/>
              <w:rPr>
                <w:sz w:val="20"/>
                <w:szCs w:val="20"/>
                <w:color w:val="auto"/>
              </w:rPr>
            </w:pPr>
            <w:r>
              <w:rPr>
                <w:rFonts w:ascii="Arial" w:cs="Arial" w:eastAsia="Arial" w:hAnsi="Arial"/>
                <w:sz w:val="15"/>
                <w:szCs w:val="15"/>
                <w:color w:val="auto"/>
              </w:rPr>
              <w:t>$236,419</w:t>
            </w:r>
            <w:r>
              <w:rPr>
                <w:rFonts w:ascii="Arial" w:cs="Arial" w:eastAsia="Arial" w:hAnsi="Arial"/>
                <w:sz w:val="24"/>
                <w:szCs w:val="24"/>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$1,288,007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Michelle D. Esterman</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2010</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46"/>
        </w:trPr>
        <w:tc>
          <w:tcPr>
            <w:tcW w:w="19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w w:val="96"/>
              </w:rPr>
              <w:t>Chief Financial Officer</w:t>
            </w:r>
            <w:r>
              <w:rPr>
                <w:rFonts w:ascii="Arial" w:cs="Arial" w:eastAsia="Arial" w:hAnsi="Arial"/>
                <w:sz w:val="27"/>
                <w:szCs w:val="27"/>
                <w:color w:val="auto"/>
                <w:w w:val="96"/>
                <w:vertAlign w:val="superscript"/>
              </w:rPr>
              <w:t>(11)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2011</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1260" w:type="dxa"/>
            <w:vAlign w:val="bottom"/>
            <w:gridSpan w:val="3"/>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$223,564</w:t>
            </w:r>
            <w:r>
              <w:rPr>
                <w:rFonts w:ascii="Arial" w:cs="Arial" w:eastAsia="Arial" w:hAnsi="Arial"/>
                <w:sz w:val="23"/>
                <w:szCs w:val="23"/>
                <w:color w:val="auto"/>
                <w:vertAlign w:val="superscript"/>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$1,009,418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$218,012</w:t>
            </w:r>
          </w:p>
        </w:tc>
        <w:tc>
          <w:tcPr>
            <w:tcW w:w="1520" w:type="dxa"/>
            <w:vAlign w:val="bottom"/>
            <w:gridSpan w:val="3"/>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$82,553</w:t>
            </w:r>
            <w:r>
              <w:rPr>
                <w:rFonts w:ascii="Arial" w:cs="Arial" w:eastAsia="Arial" w:hAnsi="Arial"/>
                <w:sz w:val="23"/>
                <w:szCs w:val="23"/>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940" w:type="dxa"/>
            <w:vAlign w:val="bottom"/>
            <w:gridSpan w:val="3"/>
          </w:tcPr>
          <w:p>
            <w:pPr>
              <w:spacing w:after="0"/>
              <w:rPr>
                <w:sz w:val="20"/>
                <w:szCs w:val="20"/>
                <w:color w:val="auto"/>
              </w:rPr>
            </w:pPr>
            <w:r>
              <w:rPr>
                <w:rFonts w:ascii="Arial" w:cs="Arial" w:eastAsia="Arial" w:hAnsi="Arial"/>
                <w:sz w:val="17"/>
                <w:szCs w:val="17"/>
                <w:b w:val="1"/>
                <w:bCs w:val="1"/>
                <w:color w:val="auto"/>
              </w:rPr>
              <w:t>Robert D. Stiles</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$272,065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$1,960,737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$243,800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$56,890</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$2,533,492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940" w:type="dxa"/>
            <w:vAlign w:val="bottom"/>
            <w:gridSpan w:val="3"/>
          </w:tcPr>
          <w:p>
            <w:pPr>
              <w:spacing w:after="0" w:line="245" w:lineRule="exact"/>
              <w:rPr>
                <w:sz w:val="20"/>
                <w:szCs w:val="20"/>
                <w:color w:val="auto"/>
              </w:rPr>
            </w:pPr>
            <w:r>
              <w:rPr>
                <w:rFonts w:ascii="Arial" w:cs="Arial" w:eastAsia="Arial" w:hAnsi="Arial"/>
                <w:sz w:val="17"/>
                <w:szCs w:val="17"/>
                <w:color w:val="auto"/>
                <w:w w:val="96"/>
              </w:rPr>
              <w:t>Chief Financial Officer</w:t>
            </w:r>
            <w:r>
              <w:rPr>
                <w:rFonts w:ascii="Arial" w:cs="Arial" w:eastAsia="Arial" w:hAnsi="Arial"/>
                <w:sz w:val="27"/>
                <w:szCs w:val="27"/>
                <w:color w:val="auto"/>
                <w:w w:val="96"/>
                <w:vertAlign w:val="superscript"/>
              </w:rPr>
              <w:t>(14)</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$284,672</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$90,588</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$375,260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$48,952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$178,532</w:t>
            </w:r>
            <w:r>
              <w:rPr>
                <w:rFonts w:ascii="Arial" w:cs="Arial" w:eastAsia="Arial" w:hAnsi="Arial"/>
                <w:sz w:val="27"/>
                <w:szCs w:val="27"/>
                <w:color w:val="auto"/>
                <w:vertAlign w:val="superscript"/>
              </w:rPr>
              <w:t>(15)</w:t>
            </w:r>
          </w:p>
        </w:tc>
        <w:tc>
          <w:tcPr>
            <w:tcW w:w="840" w:type="dxa"/>
            <w:vAlign w:val="bottom"/>
          </w:tcPr>
          <w:p>
            <w:pPr>
              <w:jc w:val="right"/>
              <w:spacing w:after="0"/>
              <w:rPr>
                <w:sz w:val="20"/>
                <w:szCs w:val="20"/>
                <w:color w:val="auto"/>
              </w:rPr>
            </w:pPr>
            <w:r>
              <w:rPr>
                <w:rFonts w:ascii="Arial" w:cs="Arial" w:eastAsia="Arial" w:hAnsi="Arial"/>
                <w:sz w:val="17"/>
                <w:szCs w:val="17"/>
                <w:color w:val="auto"/>
              </w:rPr>
              <w:t>$227,484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20" w:hanging="517"/>
        <w:spacing w:after="0" w:line="193" w:lineRule="auto"/>
        <w:tabs>
          <w:tab w:leader="none" w:pos="52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Represents amounts earned in corresponding year.</w:t>
      </w:r>
    </w:p>
    <w:p>
      <w:pPr>
        <w:spacing w:after="0" w:line="212" w:lineRule="exact"/>
        <w:rPr>
          <w:rFonts w:ascii="Arial" w:cs="Arial" w:eastAsia="Arial" w:hAnsi="Arial"/>
          <w:sz w:val="28"/>
          <w:szCs w:val="28"/>
          <w:color w:val="auto"/>
          <w:vertAlign w:val="superscript"/>
        </w:rPr>
      </w:pPr>
    </w:p>
    <w:p>
      <w:pPr>
        <w:jc w:val="both"/>
        <w:ind w:left="520" w:right="220" w:hanging="517"/>
        <w:spacing w:after="0" w:line="210" w:lineRule="auto"/>
        <w:tabs>
          <w:tab w:leader="none" w:pos="52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Represents the grant date fair value of AAMC Restricted Stock granted to our named executive officers on December 11, 2012, which grants are subject to the vesting conditions described in our Compensation Discussion &amp; Analysis under "Equity Incentive Plan." We determined the grant date fair value of these stock awards using a Monte Carlo simulation valuation methodology.</w:t>
      </w:r>
    </w:p>
    <w:p>
      <w:pPr>
        <w:spacing w:after="0" w:line="200" w:lineRule="exact"/>
        <w:rPr>
          <w:rFonts w:ascii="Arial" w:cs="Arial" w:eastAsia="Arial" w:hAnsi="Arial"/>
          <w:sz w:val="28"/>
          <w:szCs w:val="28"/>
          <w:color w:val="auto"/>
          <w:vertAlign w:val="superscript"/>
        </w:rPr>
      </w:pPr>
    </w:p>
    <w:p>
      <w:pPr>
        <w:ind w:left="520" w:right="240" w:hanging="517"/>
        <w:spacing w:after="0" w:line="210" w:lineRule="auto"/>
        <w:tabs>
          <w:tab w:leader="none" w:pos="52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2010 and 2012 using a Black-Scholes option-pricing model and a binomial option pricing model utilizing the following assumptions: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Service-based Awards - Black-Scholes Option Pricing Model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120"/>
              <w:spacing w:after="0" w:line="188" w:lineRule="exact"/>
              <w:rPr>
                <w:sz w:val="20"/>
                <w:szCs w:val="20"/>
                <w:color w:val="auto"/>
              </w:rPr>
            </w:pPr>
            <w:r>
              <w:rPr>
                <w:rFonts w:ascii="Arial" w:cs="Arial" w:eastAsia="Arial" w:hAnsi="Arial"/>
                <w:sz w:val="17"/>
                <w:szCs w:val="17"/>
                <w:b w:val="1"/>
                <w:bCs w:val="1"/>
                <w:color w:val="auto"/>
                <w:w w:val="87"/>
              </w:rPr>
              <w:t>Expected</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4"/>
          </w:tcPr>
          <w:p>
            <w:pPr>
              <w:jc w:val="center"/>
              <w:ind w:right="340"/>
              <w:spacing w:after="0" w:line="188" w:lineRule="exact"/>
              <w:rPr>
                <w:sz w:val="20"/>
                <w:szCs w:val="20"/>
                <w:color w:val="auto"/>
              </w:rPr>
            </w:pPr>
            <w:r>
              <w:rPr>
                <w:rFonts w:ascii="Arial" w:cs="Arial" w:eastAsia="Arial" w:hAnsi="Arial"/>
                <w:sz w:val="17"/>
                <w:szCs w:val="17"/>
                <w:b w:val="1"/>
                <w:bCs w:val="1"/>
                <w:color w:val="auto"/>
                <w:w w:val="87"/>
              </w:rPr>
              <w:t>Expected</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5"/>
          </w:tcPr>
          <w:p>
            <w:pPr>
              <w:jc w:val="center"/>
              <w:ind w:right="580"/>
              <w:spacing w:after="0" w:line="188" w:lineRule="exact"/>
              <w:rPr>
                <w:sz w:val="20"/>
                <w:szCs w:val="20"/>
                <w:color w:val="auto"/>
              </w:rPr>
            </w:pPr>
            <w:r>
              <w:rPr>
                <w:rFonts w:ascii="Arial" w:cs="Arial" w:eastAsia="Arial" w:hAnsi="Arial"/>
                <w:sz w:val="17"/>
                <w:szCs w:val="17"/>
                <w:b w:val="1"/>
                <w:bCs w:val="1"/>
                <w:color w:val="auto"/>
                <w:w w:val="90"/>
              </w:rPr>
              <w:t>Risk-Free</w:t>
            </w:r>
          </w:p>
        </w:tc>
        <w:tc>
          <w:tcPr>
            <w:tcW w:w="880" w:type="dxa"/>
            <w:vAlign w:val="bottom"/>
            <w:tcBorders>
              <w:top w:val="single" w:sz="8" w:color="auto"/>
            </w:tcBorders>
            <w:gridSpan w:val="3"/>
          </w:tcPr>
          <w:p>
            <w:pPr>
              <w:jc w:val="center"/>
              <w:ind w:right="96"/>
              <w:spacing w:after="0" w:line="188" w:lineRule="exact"/>
              <w:rPr>
                <w:sz w:val="20"/>
                <w:szCs w:val="20"/>
                <w:color w:val="auto"/>
              </w:rPr>
            </w:pPr>
            <w:r>
              <w:rPr>
                <w:rFonts w:ascii="Arial" w:cs="Arial" w:eastAsia="Arial" w:hAnsi="Arial"/>
                <w:sz w:val="17"/>
                <w:szCs w:val="17"/>
                <w:b w:val="1"/>
                <w:bCs w:val="1"/>
                <w:color w:val="auto"/>
                <w:w w:val="87"/>
              </w:rPr>
              <w:t>Expected</w:t>
            </w:r>
          </w:p>
        </w:tc>
        <w:tc>
          <w:tcPr>
            <w:tcW w:w="172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7"/>
                <w:szCs w:val="17"/>
                <w:b w:val="1"/>
                <w:bCs w:val="1"/>
                <w:color w:val="auto"/>
                <w:w w:val="90"/>
              </w:rPr>
              <w:t>Performance</w:t>
            </w:r>
          </w:p>
        </w:tc>
        <w:tc>
          <w:tcPr>
            <w:tcW w:w="11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0"/>
              </w:rPr>
              <w:t>Volatility</w:t>
            </w:r>
          </w:p>
        </w:tc>
        <w:tc>
          <w:tcPr>
            <w:tcW w:w="100" w:type="dxa"/>
            <w:vAlign w:val="bottom"/>
          </w:tcPr>
          <w:p>
            <w:pPr>
              <w:spacing w:after="0"/>
              <w:rPr>
                <w:sz w:val="17"/>
                <w:szCs w:val="17"/>
                <w:color w:val="auto"/>
              </w:rPr>
            </w:pPr>
          </w:p>
        </w:tc>
        <w:tc>
          <w:tcPr>
            <w:tcW w:w="128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auto"/>
                <w:w w:val="89"/>
              </w:rPr>
              <w:t>Dividend</w:t>
            </w:r>
          </w:p>
        </w:tc>
        <w:tc>
          <w:tcPr>
            <w:tcW w:w="152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87"/>
              </w:rPr>
              <w:t>Exercise Price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4"/>
          </w:tcPr>
          <w:p>
            <w:pPr>
              <w:jc w:val="center"/>
              <w:ind w:right="620"/>
              <w:spacing w:after="0"/>
              <w:rPr>
                <w:sz w:val="20"/>
                <w:szCs w:val="20"/>
                <w:color w:val="auto"/>
              </w:rPr>
            </w:pPr>
            <w:r>
              <w:rPr>
                <w:rFonts w:ascii="Arial" w:cs="Arial" w:eastAsia="Arial" w:hAnsi="Arial"/>
                <w:sz w:val="17"/>
                <w:szCs w:val="17"/>
                <w:b w:val="1"/>
                <w:bCs w:val="1"/>
                <w:color w:val="auto"/>
                <w:w w:val="87"/>
              </w:rPr>
              <w:t>Interest</w:t>
            </w:r>
          </w:p>
        </w:tc>
        <w:tc>
          <w:tcPr>
            <w:tcW w:w="2600" w:type="dxa"/>
            <w:vAlign w:val="bottom"/>
            <w:gridSpan w:val="4"/>
          </w:tcPr>
          <w:p>
            <w:pPr>
              <w:jc w:val="center"/>
              <w:ind w:right="1920"/>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2"/>
              </w:rPr>
              <w:t>Year</w:t>
            </w:r>
          </w:p>
        </w:tc>
        <w:tc>
          <w:tcPr>
            <w:tcW w:w="420" w:type="dxa"/>
            <w:vAlign w:val="bottom"/>
            <w:gridSpan w:val="2"/>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7"/>
                <w:szCs w:val="17"/>
                <w:b w:val="1"/>
                <w:bCs w:val="1"/>
                <w:color w:val="auto"/>
                <w:w w:val="97"/>
              </w:rPr>
              <w:t>Yield (%)</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center"/>
              <w:ind w:right="136"/>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196"/>
              <w:spacing w:after="0"/>
              <w:rPr>
                <w:sz w:val="20"/>
                <w:szCs w:val="20"/>
                <w:color w:val="auto"/>
              </w:rPr>
            </w:pPr>
            <w:r>
              <w:rPr>
                <w:rFonts w:ascii="Arial" w:cs="Arial" w:eastAsia="Arial" w:hAnsi="Arial"/>
                <w:sz w:val="17"/>
                <w:szCs w:val="17"/>
                <w:b w:val="1"/>
                <w:bCs w:val="1"/>
                <w:color w:val="auto"/>
                <w:w w:val="86"/>
              </w:rPr>
              <w:t>Years</w:t>
            </w:r>
          </w:p>
        </w:tc>
        <w:tc>
          <w:tcPr>
            <w:tcW w:w="1720" w:type="dxa"/>
            <w:vAlign w:val="bottom"/>
          </w:tcPr>
          <w:p>
            <w:pPr>
              <w:spacing w:after="0"/>
              <w:rPr>
                <w:sz w:val="18"/>
                <w:szCs w:val="18"/>
                <w:color w:val="auto"/>
              </w:rPr>
            </w:pPr>
          </w:p>
        </w:tc>
      </w:tr>
      <w:tr>
        <w:trPr>
          <w:trHeight w:val="200"/>
        </w:trPr>
        <w:tc>
          <w:tcPr>
            <w:tcW w:w="1720" w:type="dxa"/>
            <w:vAlign w:val="bottom"/>
          </w:tcPr>
          <w:p>
            <w:pPr>
              <w:spacing w:after="0"/>
              <w:rPr>
                <w:sz w:val="17"/>
                <w:szCs w:val="17"/>
                <w:color w:val="auto"/>
              </w:rPr>
            </w:pPr>
          </w:p>
        </w:tc>
        <w:tc>
          <w:tcPr>
            <w:tcW w:w="1180" w:type="dxa"/>
            <w:vAlign w:val="bottom"/>
            <w:gridSpan w:val="3"/>
            <w:shd w:val="clear" w:color="auto" w:fill="CCEEFF"/>
          </w:tcPr>
          <w:p>
            <w:pPr>
              <w:jc w:val="center"/>
              <w:ind w:left="196"/>
              <w:spacing w:after="0"/>
              <w:rPr>
                <w:sz w:val="20"/>
                <w:szCs w:val="20"/>
                <w:color w:val="auto"/>
              </w:rPr>
            </w:pPr>
            <w:r>
              <w:rPr>
                <w:rFonts w:ascii="Arial" w:cs="Arial" w:eastAsia="Arial" w:hAnsi="Arial"/>
                <w:sz w:val="17"/>
                <w:szCs w:val="17"/>
                <w:color w:val="auto"/>
                <w:w w:val="89"/>
              </w:rPr>
              <w:t>2010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47% - 50%</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8"/>
              </w:rPr>
              <w:t>$22.01 - $24.85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9"/>
              </w:rPr>
              <w:t>2.82% - 3.12%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center"/>
              <w:ind w:right="96"/>
              <w:spacing w:after="0"/>
              <w:rPr>
                <w:sz w:val="20"/>
                <w:szCs w:val="20"/>
                <w:color w:val="auto"/>
              </w:rPr>
            </w:pPr>
            <w:r>
              <w:rPr>
                <w:rFonts w:ascii="Arial" w:cs="Arial" w:eastAsia="Arial" w:hAnsi="Arial"/>
                <w:sz w:val="17"/>
                <w:szCs w:val="17"/>
                <w:color w:val="auto"/>
                <w:w w:val="90"/>
              </w:rPr>
              <w:t>7.00</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180" w:type="dxa"/>
            <w:vAlign w:val="bottom"/>
            <w:gridSpan w:val="3"/>
          </w:tcPr>
          <w:p>
            <w:pPr>
              <w:jc w:val="center"/>
              <w:ind w:left="176"/>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left="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5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center"/>
              <w:ind w:right="96"/>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180" w:type="dxa"/>
            <w:vAlign w:val="bottom"/>
            <w:gridSpan w:val="3"/>
            <w:shd w:val="clear" w:color="auto" w:fill="CCEEFF"/>
          </w:tcPr>
          <w:p>
            <w:pPr>
              <w:jc w:val="center"/>
              <w:ind w:left="196"/>
              <w:spacing w:after="0"/>
              <w:rPr>
                <w:sz w:val="20"/>
                <w:szCs w:val="20"/>
                <w:color w:val="auto"/>
              </w:rPr>
            </w:pPr>
            <w:r>
              <w:rPr>
                <w:rFonts w:ascii="Arial" w:cs="Arial" w:eastAsia="Arial" w:hAnsi="Arial"/>
                <w:sz w:val="17"/>
                <w:szCs w:val="17"/>
                <w:color w:val="auto"/>
                <w:w w:val="89"/>
              </w:rPr>
              <w:t>2012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8"/>
              </w:rPr>
              <w:t>35%</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8"/>
              </w:rPr>
              <w:t>$63.43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36"/>
              <w:spacing w:after="0"/>
              <w:rPr>
                <w:sz w:val="20"/>
                <w:szCs w:val="20"/>
                <w:color w:val="auto"/>
              </w:rPr>
            </w:pPr>
            <w:r>
              <w:rPr>
                <w:rFonts w:ascii="Arial" w:cs="Arial" w:eastAsia="Arial" w:hAnsi="Arial"/>
                <w:sz w:val="17"/>
                <w:szCs w:val="17"/>
                <w:color w:val="auto"/>
                <w:w w:val="91"/>
              </w:rPr>
              <w:t>1.17%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center"/>
              <w:ind w:right="96"/>
              <w:spacing w:after="0"/>
              <w:rPr>
                <w:sz w:val="20"/>
                <w:szCs w:val="20"/>
                <w:color w:val="auto"/>
              </w:rPr>
            </w:pPr>
            <w:r>
              <w:rPr>
                <w:rFonts w:ascii="Arial" w:cs="Arial" w:eastAsia="Arial" w:hAnsi="Arial"/>
                <w:sz w:val="17"/>
                <w:szCs w:val="17"/>
                <w:color w:val="auto"/>
                <w:w w:val="90"/>
              </w:rPr>
              <w:t>6.25</w:t>
            </w:r>
          </w:p>
        </w:tc>
        <w:tc>
          <w:tcPr>
            <w:tcW w:w="1720" w:type="dxa"/>
            <w:vAlign w:val="bottom"/>
          </w:tcPr>
          <w:p>
            <w:pPr>
              <w:spacing w:after="0"/>
              <w:rPr>
                <w:sz w:val="17"/>
                <w:szCs w:val="17"/>
                <w:color w:val="auto"/>
              </w:rPr>
            </w:pPr>
          </w:p>
        </w:tc>
      </w:tr>
      <w:tr>
        <w:trPr>
          <w:trHeight w:val="823"/>
        </w:trPr>
        <w:tc>
          <w:tcPr>
            <w:tcW w:w="1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8"/>
          </w:tcPr>
          <w:p>
            <w:pPr>
              <w:jc w:val="center"/>
              <w:ind w:right="960"/>
              <w:spacing w:after="0"/>
              <w:rPr>
                <w:sz w:val="20"/>
                <w:szCs w:val="20"/>
                <w:color w:val="auto"/>
              </w:rPr>
            </w:pPr>
            <w:r>
              <w:rPr>
                <w:rFonts w:ascii="Arial" w:cs="Arial" w:eastAsia="Arial" w:hAnsi="Arial"/>
                <w:sz w:val="17"/>
                <w:szCs w:val="17"/>
                <w:b w:val="1"/>
                <w:bCs w:val="1"/>
                <w:color w:val="auto"/>
                <w:w w:val="90"/>
              </w:rPr>
              <w:t>Market-based Awards - Binomial Option Pricing Model</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187"/>
        </w:trPr>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center"/>
              <w:ind w:left="36"/>
              <w:spacing w:after="0" w:line="187" w:lineRule="exact"/>
              <w:rPr>
                <w:sz w:val="20"/>
                <w:szCs w:val="20"/>
                <w:color w:val="auto"/>
              </w:rPr>
            </w:pPr>
            <w:r>
              <w:rPr>
                <w:rFonts w:ascii="Arial" w:cs="Arial" w:eastAsia="Arial" w:hAnsi="Arial"/>
                <w:sz w:val="17"/>
                <w:szCs w:val="17"/>
                <w:b w:val="1"/>
                <w:bCs w:val="1"/>
                <w:color w:val="auto"/>
                <w:w w:val="87"/>
              </w:rPr>
              <w:t>Expected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left="96"/>
              <w:spacing w:after="0" w:line="187" w:lineRule="exact"/>
              <w:rPr>
                <w:sz w:val="20"/>
                <w:szCs w:val="20"/>
                <w:color w:val="auto"/>
              </w:rPr>
            </w:pPr>
            <w:r>
              <w:rPr>
                <w:rFonts w:ascii="Arial" w:cs="Arial" w:eastAsia="Arial" w:hAnsi="Arial"/>
                <w:sz w:val="17"/>
                <w:szCs w:val="17"/>
                <w:b w:val="1"/>
                <w:bCs w:val="1"/>
                <w:color w:val="auto"/>
                <w:w w:val="87"/>
              </w:rPr>
              <w:t>Expected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left="16"/>
              <w:spacing w:after="0" w:line="187" w:lineRule="exact"/>
              <w:rPr>
                <w:sz w:val="20"/>
                <w:szCs w:val="20"/>
                <w:color w:val="auto"/>
              </w:rPr>
            </w:pPr>
            <w:r>
              <w:rPr>
                <w:rFonts w:ascii="Arial" w:cs="Arial" w:eastAsia="Arial" w:hAnsi="Arial"/>
                <w:sz w:val="17"/>
                <w:szCs w:val="17"/>
                <w:b w:val="1"/>
                <w:bCs w:val="1"/>
                <w:color w:val="auto"/>
                <w:w w:val="90"/>
              </w:rPr>
              <w:t>Risk-Free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1"/>
              </w:rPr>
              <w:t>Contract</w:t>
            </w:r>
          </w:p>
        </w:tc>
        <w:tc>
          <w:tcPr>
            <w:tcW w:w="1720" w:type="dxa"/>
            <w:vAlign w:val="bottom"/>
          </w:tcPr>
          <w:p>
            <w:pPr>
              <w:spacing w:after="0"/>
              <w:rPr>
                <w:sz w:val="16"/>
                <w:szCs w:val="16"/>
                <w:color w:val="auto"/>
              </w:rPr>
            </w:pPr>
          </w:p>
        </w:tc>
      </w:tr>
      <w:tr>
        <w:trPr>
          <w:trHeight w:val="206"/>
        </w:trPr>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88"/>
              </w:rPr>
              <w:t>Performance</w:t>
            </w:r>
          </w:p>
        </w:tc>
        <w:tc>
          <w:tcPr>
            <w:tcW w:w="240" w:type="dxa"/>
            <w:vAlign w:val="bottom"/>
          </w:tcPr>
          <w:p>
            <w:pPr>
              <w:spacing w:after="0"/>
              <w:rPr>
                <w:sz w:val="17"/>
                <w:szCs w:val="17"/>
                <w:color w:val="auto"/>
              </w:rPr>
            </w:pPr>
          </w:p>
        </w:tc>
        <w:tc>
          <w:tcPr>
            <w:tcW w:w="940" w:type="dxa"/>
            <w:vAlign w:val="bottom"/>
            <w:gridSpan w:val="2"/>
          </w:tcPr>
          <w:p>
            <w:pPr>
              <w:jc w:val="center"/>
              <w:ind w:left="36"/>
              <w:spacing w:after="0"/>
              <w:rPr>
                <w:sz w:val="20"/>
                <w:szCs w:val="20"/>
                <w:color w:val="auto"/>
              </w:rPr>
            </w:pPr>
            <w:r>
              <w:rPr>
                <w:rFonts w:ascii="Arial" w:cs="Arial" w:eastAsia="Arial" w:hAnsi="Arial"/>
                <w:sz w:val="17"/>
                <w:szCs w:val="17"/>
                <w:b w:val="1"/>
                <w:bCs w:val="1"/>
                <w:color w:val="auto"/>
                <w:w w:val="93"/>
              </w:rPr>
              <w:t>Volatility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center"/>
              <w:ind w:left="116"/>
              <w:spacing w:after="0"/>
              <w:rPr>
                <w:sz w:val="20"/>
                <w:szCs w:val="20"/>
                <w:color w:val="auto"/>
              </w:rPr>
            </w:pPr>
            <w:r>
              <w:rPr>
                <w:rFonts w:ascii="Arial" w:cs="Arial" w:eastAsia="Arial" w:hAnsi="Arial"/>
                <w:sz w:val="17"/>
                <w:szCs w:val="17"/>
                <w:b w:val="1"/>
                <w:bCs w:val="1"/>
                <w:color w:val="auto"/>
                <w:w w:val="89"/>
              </w:rPr>
              <w:t>Dividend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left="76"/>
              <w:spacing w:after="0"/>
              <w:rPr>
                <w:sz w:val="20"/>
                <w:szCs w:val="20"/>
                <w:color w:val="auto"/>
              </w:rPr>
            </w:pPr>
            <w:r>
              <w:rPr>
                <w:rFonts w:ascii="Arial" w:cs="Arial" w:eastAsia="Arial" w:hAnsi="Arial"/>
                <w:sz w:val="17"/>
                <w:szCs w:val="17"/>
                <w:b w:val="1"/>
                <w:bCs w:val="1"/>
                <w:color w:val="auto"/>
                <w:w w:val="87"/>
              </w:rPr>
              <w:t>Exercise Price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center"/>
              <w:ind w:left="16"/>
              <w:spacing w:after="0"/>
              <w:rPr>
                <w:sz w:val="20"/>
                <w:szCs w:val="20"/>
                <w:color w:val="auto"/>
              </w:rPr>
            </w:pPr>
            <w:r>
              <w:rPr>
                <w:rFonts w:ascii="Arial" w:cs="Arial" w:eastAsia="Arial" w:hAnsi="Arial"/>
                <w:sz w:val="17"/>
                <w:szCs w:val="17"/>
                <w:b w:val="1"/>
                <w:bCs w:val="1"/>
                <w:color w:val="auto"/>
                <w:w w:val="87"/>
              </w:rPr>
              <w:t>Interest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2"/>
          </w:tcPr>
          <w:p>
            <w:pPr>
              <w:jc w:val="center"/>
              <w:ind w:right="1720"/>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2"/>
              </w:rPr>
              <w:t>Year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jc w:val="center"/>
              <w:ind w:left="156"/>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7"/>
                <w:szCs w:val="17"/>
                <w:b w:val="1"/>
                <w:bCs w:val="1"/>
                <w:color w:val="auto"/>
                <w:w w:val="97"/>
              </w:rPr>
              <w:t>Yield (%)</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bottom w:val="single" w:sz="8" w:color="auto"/>
            </w:tcBorders>
            <w:gridSpan w:val="3"/>
          </w:tcPr>
          <w:p>
            <w:pPr>
              <w:jc w:val="center"/>
              <w:ind w:left="16"/>
              <w:spacing w:after="0"/>
              <w:rPr>
                <w:sz w:val="20"/>
                <w:szCs w:val="20"/>
                <w:color w:val="auto"/>
              </w:rPr>
            </w:pPr>
            <w:r>
              <w:rPr>
                <w:rFonts w:ascii="Arial" w:cs="Arial" w:eastAsia="Arial" w:hAnsi="Arial"/>
                <w:sz w:val="17"/>
                <w:szCs w:val="17"/>
                <w:b w:val="1"/>
                <w:bCs w:val="1"/>
                <w:color w:val="auto"/>
                <w:w w:val="96"/>
              </w:rPr>
              <w:t>Rate (%)</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c>
          <w:tcPr>
            <w:tcW w:w="1720" w:type="dxa"/>
            <w:vAlign w:val="bottom"/>
          </w:tcPr>
          <w:p>
            <w:pPr>
              <w:spacing w:after="0"/>
              <w:rPr>
                <w:sz w:val="18"/>
                <w:szCs w:val="18"/>
                <w:color w:val="auto"/>
              </w:rPr>
            </w:pPr>
          </w:p>
        </w:tc>
      </w:tr>
      <w:tr>
        <w:trPr>
          <w:trHeight w:val="200"/>
        </w:trPr>
        <w:tc>
          <w:tcPr>
            <w:tcW w:w="1720" w:type="dxa"/>
            <w:vAlign w:val="bottom"/>
          </w:tcPr>
          <w:p>
            <w:pPr>
              <w:spacing w:after="0"/>
              <w:rPr>
                <w:sz w:val="17"/>
                <w:szCs w:val="17"/>
                <w:color w:val="auto"/>
              </w:rPr>
            </w:pPr>
          </w:p>
        </w:tc>
        <w:tc>
          <w:tcPr>
            <w:tcW w:w="1180" w:type="dxa"/>
            <w:vAlign w:val="bottom"/>
            <w:gridSpan w:val="3"/>
            <w:shd w:val="clear" w:color="auto" w:fill="CCEEFF"/>
          </w:tcPr>
          <w:p>
            <w:pPr>
              <w:jc w:val="center"/>
              <w:ind w:left="436"/>
              <w:spacing w:after="0"/>
              <w:rPr>
                <w:sz w:val="20"/>
                <w:szCs w:val="20"/>
                <w:color w:val="auto"/>
              </w:rPr>
            </w:pPr>
            <w:r>
              <w:rPr>
                <w:rFonts w:ascii="Arial" w:cs="Arial" w:eastAsia="Arial" w:hAnsi="Arial"/>
                <w:sz w:val="17"/>
                <w:szCs w:val="17"/>
                <w:color w:val="auto"/>
                <w:w w:val="89"/>
              </w:rPr>
              <w:t>2010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center"/>
              <w:ind w:left="356"/>
              <w:spacing w:after="0"/>
              <w:rPr>
                <w:sz w:val="20"/>
                <w:szCs w:val="20"/>
                <w:color w:val="auto"/>
              </w:rPr>
            </w:pPr>
            <w:r>
              <w:rPr>
                <w:rFonts w:ascii="Arial" w:cs="Arial" w:eastAsia="Arial" w:hAnsi="Arial"/>
                <w:sz w:val="17"/>
                <w:szCs w:val="17"/>
                <w:color w:val="auto"/>
                <w:w w:val="88"/>
              </w:rPr>
              <w:t>51% - 52%</w:t>
            </w:r>
          </w:p>
        </w:tc>
        <w:tc>
          <w:tcPr>
            <w:tcW w:w="1140" w:type="dxa"/>
            <w:vAlign w:val="bottom"/>
            <w:gridSpan w:val="3"/>
            <w:shd w:val="clear" w:color="auto" w:fill="CCEEFF"/>
          </w:tcPr>
          <w:p>
            <w:pPr>
              <w:jc w:val="center"/>
              <w:ind w:left="59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6"/>
            <w:shd w:val="clear" w:color="auto" w:fill="CCEEFF"/>
          </w:tcPr>
          <w:p>
            <w:pPr>
              <w:jc w:val="center"/>
              <w:ind w:left="397"/>
              <w:spacing w:after="0"/>
              <w:rPr>
                <w:sz w:val="20"/>
                <w:szCs w:val="20"/>
                <w:color w:val="auto"/>
              </w:rPr>
            </w:pPr>
            <w:r>
              <w:rPr>
                <w:rFonts w:ascii="Arial" w:cs="Arial" w:eastAsia="Arial" w:hAnsi="Arial"/>
                <w:sz w:val="17"/>
                <w:szCs w:val="17"/>
                <w:color w:val="auto"/>
                <w:w w:val="88"/>
              </w:rPr>
              <w:t>$22.01 - $25.85</w:t>
            </w:r>
          </w:p>
        </w:tc>
        <w:tc>
          <w:tcPr>
            <w:tcW w:w="1320" w:type="dxa"/>
            <w:vAlign w:val="bottom"/>
            <w:gridSpan w:val="5"/>
            <w:shd w:val="clear" w:color="auto" w:fill="CCEEFF"/>
          </w:tcPr>
          <w:p>
            <w:pPr>
              <w:jc w:val="center"/>
              <w:ind w:left="216"/>
              <w:spacing w:after="0"/>
              <w:rPr>
                <w:sz w:val="20"/>
                <w:szCs w:val="20"/>
                <w:color w:val="auto"/>
              </w:rPr>
            </w:pPr>
            <w:r>
              <w:rPr>
                <w:rFonts w:ascii="Arial" w:cs="Arial" w:eastAsia="Arial" w:hAnsi="Arial"/>
                <w:sz w:val="17"/>
                <w:szCs w:val="17"/>
                <w:color w:val="auto"/>
                <w:w w:val="91"/>
              </w:rPr>
              <w:t>0.02% - 3.66%</w:t>
            </w:r>
          </w:p>
        </w:tc>
        <w:tc>
          <w:tcPr>
            <w:tcW w:w="880" w:type="dxa"/>
            <w:vAlign w:val="bottom"/>
            <w:gridSpan w:val="3"/>
            <w:shd w:val="clear" w:color="auto" w:fill="CCEEFF"/>
          </w:tcPr>
          <w:p>
            <w:pPr>
              <w:jc w:val="center"/>
              <w:ind w:left="156"/>
              <w:spacing w:after="0"/>
              <w:rPr>
                <w:sz w:val="20"/>
                <w:szCs w:val="20"/>
                <w:color w:val="auto"/>
              </w:rPr>
            </w:pPr>
            <w:r>
              <w:rPr>
                <w:rFonts w:ascii="Arial" w:cs="Arial" w:eastAsia="Arial" w:hAnsi="Arial"/>
                <w:sz w:val="17"/>
                <w:szCs w:val="17"/>
                <w:color w:val="auto"/>
                <w:w w:val="84"/>
              </w:rPr>
              <w:t>13</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180" w:type="dxa"/>
            <w:vAlign w:val="bottom"/>
            <w:gridSpan w:val="3"/>
          </w:tcPr>
          <w:p>
            <w:pPr>
              <w:jc w:val="center"/>
              <w:ind w:left="416"/>
              <w:spacing w:after="0"/>
              <w:rPr>
                <w:sz w:val="20"/>
                <w:szCs w:val="20"/>
                <w:color w:val="auto"/>
              </w:rPr>
            </w:pPr>
            <w:r>
              <w:rPr>
                <w:rFonts w:ascii="Arial" w:cs="Arial" w:eastAsia="Arial" w:hAnsi="Arial"/>
                <w:sz w:val="17"/>
                <w:szCs w:val="17"/>
                <w:color w:val="auto"/>
                <w:w w:val="84"/>
              </w:rPr>
              <w:t>2011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left="49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3"/>
          </w:tcPr>
          <w:p>
            <w:pPr>
              <w:jc w:val="center"/>
              <w:ind w:left="59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left="77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left="57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center"/>
              <w:ind w:left="176"/>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180" w:type="dxa"/>
            <w:vAlign w:val="bottom"/>
            <w:gridSpan w:val="3"/>
            <w:shd w:val="clear" w:color="auto" w:fill="CCEEFF"/>
          </w:tcPr>
          <w:p>
            <w:pPr>
              <w:jc w:val="center"/>
              <w:ind w:left="436"/>
              <w:spacing w:after="0"/>
              <w:rPr>
                <w:sz w:val="20"/>
                <w:szCs w:val="20"/>
                <w:color w:val="auto"/>
              </w:rPr>
            </w:pPr>
            <w:r>
              <w:rPr>
                <w:rFonts w:ascii="Arial" w:cs="Arial" w:eastAsia="Arial" w:hAnsi="Arial"/>
                <w:sz w:val="17"/>
                <w:szCs w:val="17"/>
                <w:color w:val="auto"/>
                <w:w w:val="89"/>
              </w:rPr>
              <w:t>2012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496"/>
              <w:spacing w:after="0"/>
              <w:rPr>
                <w:sz w:val="20"/>
                <w:szCs w:val="20"/>
                <w:color w:val="auto"/>
              </w:rPr>
            </w:pPr>
            <w:r>
              <w:rPr>
                <w:rFonts w:ascii="Arial" w:cs="Arial" w:eastAsia="Arial" w:hAnsi="Arial"/>
                <w:sz w:val="17"/>
                <w:szCs w:val="17"/>
                <w:color w:val="auto"/>
                <w:w w:val="88"/>
              </w:rPr>
              <w:t>35%</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left="59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center"/>
              <w:ind w:left="637"/>
              <w:spacing w:after="0"/>
              <w:rPr>
                <w:sz w:val="20"/>
                <w:szCs w:val="20"/>
                <w:color w:val="auto"/>
              </w:rPr>
            </w:pPr>
            <w:r>
              <w:rPr>
                <w:rFonts w:ascii="Arial" w:cs="Arial" w:eastAsia="Arial" w:hAnsi="Arial"/>
                <w:sz w:val="17"/>
                <w:szCs w:val="17"/>
                <w:color w:val="auto"/>
                <w:w w:val="88"/>
              </w:rPr>
              <w:t>$63.43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5"/>
            <w:shd w:val="clear" w:color="auto" w:fill="CCEEFF"/>
          </w:tcPr>
          <w:p>
            <w:pPr>
              <w:jc w:val="center"/>
              <w:ind w:left="216"/>
              <w:spacing w:after="0"/>
              <w:rPr>
                <w:sz w:val="20"/>
                <w:szCs w:val="20"/>
                <w:color w:val="auto"/>
              </w:rPr>
            </w:pPr>
            <w:r>
              <w:rPr>
                <w:rFonts w:ascii="Arial" w:cs="Arial" w:eastAsia="Arial" w:hAnsi="Arial"/>
                <w:sz w:val="17"/>
                <w:szCs w:val="17"/>
                <w:color w:val="auto"/>
                <w:w w:val="91"/>
              </w:rPr>
              <w:t>0.09% - 2.04%</w:t>
            </w:r>
          </w:p>
        </w:tc>
        <w:tc>
          <w:tcPr>
            <w:tcW w:w="880" w:type="dxa"/>
            <w:vAlign w:val="bottom"/>
            <w:gridSpan w:val="3"/>
            <w:shd w:val="clear" w:color="auto" w:fill="CCEEFF"/>
          </w:tcPr>
          <w:p>
            <w:pPr>
              <w:jc w:val="center"/>
              <w:ind w:left="156"/>
              <w:spacing w:after="0"/>
              <w:rPr>
                <w:sz w:val="20"/>
                <w:szCs w:val="20"/>
                <w:color w:val="auto"/>
              </w:rPr>
            </w:pPr>
            <w:r>
              <w:rPr>
                <w:rFonts w:ascii="Arial" w:cs="Arial" w:eastAsia="Arial" w:hAnsi="Arial"/>
                <w:sz w:val="17"/>
                <w:szCs w:val="17"/>
                <w:color w:val="auto"/>
                <w:w w:val="84"/>
              </w:rPr>
              <w:t>14</w:t>
            </w:r>
          </w:p>
        </w:tc>
        <w:tc>
          <w:tcPr>
            <w:tcW w:w="1720" w:type="dxa"/>
            <w:vAlign w:val="bottom"/>
          </w:tcPr>
          <w:p>
            <w:pPr>
              <w:spacing w:after="0"/>
              <w:rPr>
                <w:sz w:val="17"/>
                <w:szCs w:val="17"/>
                <w:color w:val="auto"/>
              </w:rPr>
            </w:pPr>
          </w:p>
        </w:tc>
      </w:tr>
      <w:tr>
        <w:trPr>
          <w:trHeight w:val="411"/>
        </w:trPr>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right"/>
              <w:ind w:right="8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7"/>
        </w:trPr>
        <w:tc>
          <w:tcPr>
            <w:tcW w:w="17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ind w:left="520" w:right="380" w:hanging="517"/>
        <w:spacing w:after="0" w:line="210" w:lineRule="auto"/>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Outstanding Altisource stock options have been adjusted to reflect the distribution of AAMC and Residential stock to Altisource shareholders in two spin-off transactions completed on December 21, 2012. All holders of Altisource stock option awards, including AAMC and Residential employees and those who remained with Altisource after the spin-off transactions, received the following:</w:t>
      </w:r>
    </w:p>
    <w:p>
      <w:pPr>
        <w:spacing w:after="0" w:line="200" w:lineRule="exact"/>
        <w:rPr>
          <w:rFonts w:ascii="Arial" w:cs="Arial" w:eastAsia="Arial" w:hAnsi="Arial"/>
          <w:sz w:val="28"/>
          <w:szCs w:val="28"/>
          <w:color w:val="auto"/>
          <w:vertAlign w:val="superscript"/>
        </w:rPr>
      </w:pPr>
    </w:p>
    <w:p>
      <w:pPr>
        <w:spacing w:after="0" w:line="232" w:lineRule="exact"/>
        <w:rPr>
          <w:rFonts w:ascii="Arial" w:cs="Arial" w:eastAsia="Arial" w:hAnsi="Arial"/>
          <w:sz w:val="28"/>
          <w:szCs w:val="28"/>
          <w:color w:val="auto"/>
          <w:vertAlign w:val="superscript"/>
        </w:rPr>
      </w:pPr>
    </w:p>
    <w:p>
      <w:pPr>
        <w:ind w:left="1040" w:hanging="522"/>
        <w:spacing w:after="0" w:line="343" w:lineRule="auto"/>
        <w:tabs>
          <w:tab w:leader="none" w:pos="10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New AAMC stock options to acquire the number of shares of AAMC equal to the product of (a) the number of Altisource stock options held on the date of the spin-off of AAMC and (b) the distribution ratio of one (1) share of AAMC common stock for every ten (10) shares of Altisource common stock;</w:t>
      </w:r>
    </w:p>
    <w:p>
      <w:pPr>
        <w:spacing w:after="0" w:line="137" w:lineRule="exact"/>
        <w:rPr>
          <w:rFonts w:ascii="Arial" w:cs="Arial" w:eastAsia="Arial" w:hAnsi="Arial"/>
          <w:sz w:val="15"/>
          <w:szCs w:val="15"/>
          <w:color w:val="auto"/>
        </w:rPr>
      </w:pPr>
    </w:p>
    <w:p>
      <w:pPr>
        <w:ind w:left="1040" w:hanging="522"/>
        <w:spacing w:after="0" w:line="263" w:lineRule="auto"/>
        <w:tabs>
          <w:tab w:leader="none" w:pos="10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New Residential stock options to acquire the number of shares of Residential equal to the product of (a) the number of Altisource stock options held on the date of the spin-off of Residential and (b) the distribution ratio of one (1) share of Residential common stock for every three (3) shares of Altisource common stock; and</w:t>
      </w:r>
    </w:p>
    <w:p>
      <w:pPr>
        <w:spacing w:after="0" w:line="194" w:lineRule="exact"/>
        <w:rPr>
          <w:rFonts w:ascii="Arial" w:cs="Arial" w:eastAsia="Arial" w:hAnsi="Arial"/>
          <w:sz w:val="17"/>
          <w:szCs w:val="17"/>
          <w:color w:val="auto"/>
        </w:rPr>
      </w:pPr>
    </w:p>
    <w:p>
      <w:pPr>
        <w:ind w:left="1040" w:hanging="522"/>
        <w:spacing w:after="0"/>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Adjusted Altisource stock options for the same number of shares of Altisource common stock with a reduced exercise price per stock option.</w:t>
      </w:r>
    </w:p>
    <w:p>
      <w:pPr>
        <w:spacing w:after="0" w:line="228" w:lineRule="exact"/>
        <w:rPr>
          <w:sz w:val="20"/>
          <w:szCs w:val="20"/>
          <w:color w:val="auto"/>
        </w:rPr>
      </w:pPr>
    </w:p>
    <w:p>
      <w:pPr>
        <w:ind w:left="520" w:right="40"/>
        <w:spacing w:after="0" w:line="314" w:lineRule="auto"/>
        <w:rPr>
          <w:sz w:val="20"/>
          <w:szCs w:val="20"/>
          <w:color w:val="auto"/>
        </w:rPr>
      </w:pPr>
      <w:r>
        <w:rPr>
          <w:rFonts w:ascii="Arial" w:cs="Arial" w:eastAsia="Arial" w:hAnsi="Arial"/>
          <w:sz w:val="15"/>
          <w:szCs w:val="15"/>
          <w:color w:val="auto"/>
        </w:rPr>
        <w:t>We determined the exercise price of the new Residential and AAMC stock option and the adjusted Altisource stock option in a manner so that the fair value of the adjusted Altisource stock award and the new Residential and AAMC stock options immediately following the spin-offs was equivalent to the fair value of such Altisource stock award immediately prior to the spin-offs. No incremental share-based compensation was recognized as a result of this adjustment.</w:t>
      </w:r>
    </w:p>
    <w:p>
      <w:pPr>
        <w:spacing w:after="0" w:line="160" w:lineRule="exact"/>
        <w:rPr>
          <w:sz w:val="20"/>
          <w:szCs w:val="20"/>
          <w:color w:val="auto"/>
        </w:rPr>
      </w:pPr>
    </w:p>
    <w:p>
      <w:pPr>
        <w:ind w:left="520" w:hanging="517"/>
        <w:spacing w:after="0" w:line="194"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Consists of the cash portion of incentive compensation bonus related to performance measures satisfied in the year indicated and awarded in the first quarter of the following year.</w:t>
      </w:r>
    </w:p>
    <w:p>
      <w:pPr>
        <w:spacing w:after="0" w:line="199" w:lineRule="exact"/>
        <w:rPr>
          <w:rFonts w:ascii="Arial" w:cs="Arial" w:eastAsia="Arial" w:hAnsi="Arial"/>
          <w:sz w:val="28"/>
          <w:szCs w:val="28"/>
          <w:color w:val="auto"/>
          <w:vertAlign w:val="superscript"/>
        </w:rPr>
      </w:pPr>
    </w:p>
    <w:p>
      <w:pPr>
        <w:ind w:left="520" w:right="220" w:hanging="517"/>
        <w:spacing w:after="0" w:line="194"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Consists of contributions by Altisource to each executive officer for car allowances, housing allowances, goods and services allowance, educational allowances and tax equalization allowance as detailed below.</w:t>
      </w:r>
    </w:p>
    <w:p>
      <w:pPr>
        <w:spacing w:after="0" w:line="199" w:lineRule="exact"/>
        <w:rPr>
          <w:rFonts w:ascii="Arial" w:cs="Arial" w:eastAsia="Arial" w:hAnsi="Arial"/>
          <w:sz w:val="28"/>
          <w:szCs w:val="28"/>
          <w:color w:val="auto"/>
          <w:vertAlign w:val="superscript"/>
        </w:rPr>
      </w:pPr>
    </w:p>
    <w:p>
      <w:pPr>
        <w:ind w:left="520" w:right="240" w:hanging="517"/>
        <w:spacing w:after="0" w:line="194"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Represents Mr. Shepro's average base salary for 2012. Mr. Shepro's annual base salary was $464,376 from January 1, 2012 through August 31, 2012, $526,829 from September 1, 2012 to September 30, 2012 and $540,000 from October 1, 2012 through December 31, 2012.</w:t>
      </w:r>
    </w:p>
    <w:p>
      <w:pPr>
        <w:spacing w:after="0" w:line="212" w:lineRule="exact"/>
        <w:rPr>
          <w:rFonts w:ascii="Arial" w:cs="Arial" w:eastAsia="Arial" w:hAnsi="Arial"/>
          <w:sz w:val="28"/>
          <w:szCs w:val="28"/>
          <w:color w:val="auto"/>
          <w:vertAlign w:val="superscript"/>
        </w:rPr>
      </w:pPr>
    </w:p>
    <w:p>
      <w:pPr>
        <w:ind w:left="520" w:right="60" w:hanging="517"/>
        <w:spacing w:after="0" w:line="219"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Includes $57,166 for housing allowance, $5,275 for a car allowance, $36,871 for education allowance, $23,499 for goods and services allowance, $15,107 for travel allowance, $26,341 for medical benefits, $44,250 of estimated 2012 tax payments, $5,100 for tax preparation services and a $171,903 tax equalization allowance for 2011 earnings. Mr. Shepro also has access to a Company car while in Luxembourg. These amounts do not include the impact of the tax gross-up on the benefits.</w:t>
      </w:r>
    </w:p>
    <w:p>
      <w:pPr>
        <w:spacing w:after="0" w:line="201" w:lineRule="exact"/>
        <w:rPr>
          <w:rFonts w:ascii="Arial" w:cs="Arial" w:eastAsia="Arial" w:hAnsi="Arial"/>
          <w:sz w:val="28"/>
          <w:szCs w:val="28"/>
          <w:color w:val="auto"/>
          <w:vertAlign w:val="superscript"/>
        </w:rPr>
      </w:pPr>
    </w:p>
    <w:p>
      <w:pPr>
        <w:ind w:left="520" w:right="220" w:hanging="517"/>
        <w:spacing w:after="0" w:line="194"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Represents Mr. Wilcox's average base salary for 2012. Mr. Wilcox's annual base salary was $382,325 from January 1, 2012 through August 31, 2012, $414,634 from September 1, 2012 to September 30, 2012 and $425,000 from October 1, 2012 through December 31, 2012.</w:t>
      </w:r>
    </w:p>
    <w:p>
      <w:pPr>
        <w:spacing w:after="0" w:line="199" w:lineRule="exact"/>
        <w:rPr>
          <w:rFonts w:ascii="Arial" w:cs="Arial" w:eastAsia="Arial" w:hAnsi="Arial"/>
          <w:sz w:val="28"/>
          <w:szCs w:val="28"/>
          <w:color w:val="auto"/>
          <w:vertAlign w:val="superscript"/>
        </w:rPr>
      </w:pPr>
    </w:p>
    <w:p>
      <w:pPr>
        <w:ind w:left="520" w:right="60" w:hanging="517"/>
        <w:spacing w:after="0" w:line="203" w:lineRule="auto"/>
        <w:tabs>
          <w:tab w:leader="none" w:pos="520" w:val="left"/>
        </w:tabs>
        <w:numPr>
          <w:ilvl w:val="0"/>
          <w:numId w:val="35"/>
        </w:numPr>
        <w:rPr>
          <w:rFonts w:ascii="Arial" w:cs="Arial" w:eastAsia="Arial" w:hAnsi="Arial"/>
          <w:sz w:val="27"/>
          <w:szCs w:val="27"/>
          <w:color w:val="auto"/>
          <w:vertAlign w:val="superscript"/>
        </w:rPr>
      </w:pPr>
      <w:r>
        <w:rPr>
          <w:rFonts w:ascii="Arial" w:cs="Arial" w:eastAsia="Arial" w:hAnsi="Arial"/>
          <w:sz w:val="16"/>
          <w:szCs w:val="16"/>
          <w:color w:val="auto"/>
        </w:rPr>
        <w:t>Includes $28,934 for housing allowance, $23,499 for goods and services allowance, $9,294 for medical benefits, $45,800 of estimated 2012 tax payments, $5,100 for tax preparation services and a $123,792 tax equalization allowance for 2011 earnings. Mr. Wilcox also has access to a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left="517"/>
        <w:spacing w:after="0"/>
        <w:rPr>
          <w:sz w:val="20"/>
          <w:szCs w:val="20"/>
          <w:color w:val="auto"/>
        </w:rPr>
      </w:pPr>
      <w:r>
        <w:rPr>
          <w:rFonts w:ascii="Arial" w:cs="Arial" w:eastAsia="Arial" w:hAnsi="Arial"/>
          <w:sz w:val="17"/>
          <w:szCs w:val="17"/>
          <w:color w:val="auto"/>
        </w:rPr>
        <w:t>car while in Luxembourg. These amounts do not include the impact of the tax gross-up on the benefits.</w:t>
      </w:r>
    </w:p>
    <w:p>
      <w:pPr>
        <w:spacing w:after="0" w:line="108" w:lineRule="exact"/>
        <w:rPr>
          <w:sz w:val="20"/>
          <w:szCs w:val="20"/>
          <w:color w:val="auto"/>
        </w:rPr>
      </w:pPr>
    </w:p>
    <w:p>
      <w:pPr>
        <w:ind w:left="517" w:hanging="517"/>
        <w:spacing w:after="0"/>
        <w:tabs>
          <w:tab w:leader="none" w:pos="517"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w:t>
      </w:r>
    </w:p>
    <w:p>
      <w:pPr>
        <w:spacing w:after="0" w:line="211" w:lineRule="exact"/>
        <w:rPr>
          <w:rFonts w:ascii="Arial" w:cs="Arial" w:eastAsia="Arial" w:hAnsi="Arial"/>
          <w:sz w:val="28"/>
          <w:szCs w:val="28"/>
          <w:color w:val="auto"/>
          <w:vertAlign w:val="superscript"/>
        </w:rPr>
      </w:pPr>
    </w:p>
    <w:p>
      <w:pPr>
        <w:ind w:left="517" w:hanging="517"/>
        <w:spacing w:after="0" w:line="194" w:lineRule="auto"/>
        <w:tabs>
          <w:tab w:leader="none" w:pos="517"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Represents Ms. Esterman's average base salary for 2012. Ms. Esterman's annual base salary was $276,000 from March 12, 2012 through September 30, 2012 and $282,900 from October 1, 2012 through December 31, 2012.</w:t>
      </w:r>
    </w:p>
    <w:p>
      <w:pPr>
        <w:spacing w:after="0" w:line="199" w:lineRule="exact"/>
        <w:rPr>
          <w:rFonts w:ascii="Arial" w:cs="Arial" w:eastAsia="Arial" w:hAnsi="Arial"/>
          <w:sz w:val="28"/>
          <w:szCs w:val="28"/>
          <w:color w:val="auto"/>
          <w:vertAlign w:val="superscript"/>
        </w:rPr>
      </w:pPr>
    </w:p>
    <w:p>
      <w:pPr>
        <w:jc w:val="both"/>
        <w:ind w:left="517" w:right="180" w:hanging="517"/>
        <w:spacing w:after="0" w:line="247" w:lineRule="auto"/>
        <w:tabs>
          <w:tab w:leader="none" w:pos="517"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Includes a $30,000 sign-on bonus, $30,743 for housing allowance, $7,612 for travel allowance, $10,000 for settling-in allowance and $4,198 for home finding assistance. Ms. Esterman also has access to a Company car while in Luxembourg. These amounts do not include the impact of the tax gross-up on the benefits.</w:t>
      </w:r>
    </w:p>
    <w:p>
      <w:pPr>
        <w:spacing w:after="0" w:line="83" w:lineRule="exact"/>
        <w:rPr>
          <w:rFonts w:ascii="Arial" w:cs="Arial" w:eastAsia="Arial" w:hAnsi="Arial"/>
          <w:sz w:val="22"/>
          <w:szCs w:val="22"/>
          <w:color w:val="auto"/>
          <w:vertAlign w:val="superscript"/>
        </w:rPr>
      </w:pPr>
    </w:p>
    <w:p>
      <w:pPr>
        <w:ind w:left="517" w:hanging="517"/>
        <w:spacing w:after="0"/>
        <w:tabs>
          <w:tab w:leader="none" w:pos="517"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Mr. Stiles resigned as Chief Financial Officer effective March 1, 2012.</w:t>
      </w:r>
    </w:p>
    <w:p>
      <w:pPr>
        <w:spacing w:after="0" w:line="211" w:lineRule="exact"/>
        <w:rPr>
          <w:rFonts w:ascii="Arial" w:cs="Arial" w:eastAsia="Arial" w:hAnsi="Arial"/>
          <w:sz w:val="28"/>
          <w:szCs w:val="28"/>
          <w:color w:val="auto"/>
          <w:vertAlign w:val="superscript"/>
        </w:rPr>
      </w:pPr>
    </w:p>
    <w:p>
      <w:pPr>
        <w:jc w:val="both"/>
        <w:ind w:left="517" w:right="80" w:hanging="517"/>
        <w:spacing w:after="0" w:line="221" w:lineRule="auto"/>
        <w:tabs>
          <w:tab w:leader="none" w:pos="517" w:val="left"/>
        </w:tabs>
        <w:numPr>
          <w:ilvl w:val="0"/>
          <w:numId w:val="36"/>
        </w:numPr>
        <w:rPr>
          <w:rFonts w:ascii="Arial" w:cs="Arial" w:eastAsia="Arial" w:hAnsi="Arial"/>
          <w:sz w:val="27"/>
          <w:szCs w:val="27"/>
          <w:color w:val="auto"/>
          <w:vertAlign w:val="superscript"/>
        </w:rPr>
      </w:pPr>
      <w:r>
        <w:rPr>
          <w:rFonts w:ascii="Arial" w:cs="Arial" w:eastAsia="Arial" w:hAnsi="Arial"/>
          <w:sz w:val="16"/>
          <w:szCs w:val="16"/>
          <w:color w:val="auto"/>
        </w:rPr>
        <w:t>Includes $5,600 for housing allowance, $1,502 for medical benefits, $19,100 of estimated 2012 tax payments and a $52,330 tax equalization allowance for 2011 earnings. Also includes a $100,000 severance payment that Mr. Stiles received in exchange for executing a separation agreement. Mr. Stiles also had access to a Company car while in Luxembourg. These amounts do not include the impact of the tax gross-up on the benefits.</w:t>
      </w:r>
    </w:p>
    <w:p>
      <w:pPr>
        <w:spacing w:after="0" w:line="199" w:lineRule="exact"/>
        <w:rPr>
          <w:sz w:val="20"/>
          <w:szCs w:val="20"/>
          <w:color w:val="auto"/>
        </w:rPr>
      </w:pPr>
    </w:p>
    <w:p>
      <w:pPr>
        <w:jc w:val="center"/>
        <w:ind w:right="-96"/>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37"/>
          </w:cols>
          <w:pgMar w:left="243" w:top="131" w:right="31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Grants of Plan Based Awards for 2012</w:t>
      </w:r>
    </w:p>
    <w:p>
      <w:pPr>
        <w:spacing w:after="0" w:line="22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following table provides information related to non-equity incentive plan compensation and equity incentive plan awards pursuant to our annual incentive compensation, our 2009 Equity Incentive Plan and the Altisource Asset Management Corporation 2012 Equity Incentive Plan for services rendered in fiscal year 2012 by the individuals named in the Summary Compensation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3"/>
                <w:szCs w:val="13"/>
                <w:b w:val="1"/>
                <w:bCs w:val="1"/>
                <w:color w:val="auto"/>
                <w:w w:val="89"/>
              </w:rPr>
              <w:t>Exercise</w:t>
            </w:r>
          </w:p>
        </w:tc>
        <w:tc>
          <w:tcPr>
            <w:tcW w:w="1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Arial" w:cs="Arial" w:eastAsia="Arial" w:hAnsi="Arial"/>
                <w:sz w:val="13"/>
                <w:szCs w:val="13"/>
                <w:b w:val="1"/>
                <w:bCs w:val="1"/>
                <w:color w:val="auto"/>
                <w:w w:val="96"/>
              </w:rPr>
              <w:t>or Base</w:t>
            </w:r>
          </w:p>
        </w:tc>
        <w:tc>
          <w:tcPr>
            <w:tcW w:w="1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Fair Value of</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of Shares</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3"/>
              </w:rPr>
              <w:t>Securities</w:t>
            </w:r>
          </w:p>
        </w:tc>
        <w:tc>
          <w:tcPr>
            <w:tcW w:w="16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Arial" w:cs="Arial" w:eastAsia="Arial" w:hAnsi="Arial"/>
                <w:sz w:val="13"/>
                <w:szCs w:val="13"/>
                <w:b w:val="1"/>
                <w:bCs w:val="1"/>
                <w:color w:val="auto"/>
                <w:w w:val="96"/>
              </w:rPr>
              <w:t>Price of</w:t>
            </w:r>
          </w:p>
        </w:tc>
        <w:tc>
          <w:tcPr>
            <w:tcW w:w="1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Stock and</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5"/>
          </w:tcPr>
          <w:p>
            <w:pPr>
              <w:jc w:val="right"/>
              <w:ind w:right="416"/>
              <w:spacing w:after="0" w:line="142" w:lineRule="exact"/>
              <w:rPr>
                <w:sz w:val="20"/>
                <w:szCs w:val="20"/>
                <w:color w:val="auto"/>
              </w:rPr>
            </w:pPr>
            <w:r>
              <w:rPr>
                <w:rFonts w:ascii="Arial" w:cs="Arial" w:eastAsia="Arial" w:hAnsi="Arial"/>
                <w:sz w:val="13"/>
                <w:szCs w:val="13"/>
                <w:b w:val="1"/>
                <w:bCs w:val="1"/>
                <w:color w:val="auto"/>
              </w:rPr>
              <w:t>Estimated Possible Payouts Under</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5"/>
              </w:rPr>
              <w:t>of Stock</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Underlying</w:t>
            </w:r>
          </w:p>
        </w:tc>
        <w:tc>
          <w:tcPr>
            <w:tcW w:w="160" w:type="dxa"/>
            <w:vAlign w:val="bottom"/>
          </w:tcPr>
          <w:p>
            <w:pPr>
              <w:spacing w:after="0"/>
              <w:rPr>
                <w:sz w:val="12"/>
                <w:szCs w:val="12"/>
                <w:color w:val="auto"/>
              </w:rPr>
            </w:pPr>
          </w:p>
        </w:tc>
        <w:tc>
          <w:tcPr>
            <w:tcW w:w="520" w:type="dxa"/>
            <w:vAlign w:val="bottom"/>
          </w:tcPr>
          <w:p>
            <w:pPr>
              <w:ind w:left="60"/>
              <w:spacing w:after="0" w:line="142" w:lineRule="exact"/>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4"/>
                <w:szCs w:val="14"/>
                <w:color w:val="auto"/>
              </w:rPr>
            </w:pPr>
          </w:p>
        </w:tc>
        <w:tc>
          <w:tcPr>
            <w:tcW w:w="2820" w:type="dxa"/>
            <w:vAlign w:val="bottom"/>
            <w:gridSpan w:val="5"/>
          </w:tcPr>
          <w:p>
            <w:pPr>
              <w:jc w:val="right"/>
              <w:ind w:right="336"/>
              <w:spacing w:after="0" w:line="167" w:lineRule="exact"/>
              <w:rPr>
                <w:sz w:val="20"/>
                <w:szCs w:val="20"/>
                <w:color w:val="auto"/>
              </w:rPr>
            </w:pPr>
            <w:r>
              <w:rPr>
                <w:rFonts w:ascii="Arial" w:cs="Arial" w:eastAsia="Arial" w:hAnsi="Arial"/>
                <w:sz w:val="12"/>
                <w:szCs w:val="12"/>
                <w:b w:val="1"/>
                <w:bCs w:val="1"/>
                <w:color w:val="auto"/>
              </w:rPr>
              <w:t>Non-Equity Incentive Plan Awards</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68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w w:val="91"/>
              </w:rPr>
              <w:t>or Units</w:t>
            </w:r>
            <w:r>
              <w:rPr>
                <w:rFonts w:ascii="Arial" w:cs="Arial" w:eastAsia="Arial" w:hAnsi="Arial"/>
                <w:sz w:val="19"/>
                <w:szCs w:val="19"/>
                <w:b w:val="1"/>
                <w:bCs w:val="1"/>
                <w:color w:val="auto"/>
                <w:w w:val="91"/>
                <w:vertAlign w:val="superscript"/>
              </w:rPr>
              <w:t>(2)</w:t>
            </w:r>
          </w:p>
        </w:tc>
        <w:tc>
          <w:tcPr>
            <w:tcW w:w="160" w:type="dxa"/>
            <w:vAlign w:val="bottom"/>
          </w:tcPr>
          <w:p>
            <w:pPr>
              <w:spacing w:after="0"/>
              <w:rPr>
                <w:sz w:val="14"/>
                <w:szCs w:val="14"/>
                <w:color w:val="auto"/>
              </w:rPr>
            </w:pPr>
          </w:p>
        </w:tc>
        <w:tc>
          <w:tcPr>
            <w:tcW w:w="68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w w:val="91"/>
              </w:rPr>
              <w:t>Options</w:t>
            </w:r>
            <w:r>
              <w:rPr>
                <w:rFonts w:ascii="Arial" w:cs="Arial" w:eastAsia="Arial" w:hAnsi="Arial"/>
                <w:sz w:val="19"/>
                <w:szCs w:val="19"/>
                <w:b w:val="1"/>
                <w:bCs w:val="1"/>
                <w:color w:val="auto"/>
                <w:w w:val="91"/>
                <w:vertAlign w:val="superscript"/>
              </w:rPr>
              <w:t>(3)</w:t>
            </w:r>
          </w:p>
        </w:tc>
        <w:tc>
          <w:tcPr>
            <w:tcW w:w="16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w w:val="97"/>
              </w:rPr>
              <w:t>Awards</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2"/>
              </w:rPr>
              <w:t>Threshold</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196"/>
              <w:spacing w:after="0" w:line="134" w:lineRule="exact"/>
              <w:rPr>
                <w:sz w:val="20"/>
                <w:szCs w:val="20"/>
                <w:color w:val="auto"/>
              </w:rPr>
            </w:pPr>
            <w:r>
              <w:rPr>
                <w:rFonts w:ascii="Arial" w:cs="Arial" w:eastAsia="Arial" w:hAnsi="Arial"/>
                <w:sz w:val="13"/>
                <w:szCs w:val="13"/>
                <w:b w:val="1"/>
                <w:bCs w:val="1"/>
                <w:color w:val="auto"/>
              </w:rPr>
              <w:t>Target</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176"/>
              <w:spacing w:after="0" w:line="134" w:lineRule="exact"/>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12/11/12</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$366,365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$732,730</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$1,099,095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29,216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$172,228</w:t>
            </w:r>
          </w:p>
        </w:tc>
        <w:tc>
          <w:tcPr>
            <w:tcW w:w="0" w:type="dxa"/>
            <w:vAlign w:val="bottom"/>
          </w:tcPr>
          <w:p>
            <w:pPr>
              <w:spacing w:after="0"/>
              <w:rPr>
                <w:sz w:val="1"/>
                <w:szCs w:val="1"/>
                <w:color w:val="auto"/>
              </w:rPr>
            </w:pPr>
          </w:p>
        </w:tc>
      </w:tr>
      <w:tr>
        <w:trPr>
          <w:trHeight w:val="199"/>
        </w:trPr>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1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03"/>
        </w:trPr>
        <w:tc>
          <w:tcPr>
            <w:tcW w:w="214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12/11/12</w:t>
            </w:r>
          </w:p>
        </w:tc>
        <w:tc>
          <w:tcPr>
            <w:tcW w:w="780" w:type="dxa"/>
            <w:vAlign w:val="bottom"/>
            <w:gridSpan w:val="2"/>
            <w:vMerge w:val="restart"/>
          </w:tcPr>
          <w:p>
            <w:pPr>
              <w:jc w:val="right"/>
              <w:spacing w:after="0"/>
              <w:rPr>
                <w:sz w:val="20"/>
                <w:szCs w:val="20"/>
                <w:color w:val="auto"/>
              </w:rPr>
            </w:pPr>
            <w:r>
              <w:rPr>
                <w:rFonts w:ascii="Arial" w:cs="Arial" w:eastAsia="Arial" w:hAnsi="Arial"/>
                <w:sz w:val="17"/>
                <w:szCs w:val="17"/>
                <w:color w:val="auto"/>
              </w:rPr>
              <w:t>$197,843</w:t>
            </w: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$395,686</w:t>
            </w: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color w:val="auto"/>
              </w:rPr>
              <w:t>$593,529</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14,608</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$86,114</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2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3/12/12</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14,625</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$60.76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$333,450</w:t>
            </w: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29,250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$60.76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$505,148</w:t>
            </w: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14,625</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$60.76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$170,820</w:t>
            </w:r>
          </w:p>
        </w:tc>
        <w:tc>
          <w:tcPr>
            <w:tcW w:w="0" w:type="dxa"/>
            <w:vAlign w:val="bottom"/>
          </w:tcPr>
          <w:p>
            <w:pPr>
              <w:spacing w:after="0"/>
              <w:rPr>
                <w:sz w:val="1"/>
                <w:szCs w:val="1"/>
                <w:color w:val="auto"/>
              </w:rPr>
            </w:pPr>
          </w:p>
        </w:tc>
      </w:tr>
      <w:tr>
        <w:trPr>
          <w:trHeight w:val="213"/>
        </w:trPr>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12/11/12</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$74,153</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$148,306</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$222,461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8,765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$51,670</w:t>
            </w:r>
          </w:p>
        </w:tc>
        <w:tc>
          <w:tcPr>
            <w:tcW w:w="0" w:type="dxa"/>
            <w:vAlign w:val="bottom"/>
          </w:tcPr>
          <w:p>
            <w:pPr>
              <w:spacing w:after="0"/>
              <w:rPr>
                <w:sz w:val="1"/>
                <w:szCs w:val="1"/>
                <w:color w:val="auto"/>
              </w:rPr>
            </w:pPr>
          </w:p>
        </w:tc>
      </w:tr>
      <w:tr>
        <w:trPr>
          <w:trHeight w:val="208"/>
        </w:trPr>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Robert D. Stiles</w:t>
      </w:r>
      <w:r>
        <w:rPr>
          <w:rFonts w:ascii="Arial" w:cs="Arial" w:eastAsia="Arial" w:hAnsi="Arial"/>
          <w:sz w:val="27"/>
          <w:szCs w:val="27"/>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-17780</wp:posOffset>
            </wp:positionV>
            <wp:extent cx="587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1210" cy="8255"/>
                    </a:xfrm>
                    <a:prstGeom prst="rect">
                      <a:avLst/>
                    </a:prstGeom>
                    <a:noFill/>
                  </pic:spPr>
                </pic:pic>
              </a:graphicData>
            </a:graphic>
          </wp:anchor>
        </w:drawing>
      </w:r>
    </w:p>
    <w:p>
      <w:pPr>
        <w:spacing w:after="0" w:line="175" w:lineRule="exact"/>
        <w:rPr>
          <w:sz w:val="20"/>
          <w:szCs w:val="20"/>
          <w:color w:val="auto"/>
        </w:rPr>
      </w:pPr>
    </w:p>
    <w:p>
      <w:pPr>
        <w:ind w:left="1660" w:hanging="515"/>
        <w:spacing w:after="0" w:line="255" w:lineRule="auto"/>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amounts represent the possible non-equity compensation that may have been earned by each respective executive officer in 2012 under the different achievement levels presented on their personal scorecards which are more fully discussed in our Compensation Discussion and Analysis.</w:t>
      </w:r>
    </w:p>
    <w:p>
      <w:pPr>
        <w:spacing w:after="0" w:line="20" w:lineRule="exact"/>
        <w:rPr>
          <w:rFonts w:ascii="Arial" w:cs="Arial" w:eastAsia="Arial" w:hAnsi="Arial"/>
          <w:sz w:val="17"/>
          <w:szCs w:val="17"/>
          <w:color w:val="auto"/>
        </w:rPr>
      </w:pPr>
    </w:p>
    <w:p>
      <w:pPr>
        <w:jc w:val="both"/>
        <w:ind w:left="1660" w:right="40" w:hanging="515"/>
        <w:spacing w:after="0" w:line="255" w:lineRule="auto"/>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the AAMC Restricted Stock granted to our named executive officers pursuant to the Altisource Asset Management Corporation 2012 Equity Incentive Plan on December 11, 2012, which is subject to the vesting conditions described in our Compensation Discussion and Analysis under "Equity Incentive Plan."</w:t>
      </w:r>
    </w:p>
    <w:p>
      <w:pPr>
        <w:spacing w:after="0" w:line="7" w:lineRule="exact"/>
        <w:rPr>
          <w:rFonts w:ascii="Arial" w:cs="Arial" w:eastAsia="Arial" w:hAnsi="Arial"/>
          <w:sz w:val="17"/>
          <w:szCs w:val="17"/>
          <w:color w:val="auto"/>
        </w:rPr>
      </w:pPr>
    </w:p>
    <w:p>
      <w:pPr>
        <w:ind w:left="1660" w:right="60" w:hanging="515"/>
        <w:spacing w:after="0" w:line="270" w:lineRule="auto"/>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Granted pursuant to our 2009 Equity Incentive Plan.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6" w:lineRule="exact"/>
        <w:rPr>
          <w:rFonts w:ascii="Arial" w:cs="Arial" w:eastAsia="Arial" w:hAnsi="Arial"/>
          <w:sz w:val="16"/>
          <w:szCs w:val="16"/>
          <w:color w:val="auto"/>
        </w:rPr>
      </w:pPr>
    </w:p>
    <w:p>
      <w:pPr>
        <w:ind w:left="1660" w:hanging="515"/>
        <w:spacing w:after="0"/>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Mr. Stiles resigned as Chief Financial Officer effective March 1, 2012.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of Restricted Stock in Altisource Asset Management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On December 11, 2012, the following grants were made to employees of the Company pursuant to the Altisource Asset Management 2012 Equity Incentive Plan.</w:t>
      </w:r>
    </w:p>
    <w:p>
      <w:pPr>
        <w:spacing w:after="0" w:line="4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Mr. Shepro was granted 29,216 shares of Restricted Stock with an aggregate fair value of $172,228. Mr. Wilcox was granted 14,608 shares of Restricted Stock, with an aggregate fair value of $86,114. Ms. Esterman was granted 8,765 shares of Restricted Stock with an aggregate fair value of $51,670.</w:t>
      </w:r>
    </w:p>
    <w:p>
      <w:pPr>
        <w:spacing w:after="0" w:line="156"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AAMC Restricted Stock is subject to restrictions on transferability and a substantial risk of forfeiture and is intended to retain, motivate and align members of the Company's management with regard to its future performance and that of AAMC.</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vesting conditions of the AAMC Restricted Stock are described in our Compensation Discussion and Analysis under "Equity Incentive Plan."</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outstanding equity awards as of December 31, 2012 for the individuals named in the Summary Compensation Table.</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31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7"/>
                <w:szCs w:val="17"/>
                <w:b w:val="1"/>
                <w:bCs w:val="1"/>
                <w:color w:val="auto"/>
              </w:rPr>
              <w:t>Option Awards</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7"/>
                <w:szCs w:val="17"/>
                <w:b w:val="1"/>
                <w:bCs w:val="1"/>
                <w:color w:val="auto"/>
              </w:rPr>
              <w:t>Stock Awards</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2"/>
              </w:rPr>
              <w:t>Equity</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Equity</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8"/>
              </w:rPr>
              <w:t>Plan</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 Plan</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89"/>
              </w:rPr>
              <w:t>Awards:</w:t>
            </w:r>
          </w:p>
        </w:tc>
        <w:tc>
          <w:tcPr>
            <w:tcW w:w="160" w:type="dxa"/>
            <w:vAlign w:val="bottom"/>
          </w:tcPr>
          <w:p>
            <w:pPr>
              <w:spacing w:after="0"/>
              <w:rPr>
                <w:sz w:val="14"/>
                <w:szCs w:val="14"/>
                <w:color w:val="auto"/>
              </w:rPr>
            </w:pPr>
          </w:p>
        </w:tc>
        <w:tc>
          <w:tcPr>
            <w:tcW w:w="10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2"/>
              </w:rPr>
              <w:t>Awards:</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6"/>
              </w:rPr>
              <w:t>Market or</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9"/>
              </w:rPr>
              <w:t>Plan Awards: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1"/>
              </w:rPr>
              <w:t>Unearned</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8"/>
              </w:rPr>
              <w:t>Payout Value</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4"/>
              </w:rPr>
              <w:t>Shares,</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0"/>
              </w:rPr>
              <w:t>of Unearned</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Securities</w:t>
            </w: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6"/>
              </w:rPr>
              <w:t>Securities</w:t>
            </w: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6"/>
              </w:rPr>
              <w:t>Securities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9"/>
              </w:rPr>
              <w:t>Units</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6"/>
              </w:rPr>
              <w:t>Shares, Units</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2"/>
              </w:rPr>
              <w:t>Underlying</w:t>
            </w: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2"/>
              </w:rPr>
              <w:t>Underlying</w:t>
            </w: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0"/>
              </w:rPr>
              <w:t>Underlying</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5"/>
              </w:rPr>
              <w:t>or Other</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2"/>
              </w:rPr>
              <w:t>or Other</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jc w:val="center"/>
              <w:ind w:left="156"/>
              <w:spacing w:after="0"/>
              <w:rPr>
                <w:sz w:val="20"/>
                <w:szCs w:val="20"/>
                <w:color w:val="auto"/>
              </w:rPr>
            </w:pPr>
            <w:r>
              <w:rPr>
                <w:rFonts w:ascii="Arial" w:cs="Arial" w:eastAsia="Arial" w:hAnsi="Arial"/>
                <w:sz w:val="17"/>
                <w:szCs w:val="17"/>
                <w:b w:val="1"/>
                <w:bCs w:val="1"/>
                <w:color w:val="auto"/>
                <w:w w:val="86"/>
              </w:rPr>
              <w:t>Unexercised</w:t>
            </w: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5"/>
              </w:rPr>
              <w:t>Unexercised</w:t>
            </w:r>
          </w:p>
        </w:tc>
        <w:tc>
          <w:tcPr>
            <w:tcW w:w="1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6"/>
              </w:rPr>
              <w:t>Unexercised</w:t>
            </w:r>
          </w:p>
        </w:tc>
        <w:tc>
          <w:tcPr>
            <w:tcW w:w="16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7"/>
                <w:szCs w:val="17"/>
                <w:b w:val="1"/>
                <w:bCs w:val="1"/>
                <w:color w:val="auto"/>
                <w:w w:val="91"/>
              </w:rPr>
              <w:t>Option</w:t>
            </w:r>
          </w:p>
        </w:tc>
        <w:tc>
          <w:tcPr>
            <w:tcW w:w="1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1"/>
              </w:rPr>
              <w:t>Option</w:t>
            </w: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9"/>
              </w:rPr>
              <w:t>Rights That</w:t>
            </w: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1"/>
              </w:rPr>
              <w:t>Rights That</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7"/>
              </w:rPr>
              <w:t>Options</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1"/>
              </w:rPr>
              <w:t>Unearned</w:t>
            </w:r>
          </w:p>
        </w:tc>
        <w:tc>
          <w:tcPr>
            <w:tcW w:w="760" w:type="dxa"/>
            <w:vAlign w:val="bottom"/>
            <w:gridSpan w:val="2"/>
          </w:tcPr>
          <w:p>
            <w:pPr>
              <w:jc w:val="center"/>
              <w:ind w:left="36"/>
              <w:spacing w:after="0"/>
              <w:rPr>
                <w:sz w:val="20"/>
                <w:szCs w:val="20"/>
                <w:color w:val="auto"/>
              </w:rPr>
            </w:pPr>
            <w:r>
              <w:rPr>
                <w:rFonts w:ascii="Arial" w:cs="Arial" w:eastAsia="Arial" w:hAnsi="Arial"/>
                <w:sz w:val="17"/>
                <w:szCs w:val="17"/>
                <w:b w:val="1"/>
                <w:bCs w:val="1"/>
                <w:color w:val="auto"/>
                <w:w w:val="85"/>
              </w:rPr>
              <w:t>Exercise</w:t>
            </w:r>
          </w:p>
        </w:tc>
        <w:tc>
          <w:tcPr>
            <w:tcW w:w="920" w:type="dxa"/>
            <w:vAlign w:val="bottom"/>
            <w:gridSpan w:val="2"/>
          </w:tcPr>
          <w:p>
            <w:pPr>
              <w:jc w:val="center"/>
              <w:ind w:left="56"/>
              <w:spacing w:after="0"/>
              <w:rPr>
                <w:sz w:val="20"/>
                <w:szCs w:val="20"/>
                <w:color w:val="auto"/>
              </w:rPr>
            </w:pPr>
            <w:r>
              <w:rPr>
                <w:rFonts w:ascii="Arial" w:cs="Arial" w:eastAsia="Arial" w:hAnsi="Arial"/>
                <w:sz w:val="17"/>
                <w:szCs w:val="17"/>
                <w:b w:val="1"/>
                <w:bCs w:val="1"/>
                <w:color w:val="auto"/>
                <w:w w:val="93"/>
              </w:rPr>
              <w:t>Expiration</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2"/>
              </w:rPr>
              <w:t>Have Not</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9"/>
              </w:rPr>
              <w:t>Have Not</w:t>
            </w:r>
          </w:p>
        </w:tc>
        <w:tc>
          <w:tcPr>
            <w:tcW w:w="0" w:type="dxa"/>
            <w:vAlign w:val="bottom"/>
          </w:tcPr>
          <w:p>
            <w:pPr>
              <w:spacing w:after="0"/>
              <w:rPr>
                <w:sz w:val="1"/>
                <w:szCs w:val="1"/>
                <w:color w:val="auto"/>
              </w:rPr>
            </w:pPr>
          </w:p>
        </w:tc>
      </w:tr>
      <w:tr>
        <w:trPr>
          <w:trHeight w:val="256"/>
        </w:trPr>
        <w:tc>
          <w:tcPr>
            <w:tcW w:w="1700" w:type="dxa"/>
            <w:vAlign w:val="bottom"/>
            <w:gridSpan w:val="3"/>
          </w:tcPr>
          <w:p>
            <w:pPr>
              <w:ind w:left="560"/>
              <w:spacing w:after="0"/>
              <w:rPr>
                <w:sz w:val="20"/>
                <w:szCs w:val="20"/>
                <w:color w:val="auto"/>
              </w:rPr>
            </w:pPr>
            <w:r>
              <w:rPr>
                <w:rFonts w:ascii="Arial" w:cs="Arial" w:eastAsia="Arial" w:hAnsi="Arial"/>
                <w:sz w:val="17"/>
                <w:szCs w:val="17"/>
                <w:b w:val="1"/>
                <w:bCs w:val="1"/>
                <w:color w:val="auto"/>
              </w:rPr>
              <w:t>Name</w:t>
            </w:r>
          </w:p>
        </w:tc>
        <w:tc>
          <w:tcPr>
            <w:tcW w:w="24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Exercisable</w:t>
            </w:r>
          </w:p>
        </w:tc>
        <w:tc>
          <w:tcPr>
            <w:tcW w:w="1320" w:type="dxa"/>
            <w:vAlign w:val="bottom"/>
            <w:gridSpan w:val="2"/>
          </w:tcPr>
          <w:p>
            <w:pPr>
              <w:jc w:val="center"/>
              <w:ind w:left="76"/>
              <w:spacing w:after="0" w:line="257" w:lineRule="exact"/>
              <w:rPr>
                <w:sz w:val="20"/>
                <w:szCs w:val="20"/>
                <w:color w:val="auto"/>
              </w:rPr>
            </w:pPr>
            <w:r>
              <w:rPr>
                <w:rFonts w:ascii="Arial" w:cs="Arial" w:eastAsia="Arial" w:hAnsi="Arial"/>
                <w:sz w:val="17"/>
                <w:szCs w:val="17"/>
                <w:b w:val="1"/>
                <w:bCs w:val="1"/>
                <w:color w:val="auto"/>
                <w:w w:val="84"/>
              </w:rPr>
              <w:t>Unexercisable</w:t>
            </w:r>
            <w:r>
              <w:rPr>
                <w:rFonts w:ascii="Arial" w:cs="Arial" w:eastAsia="Arial" w:hAnsi="Arial"/>
                <w:sz w:val="27"/>
                <w:szCs w:val="27"/>
                <w:b w:val="1"/>
                <w:bCs w:val="1"/>
                <w:color w:val="auto"/>
                <w:w w:val="84"/>
                <w:vertAlign w:val="superscript"/>
              </w:rPr>
              <w:t>(2)</w:t>
            </w:r>
          </w:p>
        </w:tc>
        <w:tc>
          <w:tcPr>
            <w:tcW w:w="160" w:type="dxa"/>
            <w:vAlign w:val="bottom"/>
          </w:tcPr>
          <w:p>
            <w:pPr>
              <w:spacing w:after="0"/>
              <w:rPr>
                <w:sz w:val="22"/>
                <w:szCs w:val="22"/>
                <w:color w:val="auto"/>
              </w:rPr>
            </w:pPr>
          </w:p>
        </w:tc>
        <w:tc>
          <w:tcPr>
            <w:tcW w:w="980" w:type="dxa"/>
            <w:vAlign w:val="bottom"/>
          </w:tcPr>
          <w:p>
            <w:pPr>
              <w:jc w:val="center"/>
              <w:spacing w:after="0" w:line="257" w:lineRule="exact"/>
              <w:rPr>
                <w:sz w:val="20"/>
                <w:szCs w:val="20"/>
                <w:color w:val="auto"/>
              </w:rPr>
            </w:pPr>
            <w:r>
              <w:rPr>
                <w:rFonts w:ascii="Arial" w:cs="Arial" w:eastAsia="Arial" w:hAnsi="Arial"/>
                <w:sz w:val="17"/>
                <w:szCs w:val="17"/>
                <w:b w:val="1"/>
                <w:bCs w:val="1"/>
                <w:color w:val="auto"/>
                <w:w w:val="83"/>
              </w:rPr>
              <w:t>Options</w:t>
            </w:r>
            <w:r>
              <w:rPr>
                <w:rFonts w:ascii="Arial" w:cs="Arial" w:eastAsia="Arial" w:hAnsi="Arial"/>
                <w:sz w:val="27"/>
                <w:szCs w:val="27"/>
                <w:b w:val="1"/>
                <w:bCs w:val="1"/>
                <w:color w:val="auto"/>
                <w:w w:val="83"/>
                <w:vertAlign w:val="superscript"/>
              </w:rPr>
              <w:t>(3)</w:t>
            </w:r>
          </w:p>
        </w:tc>
        <w:tc>
          <w:tcPr>
            <w:tcW w:w="160" w:type="dxa"/>
            <w:vAlign w:val="bottom"/>
          </w:tcPr>
          <w:p>
            <w:pPr>
              <w:spacing w:after="0"/>
              <w:rPr>
                <w:sz w:val="22"/>
                <w:szCs w:val="22"/>
                <w:color w:val="auto"/>
              </w:rPr>
            </w:pPr>
          </w:p>
        </w:tc>
        <w:tc>
          <w:tcPr>
            <w:tcW w:w="600" w:type="dxa"/>
            <w:vAlign w:val="bottom"/>
          </w:tcPr>
          <w:p>
            <w:pPr>
              <w:jc w:val="center"/>
              <w:spacing w:after="0" w:line="257" w:lineRule="exact"/>
              <w:rPr>
                <w:sz w:val="20"/>
                <w:szCs w:val="20"/>
                <w:color w:val="auto"/>
              </w:rPr>
            </w:pPr>
            <w:r>
              <w:rPr>
                <w:rFonts w:ascii="Arial" w:cs="Arial" w:eastAsia="Arial" w:hAnsi="Arial"/>
                <w:sz w:val="17"/>
                <w:szCs w:val="17"/>
                <w:b w:val="1"/>
                <w:bCs w:val="1"/>
                <w:color w:val="auto"/>
                <w:w w:val="84"/>
              </w:rPr>
              <w:t>Price</w:t>
            </w:r>
            <w:r>
              <w:rPr>
                <w:rFonts w:ascii="Arial" w:cs="Arial" w:eastAsia="Arial" w:hAnsi="Arial"/>
                <w:sz w:val="27"/>
                <w:szCs w:val="27"/>
                <w:b w:val="1"/>
                <w:bCs w:val="1"/>
                <w:color w:val="auto"/>
                <w:w w:val="84"/>
                <w:vertAlign w:val="superscript"/>
              </w:rPr>
              <w:t>(4)</w:t>
            </w:r>
          </w:p>
        </w:tc>
        <w:tc>
          <w:tcPr>
            <w:tcW w:w="1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2"/>
              </w:rPr>
              <w:t>Date</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6"/>
              </w:rPr>
              <w:t>Vested</w:t>
            </w:r>
          </w:p>
        </w:tc>
        <w:tc>
          <w:tcPr>
            <w:tcW w:w="1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2"/>
              </w:rPr>
              <w:t>Vested</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1/31/2014</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7,969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$12.26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1/31/2014</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12,051</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1/31/2015</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13,230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$11.02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1/31/2016</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9,459</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5/10/2017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51,563</w:t>
            </w:r>
          </w:p>
        </w:tc>
        <w:tc>
          <w:tcPr>
            <w:tcW w:w="1320" w:type="dxa"/>
            <w:vAlign w:val="bottom"/>
            <w:gridSpan w:val="2"/>
          </w:tcPr>
          <w:p>
            <w:pPr>
              <w:jc w:val="right"/>
              <w:spacing w:after="0" w:line="245" w:lineRule="exact"/>
              <w:rPr>
                <w:sz w:val="20"/>
                <w:szCs w:val="20"/>
                <w:color w:val="auto"/>
              </w:rPr>
            </w:pPr>
            <w:r>
              <w:rPr>
                <w:rFonts w:ascii="Arial" w:cs="Arial" w:eastAsia="Arial" w:hAnsi="Arial"/>
                <w:sz w:val="17"/>
                <w:szCs w:val="17"/>
                <w:color w:val="auto"/>
              </w:rPr>
              <w:t>17,187</w:t>
            </w:r>
            <w:r>
              <w:rPr>
                <w:rFonts w:ascii="Arial" w:cs="Arial" w:eastAsia="Arial" w:hAnsi="Arial"/>
                <w:sz w:val="27"/>
                <w:szCs w:val="27"/>
                <w:color w:val="auto"/>
                <w:vertAlign w:val="superscript"/>
              </w:rPr>
              <w:t>(5)</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$9.14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137,500</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68,751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$9.14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1320" w:type="dxa"/>
            <w:vAlign w:val="bottom"/>
            <w:gridSpan w:val="2"/>
            <w:shd w:val="clear" w:color="auto" w:fill="CCEEFF"/>
          </w:tcPr>
          <w:p>
            <w:pPr>
              <w:jc w:val="right"/>
              <w:spacing w:after="0" w:line="245" w:lineRule="exact"/>
              <w:rPr>
                <w:sz w:val="20"/>
                <w:szCs w:val="20"/>
                <w:color w:val="auto"/>
              </w:rPr>
            </w:pPr>
            <w:r>
              <w:rPr>
                <w:rFonts w:ascii="Arial" w:cs="Arial" w:eastAsia="Arial" w:hAnsi="Arial"/>
                <w:sz w:val="17"/>
                <w:szCs w:val="17"/>
                <w:color w:val="auto"/>
              </w:rPr>
              <w:t>60,000</w:t>
            </w:r>
            <w:r>
              <w:rPr>
                <w:rFonts w:ascii="Arial" w:cs="Arial" w:eastAsia="Arial" w:hAnsi="Arial"/>
                <w:sz w:val="27"/>
                <w:szCs w:val="27"/>
                <w:color w:val="auto"/>
                <w:vertAlign w:val="superscript"/>
              </w:rPr>
              <w:t>(6)</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15,000</w:t>
            </w:r>
          </w:p>
        </w:tc>
        <w:tc>
          <w:tcPr>
            <w:tcW w:w="1320" w:type="dxa"/>
            <w:vAlign w:val="bottom"/>
            <w:gridSpan w:val="2"/>
          </w:tcPr>
          <w:p>
            <w:pPr>
              <w:jc w:val="right"/>
              <w:spacing w:after="0" w:line="245" w:lineRule="exact"/>
              <w:rPr>
                <w:sz w:val="20"/>
                <w:szCs w:val="20"/>
                <w:color w:val="auto"/>
              </w:rPr>
            </w:pPr>
            <w:r>
              <w:rPr>
                <w:rFonts w:ascii="Arial" w:cs="Arial" w:eastAsia="Arial" w:hAnsi="Arial"/>
                <w:sz w:val="17"/>
                <w:szCs w:val="17"/>
                <w:color w:val="auto"/>
              </w:rPr>
              <w:t>45,000</w:t>
            </w:r>
            <w:r>
              <w:rPr>
                <w:rFonts w:ascii="Arial" w:cs="Arial" w:eastAsia="Arial" w:hAnsi="Arial"/>
                <w:sz w:val="27"/>
                <w:szCs w:val="27"/>
                <w:color w:val="auto"/>
                <w:vertAlign w:val="superscript"/>
              </w:rPr>
              <w:t>(7)</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$23.80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320" w:type="dxa"/>
            <w:vAlign w:val="bottom"/>
            <w:gridSpan w:val="2"/>
            <w:shd w:val="clear" w:color="auto" w:fill="CCEEFF"/>
          </w:tcPr>
          <w:p>
            <w:pPr>
              <w:jc w:val="right"/>
              <w:spacing w:after="0" w:line="245" w:lineRule="exact"/>
              <w:rPr>
                <w:sz w:val="20"/>
                <w:szCs w:val="20"/>
                <w:color w:val="auto"/>
              </w:rPr>
            </w:pPr>
            <w:r>
              <w:rPr>
                <w:rFonts w:ascii="Arial" w:cs="Arial" w:eastAsia="Arial" w:hAnsi="Arial"/>
                <w:sz w:val="17"/>
                <w:szCs w:val="17"/>
                <w:color w:val="auto"/>
              </w:rPr>
              <w:t>30,000</w:t>
            </w:r>
            <w:r>
              <w:rPr>
                <w:rFonts w:ascii="Arial" w:cs="Arial" w:eastAsia="Arial" w:hAnsi="Arial"/>
                <w:sz w:val="27"/>
                <w:szCs w:val="27"/>
                <w:color w:val="auto"/>
                <w:vertAlign w:val="superscript"/>
              </w:rPr>
              <w:t>(8)</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$2,395,712</w:t>
            </w:r>
          </w:p>
        </w:tc>
        <w:tc>
          <w:tcPr>
            <w:tcW w:w="0" w:type="dxa"/>
            <w:vAlign w:val="bottom"/>
          </w:tcPr>
          <w:p>
            <w:pPr>
              <w:spacing w:after="0"/>
              <w:rPr>
                <w:sz w:val="1"/>
                <w:szCs w:val="1"/>
                <w:color w:val="auto"/>
              </w:rPr>
            </w:pPr>
          </w:p>
        </w:tc>
      </w:tr>
      <w:tr>
        <w:trPr>
          <w:trHeight w:val="437"/>
        </w:trPr>
        <w:tc>
          <w:tcPr>
            <w:tcW w:w="170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$7.06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1/31/2014</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2,996</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1/31/2014</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4,798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$9.19</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1/31/2015</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5,948</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1/31/2016</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8,130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$13.58</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5/10/2017</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38,751</w:t>
            </w:r>
          </w:p>
        </w:tc>
        <w:tc>
          <w:tcPr>
            <w:tcW w:w="1320" w:type="dxa"/>
            <w:vAlign w:val="bottom"/>
            <w:gridSpan w:val="2"/>
            <w:shd w:val="clear" w:color="auto" w:fill="CCEEFF"/>
          </w:tcPr>
          <w:p>
            <w:pPr>
              <w:jc w:val="right"/>
              <w:spacing w:after="0" w:line="245" w:lineRule="exact"/>
              <w:rPr>
                <w:sz w:val="20"/>
                <w:szCs w:val="20"/>
                <w:color w:val="auto"/>
              </w:rPr>
            </w:pPr>
            <w:r>
              <w:rPr>
                <w:rFonts w:ascii="Arial" w:cs="Arial" w:eastAsia="Arial" w:hAnsi="Arial"/>
                <w:sz w:val="17"/>
                <w:szCs w:val="17"/>
                <w:color w:val="auto"/>
              </w:rPr>
              <w:t>12,916</w:t>
            </w:r>
            <w:r>
              <w:rPr>
                <w:rFonts w:ascii="Arial" w:cs="Arial" w:eastAsia="Arial" w:hAnsi="Arial"/>
                <w:sz w:val="27"/>
                <w:szCs w:val="27"/>
                <w:color w:val="auto"/>
                <w:vertAlign w:val="superscript"/>
              </w:rPr>
              <w:t>(5)</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103,334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$9.14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51,667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7/14/2018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30,000</w:t>
            </w:r>
          </w:p>
        </w:tc>
        <w:tc>
          <w:tcPr>
            <w:tcW w:w="1320" w:type="dxa"/>
            <w:vAlign w:val="bottom"/>
            <w:gridSpan w:val="2"/>
          </w:tcPr>
          <w:p>
            <w:pPr>
              <w:jc w:val="right"/>
              <w:spacing w:after="0" w:line="245" w:lineRule="exact"/>
              <w:rPr>
                <w:sz w:val="20"/>
                <w:szCs w:val="20"/>
                <w:color w:val="auto"/>
              </w:rPr>
            </w:pPr>
            <w:r>
              <w:rPr>
                <w:rFonts w:ascii="Arial" w:cs="Arial" w:eastAsia="Arial" w:hAnsi="Arial"/>
                <w:sz w:val="17"/>
                <w:szCs w:val="17"/>
                <w:color w:val="auto"/>
              </w:rPr>
              <w:t>30,000</w:t>
            </w:r>
            <w:r>
              <w:rPr>
                <w:rFonts w:ascii="Arial" w:cs="Arial" w:eastAsia="Arial" w:hAnsi="Arial"/>
                <w:sz w:val="27"/>
                <w:szCs w:val="27"/>
                <w:color w:val="auto"/>
                <w:vertAlign w:val="superscript"/>
              </w:rPr>
              <w:t>(6)</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$23.80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320" w:type="dxa"/>
            <w:vAlign w:val="bottom"/>
            <w:gridSpan w:val="2"/>
            <w:shd w:val="clear" w:color="auto" w:fill="CCEEFF"/>
          </w:tcPr>
          <w:p>
            <w:pPr>
              <w:jc w:val="right"/>
              <w:spacing w:after="0" w:line="245" w:lineRule="exact"/>
              <w:rPr>
                <w:sz w:val="20"/>
                <w:szCs w:val="20"/>
                <w:color w:val="auto"/>
              </w:rPr>
            </w:pPr>
            <w:r>
              <w:rPr>
                <w:rFonts w:ascii="Arial" w:cs="Arial" w:eastAsia="Arial" w:hAnsi="Arial"/>
                <w:sz w:val="17"/>
                <w:szCs w:val="17"/>
                <w:color w:val="auto"/>
              </w:rPr>
              <w:t>22,500</w:t>
            </w:r>
            <w:r>
              <w:rPr>
                <w:rFonts w:ascii="Arial" w:cs="Arial" w:eastAsia="Arial" w:hAnsi="Arial"/>
                <w:sz w:val="27"/>
                <w:szCs w:val="27"/>
                <w:color w:val="auto"/>
                <w:vertAlign w:val="superscript"/>
              </w:rPr>
              <w:t>(7)</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5/19/2020</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15,000</w:t>
            </w:r>
          </w:p>
        </w:tc>
        <w:tc>
          <w:tcPr>
            <w:tcW w:w="1320" w:type="dxa"/>
            <w:vAlign w:val="bottom"/>
            <w:gridSpan w:val="2"/>
          </w:tcPr>
          <w:p>
            <w:pPr>
              <w:jc w:val="right"/>
              <w:spacing w:after="0" w:line="245" w:lineRule="exact"/>
              <w:rPr>
                <w:sz w:val="20"/>
                <w:szCs w:val="20"/>
                <w:color w:val="auto"/>
              </w:rPr>
            </w:pPr>
            <w:r>
              <w:rPr>
                <w:rFonts w:ascii="Arial" w:cs="Arial" w:eastAsia="Arial" w:hAnsi="Arial"/>
                <w:sz w:val="17"/>
                <w:szCs w:val="17"/>
                <w:color w:val="auto"/>
              </w:rPr>
              <w:t>15,000</w:t>
            </w:r>
            <w:r>
              <w:rPr>
                <w:rFonts w:ascii="Arial" w:cs="Arial" w:eastAsia="Arial" w:hAnsi="Arial"/>
                <w:sz w:val="27"/>
                <w:szCs w:val="27"/>
                <w:color w:val="auto"/>
                <w:vertAlign w:val="superscript"/>
              </w:rPr>
              <w:t>(8)</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$23.80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5/19/2020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14,608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$1,197,856</w:t>
            </w:r>
          </w:p>
        </w:tc>
        <w:tc>
          <w:tcPr>
            <w:tcW w:w="0" w:type="dxa"/>
            <w:vAlign w:val="bottom"/>
          </w:tcPr>
          <w:p>
            <w:pPr>
              <w:spacing w:after="0"/>
              <w:rPr>
                <w:sz w:val="1"/>
                <w:szCs w:val="1"/>
                <w:color w:val="auto"/>
              </w:rPr>
            </w:pPr>
          </w:p>
        </w:tc>
      </w:tr>
      <w:tr>
        <w:trPr>
          <w:trHeight w:val="476"/>
        </w:trPr>
        <w:tc>
          <w:tcPr>
            <w:tcW w:w="1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14,625</w:t>
            </w:r>
            <w:r>
              <w:rPr>
                <w:rFonts w:ascii="Arial" w:cs="Arial" w:eastAsia="Arial" w:hAnsi="Arial"/>
                <w:sz w:val="27"/>
                <w:szCs w:val="27"/>
                <w:color w:val="auto"/>
                <w:vertAlign w:val="superscript"/>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gridSpan w:val="2"/>
          </w:tcPr>
          <w:p>
            <w:pPr>
              <w:jc w:val="right"/>
              <w:spacing w:after="0" w:line="245" w:lineRule="exact"/>
              <w:rPr>
                <w:sz w:val="20"/>
                <w:szCs w:val="20"/>
                <w:color w:val="auto"/>
              </w:rPr>
            </w:pPr>
            <w:r>
              <w:rPr>
                <w:rFonts w:ascii="Arial" w:cs="Arial" w:eastAsia="Arial" w:hAnsi="Arial"/>
                <w:sz w:val="17"/>
                <w:szCs w:val="17"/>
                <w:color w:val="auto"/>
              </w:rPr>
              <w:t>14,625</w:t>
            </w:r>
            <w:r>
              <w:rPr>
                <w:rFonts w:ascii="Arial" w:cs="Arial" w:eastAsia="Arial" w:hAnsi="Arial"/>
                <w:sz w:val="27"/>
                <w:szCs w:val="27"/>
                <w:color w:val="auto"/>
                <w:vertAlign w:val="superscript"/>
              </w:rPr>
              <w:t>(11)</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$60.76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3/12/2022</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7,313</w:t>
            </w:r>
          </w:p>
        </w:tc>
        <w:tc>
          <w:tcPr>
            <w:tcW w:w="1320" w:type="dxa"/>
            <w:vAlign w:val="bottom"/>
            <w:gridSpan w:val="2"/>
            <w:shd w:val="clear" w:color="auto" w:fill="CCEEFF"/>
          </w:tcPr>
          <w:p>
            <w:pPr>
              <w:jc w:val="right"/>
              <w:spacing w:after="0" w:line="245" w:lineRule="exact"/>
              <w:rPr>
                <w:sz w:val="20"/>
                <w:szCs w:val="20"/>
                <w:color w:val="auto"/>
              </w:rPr>
            </w:pPr>
            <w:r>
              <w:rPr>
                <w:rFonts w:ascii="Arial" w:cs="Arial" w:eastAsia="Arial" w:hAnsi="Arial"/>
                <w:sz w:val="17"/>
                <w:szCs w:val="17"/>
                <w:color w:val="auto"/>
              </w:rPr>
              <w:t>21,937</w:t>
            </w:r>
            <w:r>
              <w:rPr>
                <w:rFonts w:ascii="Arial" w:cs="Arial" w:eastAsia="Arial" w:hAnsi="Arial"/>
                <w:sz w:val="27"/>
                <w:szCs w:val="27"/>
                <w:color w:val="auto"/>
                <w:vertAlign w:val="superscript"/>
              </w:rPr>
              <w:t>(12)</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3/12/2022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$711,350</w:t>
            </w:r>
          </w:p>
        </w:tc>
        <w:tc>
          <w:tcPr>
            <w:tcW w:w="0" w:type="dxa"/>
            <w:vAlign w:val="bottom"/>
          </w:tcPr>
          <w:p>
            <w:pPr>
              <w:spacing w:after="0"/>
              <w:rPr>
                <w:sz w:val="1"/>
                <w:szCs w:val="1"/>
                <w:color w:val="auto"/>
              </w:rPr>
            </w:pPr>
          </w:p>
        </w:tc>
      </w:tr>
      <w:tr>
        <w:trPr>
          <w:trHeight w:val="436"/>
        </w:trPr>
        <w:tc>
          <w:tcPr>
            <w:tcW w:w="1700" w:type="dxa"/>
            <w:vAlign w:val="bottom"/>
            <w:gridSpan w:val="3"/>
          </w:tcPr>
          <w:p>
            <w:pPr>
              <w:spacing w:after="0"/>
              <w:rPr>
                <w:sz w:val="20"/>
                <w:szCs w:val="20"/>
                <w:color w:val="auto"/>
              </w:rPr>
            </w:pPr>
            <w:r>
              <w:rPr>
                <w:rFonts w:ascii="Arial" w:cs="Arial" w:eastAsia="Arial" w:hAnsi="Arial"/>
                <w:sz w:val="17"/>
                <w:szCs w:val="17"/>
                <w:color w:val="auto"/>
              </w:rPr>
              <w:t>Robert D. Stiles</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20" w:hanging="517"/>
        <w:spacing w:after="0" w:line="218" w:lineRule="auto"/>
        <w:tabs>
          <w:tab w:leader="none" w:pos="520" w:val="left"/>
        </w:tabs>
        <w:numPr>
          <w:ilvl w:val="0"/>
          <w:numId w:val="38"/>
        </w:numPr>
        <w:rPr>
          <w:rFonts w:ascii="Arial" w:cs="Arial" w:eastAsia="Arial" w:hAnsi="Arial"/>
          <w:sz w:val="25"/>
          <w:szCs w:val="25"/>
          <w:color w:val="auto"/>
          <w:vertAlign w:val="superscript"/>
        </w:rPr>
      </w:pPr>
      <w:r>
        <w:rPr>
          <w:rFonts w:ascii="Arial" w:cs="Arial" w:eastAsia="Arial" w:hAnsi="Arial"/>
          <w:sz w:val="15"/>
          <w:szCs w:val="15"/>
          <w:color w:val="auto"/>
        </w:rPr>
        <w:t>Represents the AAMC Restricted Stock granted to our named executive officers pursuant to the Altisource Asset Management Corporation 2012 Equity Incentive Plan on December 11, 2012, which is subject to the vesting conditions described in our Compensation Discussion and Analysis under "Equity Incentive Plan."</w:t>
      </w:r>
    </w:p>
    <w:p>
      <w:pPr>
        <w:spacing w:after="0" w:line="104" w:lineRule="exact"/>
        <w:rPr>
          <w:rFonts w:ascii="Arial" w:cs="Arial" w:eastAsia="Arial" w:hAnsi="Arial"/>
          <w:sz w:val="25"/>
          <w:szCs w:val="25"/>
          <w:color w:val="auto"/>
          <w:vertAlign w:val="superscript"/>
        </w:rPr>
      </w:pPr>
    </w:p>
    <w:p>
      <w:pPr>
        <w:ind w:left="520" w:hanging="517"/>
        <w:spacing w:after="0"/>
        <w:tabs>
          <w:tab w:leader="none" w:pos="52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been achieved but remain subject to additional Service-based criteria.</w:t>
      </w:r>
    </w:p>
    <w:p>
      <w:pPr>
        <w:spacing w:after="0" w:line="139"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not been achieved.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9" w:name="page40"/>
    <w:bookmarkEnd w:id="39"/>
    <w:p>
      <w:pPr>
        <w:ind w:left="517" w:right="460" w:hanging="517"/>
        <w:spacing w:after="0" w:line="194" w:lineRule="auto"/>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The exercise price of each outstanding stock option of Altisource was adjusted to reflect the value of Residential and AAMC common stock distributed to Altisource shareholders in connection with the spin-off transactions completed on December 21, 2012.</w:t>
      </w:r>
    </w:p>
    <w:p>
      <w:pPr>
        <w:spacing w:after="0" w:line="103" w:lineRule="exact"/>
        <w:rPr>
          <w:rFonts w:ascii="Arial" w:cs="Arial" w:eastAsia="Arial" w:hAnsi="Arial"/>
          <w:sz w:val="28"/>
          <w:szCs w:val="28"/>
          <w:color w:val="auto"/>
          <w:vertAlign w:val="superscript"/>
        </w:rPr>
      </w:pPr>
    </w:p>
    <w:p>
      <w:pPr>
        <w:ind w:left="517" w:hanging="517"/>
        <w:spacing w:after="0"/>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Options vest on June 15, 2013.</w:t>
      </w:r>
    </w:p>
    <w:p>
      <w:pPr>
        <w:spacing w:after="0" w:line="139" w:lineRule="exact"/>
        <w:rPr>
          <w:rFonts w:ascii="Arial" w:cs="Arial" w:eastAsia="Arial" w:hAnsi="Arial"/>
          <w:sz w:val="28"/>
          <w:szCs w:val="28"/>
          <w:color w:val="auto"/>
          <w:vertAlign w:val="superscript"/>
        </w:rPr>
      </w:pPr>
    </w:p>
    <w:p>
      <w:pPr>
        <w:ind w:left="517" w:hanging="517"/>
        <w:spacing w:after="0" w:line="202" w:lineRule="auto"/>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December 6, 2013 and December 6, 2014.</w:t>
      </w:r>
    </w:p>
    <w:p>
      <w:pPr>
        <w:spacing w:after="0" w:line="153" w:lineRule="exact"/>
        <w:rPr>
          <w:rFonts w:ascii="Arial" w:cs="Arial" w:eastAsia="Arial" w:hAnsi="Arial"/>
          <w:sz w:val="28"/>
          <w:szCs w:val="28"/>
          <w:color w:val="auto"/>
          <w:vertAlign w:val="superscript"/>
        </w:rPr>
      </w:pPr>
    </w:p>
    <w:p>
      <w:pPr>
        <w:ind w:left="517" w:hanging="517"/>
        <w:spacing w:after="0" w:line="193" w:lineRule="auto"/>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Options vest in three (3) equal installments on July 2, 2013, July 2, 2014 and July 2, 2015.</w:t>
      </w:r>
    </w:p>
    <w:p>
      <w:pPr>
        <w:spacing w:after="0" w:line="153" w:lineRule="exact"/>
        <w:rPr>
          <w:rFonts w:ascii="Arial" w:cs="Arial" w:eastAsia="Arial" w:hAnsi="Arial"/>
          <w:sz w:val="28"/>
          <w:szCs w:val="28"/>
          <w:color w:val="auto"/>
          <w:vertAlign w:val="superscript"/>
        </w:rPr>
      </w:pPr>
    </w:p>
    <w:p>
      <w:pPr>
        <w:ind w:left="517" w:hanging="517"/>
        <w:spacing w:after="0" w:line="202" w:lineRule="auto"/>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May 19, 2013 and May 19, 2014.</w:t>
      </w:r>
    </w:p>
    <w:p>
      <w:pPr>
        <w:spacing w:after="0" w:line="200" w:lineRule="exact"/>
        <w:rPr>
          <w:rFonts w:ascii="Arial" w:cs="Arial" w:eastAsia="Arial" w:hAnsi="Arial"/>
          <w:sz w:val="28"/>
          <w:szCs w:val="28"/>
          <w:color w:val="auto"/>
          <w:vertAlign w:val="superscript"/>
        </w:rPr>
      </w:pPr>
    </w:p>
    <w:p>
      <w:pPr>
        <w:ind w:left="517" w:hanging="517"/>
        <w:spacing w:after="0" w:line="194" w:lineRule="auto"/>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$182.28 and an annual rate of return of 25% over the exercise price with the balance vesting 25% each subsequent anniversary thereof.</w:t>
      </w:r>
    </w:p>
    <w:p>
      <w:pPr>
        <w:spacing w:after="0" w:line="90" w:lineRule="exact"/>
        <w:rPr>
          <w:rFonts w:ascii="Arial" w:cs="Arial" w:eastAsia="Arial" w:hAnsi="Arial"/>
          <w:sz w:val="28"/>
          <w:szCs w:val="28"/>
          <w:color w:val="auto"/>
          <w:vertAlign w:val="superscript"/>
        </w:rPr>
      </w:pPr>
    </w:p>
    <w:p>
      <w:pPr>
        <w:ind w:left="517" w:hanging="517"/>
        <w:spacing w:after="0"/>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effective March 12, 2012.</w:t>
      </w:r>
    </w:p>
    <w:p>
      <w:pPr>
        <w:spacing w:after="0" w:line="152" w:lineRule="exact"/>
        <w:rPr>
          <w:rFonts w:ascii="Arial" w:cs="Arial" w:eastAsia="Arial" w:hAnsi="Arial"/>
          <w:sz w:val="28"/>
          <w:szCs w:val="28"/>
          <w:color w:val="auto"/>
          <w:vertAlign w:val="superscript"/>
        </w:rPr>
      </w:pPr>
    </w:p>
    <w:p>
      <w:pPr>
        <w:ind w:left="517" w:hanging="517"/>
        <w:spacing w:after="0" w:line="202" w:lineRule="auto"/>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Options vest in four (4) equal installments on March 12, 2013, March 12, 2014, March 12, 2015 and March 12, 2016.</w:t>
      </w:r>
    </w:p>
    <w:p>
      <w:pPr>
        <w:spacing w:after="0" w:line="141" w:lineRule="exact"/>
        <w:rPr>
          <w:rFonts w:ascii="Arial" w:cs="Arial" w:eastAsia="Arial" w:hAnsi="Arial"/>
          <w:sz w:val="28"/>
          <w:szCs w:val="28"/>
          <w:color w:val="auto"/>
          <w:vertAlign w:val="superscript"/>
        </w:rPr>
      </w:pPr>
    </w:p>
    <w:p>
      <w:pPr>
        <w:ind w:left="517" w:hanging="517"/>
        <w:spacing w:after="0" w:line="202" w:lineRule="auto"/>
        <w:tabs>
          <w:tab w:leader="none" w:pos="517"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Options vest in three (3) equal installments on October 24, 2013, October 24, 2014 and October 24, 2015.</w:t>
      </w:r>
    </w:p>
    <w:p>
      <w:pPr>
        <w:spacing w:after="0" w:line="200"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97"/>
          </w:cols>
          <w:pgMar w:left="243" w:top="131"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Option Exercises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the exercise of stock options during the fiscal year ended December 31, 2012 for our named executive officers: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87"/>
              </w:rPr>
              <w:t>No. Shares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89"/>
              </w:rPr>
              <w:t>Acquired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86"/>
              </w:rPr>
              <w:t>on</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4"/>
              </w:rPr>
              <w:t>Exercise</w:t>
            </w:r>
          </w:p>
        </w:tc>
        <w:tc>
          <w:tcPr>
            <w:tcW w:w="180" w:type="dxa"/>
            <w:vAlign w:val="bottom"/>
          </w:tcPr>
          <w:p>
            <w:pPr>
              <w:spacing w:after="0"/>
              <w:rPr>
                <w:sz w:val="17"/>
                <w:szCs w:val="17"/>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b w:val="1"/>
                <w:bCs w:val="1"/>
                <w:color w:val="auto"/>
              </w:rPr>
              <w:t>Exercise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Market</w:t>
            </w:r>
          </w:p>
        </w:tc>
        <w:tc>
          <w:tcPr>
            <w:tcW w:w="180" w:type="dxa"/>
            <w:vAlign w:val="bottom"/>
          </w:tcPr>
          <w:p>
            <w:pPr>
              <w:spacing w:after="0"/>
              <w:rPr>
                <w:sz w:val="17"/>
                <w:szCs w:val="17"/>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b w:val="1"/>
                <w:bCs w:val="1"/>
                <w:color w:val="auto"/>
              </w:rPr>
              <w:t>Market</w:t>
            </w:r>
          </w:p>
        </w:tc>
        <w:tc>
          <w:tcPr>
            <w:tcW w:w="18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7"/>
                <w:szCs w:val="17"/>
                <w:b w:val="1"/>
                <w:bCs w:val="1"/>
                <w:color w:val="auto"/>
              </w:rPr>
              <w:t>Value Realized</w:t>
            </w:r>
          </w:p>
        </w:tc>
      </w:tr>
      <w:tr>
        <w:trPr>
          <w:trHeight w:val="218"/>
        </w:trPr>
        <w:tc>
          <w:tcPr>
            <w:tcW w:w="6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Name</w:t>
            </w:r>
          </w:p>
        </w:tc>
        <w:tc>
          <w:tcPr>
            <w:tcW w:w="13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Exercise</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Price</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Amount</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Price</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Value</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on Exercise</w:t>
            </w:r>
          </w:p>
        </w:tc>
        <w:tc>
          <w:tcPr>
            <w:tcW w:w="200" w:type="dxa"/>
            <w:vAlign w:val="bottom"/>
          </w:tcPr>
          <w:p>
            <w:pPr>
              <w:spacing w:after="0"/>
              <w:rPr>
                <w:sz w:val="18"/>
                <w:szCs w:val="18"/>
                <w:color w:val="auto"/>
              </w:rPr>
            </w:pPr>
          </w:p>
        </w:tc>
      </w:tr>
      <w:tr>
        <w:trPr>
          <w:trHeight w:val="238"/>
        </w:trPr>
        <w:tc>
          <w:tcPr>
            <w:tcW w:w="2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180" w:type="dxa"/>
            <w:vAlign w:val="bottom"/>
            <w:shd w:val="clear" w:color="auto" w:fill="CCEEFF"/>
          </w:tcPr>
          <w:p>
            <w:pPr>
              <w:jc w:val="right"/>
              <w:spacing w:after="0" w:line="239" w:lineRule="exact"/>
              <w:rPr>
                <w:sz w:val="20"/>
                <w:szCs w:val="20"/>
                <w:color w:val="auto"/>
              </w:rPr>
            </w:pPr>
            <w:r>
              <w:rPr>
                <w:rFonts w:ascii="Arial" w:cs="Arial" w:eastAsia="Arial" w:hAnsi="Arial"/>
                <w:sz w:val="17"/>
                <w:szCs w:val="17"/>
                <w:color w:val="auto"/>
              </w:rPr>
              <w:t>7,018</w:t>
            </w:r>
            <w:r>
              <w:rPr>
                <w:rFonts w:ascii="Arial" w:cs="Arial" w:eastAsia="Arial" w:hAnsi="Arial"/>
                <w:sz w:val="27"/>
                <w:szCs w:val="27"/>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$588,474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$564,945</w:t>
            </w:r>
          </w:p>
        </w:tc>
        <w:tc>
          <w:tcPr>
            <w:tcW w:w="200" w:type="dxa"/>
            <w:vAlign w:val="bottom"/>
            <w:shd w:val="clear" w:color="auto" w:fill="CCEEFF"/>
          </w:tcPr>
          <w:p>
            <w:pPr>
              <w:spacing w:after="0"/>
              <w:rPr>
                <w:sz w:val="20"/>
                <w:szCs w:val="20"/>
                <w:color w:val="auto"/>
              </w:rPr>
            </w:pPr>
          </w:p>
        </w:tc>
      </w:tr>
      <w:tr>
        <w:trPr>
          <w:trHeight w:val="476"/>
        </w:trPr>
        <w:tc>
          <w:tcPr>
            <w:tcW w:w="2400" w:type="dxa"/>
            <w:vAlign w:val="bottom"/>
            <w:gridSpan w:val="3"/>
          </w:tcPr>
          <w:p>
            <w:pPr>
              <w:spacing w:after="0"/>
              <w:rPr>
                <w:sz w:val="20"/>
                <w:szCs w:val="20"/>
                <w:color w:val="auto"/>
              </w:rPr>
            </w:pPr>
            <w:r>
              <w:rPr>
                <w:rFonts w:ascii="Arial" w:cs="Arial" w:eastAsia="Arial" w:hAnsi="Arial"/>
                <w:sz w:val="17"/>
                <w:szCs w:val="17"/>
                <w:color w:val="auto"/>
              </w:rPr>
              <w:t>William B. Shepro</w:t>
            </w:r>
          </w:p>
        </w:tc>
        <w:tc>
          <w:tcPr>
            <w:tcW w:w="1180" w:type="dxa"/>
            <w:vAlign w:val="bottom"/>
          </w:tcPr>
          <w:p>
            <w:pPr>
              <w:jc w:val="right"/>
              <w:spacing w:after="0"/>
              <w:rPr>
                <w:sz w:val="20"/>
                <w:szCs w:val="20"/>
                <w:color w:val="auto"/>
              </w:rPr>
            </w:pPr>
            <w:r>
              <w:rPr>
                <w:rFonts w:ascii="Arial" w:cs="Arial" w:eastAsia="Arial" w:hAnsi="Arial"/>
                <w:sz w:val="17"/>
                <w:szCs w:val="17"/>
                <w:color w:val="auto"/>
              </w:rPr>
              <w:t>679</w:t>
            </w:r>
            <w:r>
              <w:rPr>
                <w:rFonts w:ascii="Arial" w:cs="Arial" w:eastAsia="Arial" w:hAnsi="Arial"/>
                <w:sz w:val="27"/>
                <w:szCs w:val="27"/>
                <w:color w:val="auto"/>
                <w:vertAlign w:val="superscript"/>
              </w:rPr>
              <w:t>(1)</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$2.23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$1,514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$83.85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$56,935</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$55,420</w:t>
            </w:r>
          </w:p>
        </w:tc>
        <w:tc>
          <w:tcPr>
            <w:tcW w:w="200" w:type="dxa"/>
            <w:vAlign w:val="bottom"/>
          </w:tcPr>
          <w:p>
            <w:pPr>
              <w:spacing w:after="0"/>
              <w:rPr>
                <w:sz w:val="24"/>
                <w:szCs w:val="24"/>
                <w:color w:val="auto"/>
              </w:rPr>
            </w:pPr>
          </w:p>
        </w:tc>
      </w:tr>
      <w:tr>
        <w:trPr>
          <w:trHeight w:val="476"/>
        </w:trPr>
        <w:tc>
          <w:tcPr>
            <w:tcW w:w="2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Kevin J. Wilcox</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2,649</w:t>
            </w:r>
            <w:r>
              <w:rPr>
                <w:rFonts w:ascii="Arial" w:cs="Arial" w:eastAsia="Arial" w:hAnsi="Arial"/>
                <w:sz w:val="27"/>
                <w:szCs w:val="27"/>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$169,271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$160,389</w:t>
            </w:r>
          </w:p>
        </w:tc>
        <w:tc>
          <w:tcPr>
            <w:tcW w:w="200" w:type="dxa"/>
            <w:vAlign w:val="bottom"/>
            <w:shd w:val="clear" w:color="auto" w:fill="CCEEFF"/>
          </w:tcPr>
          <w:p>
            <w:pPr>
              <w:spacing w:after="0"/>
              <w:rPr>
                <w:sz w:val="24"/>
                <w:szCs w:val="24"/>
                <w:color w:val="auto"/>
              </w:rPr>
            </w:pPr>
          </w:p>
        </w:tc>
      </w:tr>
      <w:tr>
        <w:trPr>
          <w:trHeight w:val="476"/>
        </w:trPr>
        <w:tc>
          <w:tcPr>
            <w:tcW w:w="240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180" w:type="dxa"/>
            <w:vAlign w:val="bottom"/>
          </w:tcPr>
          <w:p>
            <w:pPr>
              <w:jc w:val="right"/>
              <w:spacing w:after="0"/>
              <w:rPr>
                <w:sz w:val="20"/>
                <w:szCs w:val="20"/>
                <w:color w:val="auto"/>
              </w:rPr>
            </w:pPr>
            <w:r>
              <w:rPr>
                <w:rFonts w:ascii="Arial" w:cs="Arial" w:eastAsia="Arial" w:hAnsi="Arial"/>
                <w:sz w:val="17"/>
                <w:szCs w:val="17"/>
                <w:color w:val="auto"/>
              </w:rPr>
              <w:t>1,766</w:t>
            </w:r>
            <w:r>
              <w:rPr>
                <w:rFonts w:ascii="Arial" w:cs="Arial" w:eastAsia="Arial" w:hAnsi="Arial"/>
                <w:sz w:val="27"/>
                <w:szCs w:val="27"/>
                <w:color w:val="auto"/>
                <w:vertAlign w:val="superscript"/>
              </w:rPr>
              <w:t>(1)</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$2.23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$3,940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$63.90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$112,847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$108,907</w:t>
            </w:r>
          </w:p>
        </w:tc>
        <w:tc>
          <w:tcPr>
            <w:tcW w:w="200" w:type="dxa"/>
            <w:vAlign w:val="bottom"/>
          </w:tcPr>
          <w:p>
            <w:pPr>
              <w:spacing w:after="0"/>
              <w:rPr>
                <w:sz w:val="24"/>
                <w:szCs w:val="24"/>
                <w:color w:val="auto"/>
              </w:rPr>
            </w:pPr>
          </w:p>
        </w:tc>
      </w:tr>
      <w:tr>
        <w:trPr>
          <w:trHeight w:val="476"/>
        </w:trPr>
        <w:tc>
          <w:tcPr>
            <w:tcW w:w="2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D. Stiles</w:t>
            </w:r>
            <w:r>
              <w:rPr>
                <w:rFonts w:ascii="Arial" w:cs="Arial" w:eastAsia="Arial" w:hAnsi="Arial"/>
                <w:sz w:val="27"/>
                <w:szCs w:val="27"/>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$206,349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$883,146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$676,797</w:t>
            </w:r>
          </w:p>
        </w:tc>
        <w:tc>
          <w:tcPr>
            <w:tcW w:w="200" w:type="dxa"/>
            <w:vAlign w:val="bottom"/>
            <w:shd w:val="clear" w:color="auto" w:fill="CCEEFF"/>
          </w:tcPr>
          <w:p>
            <w:pPr>
              <w:spacing w:after="0"/>
              <w:rPr>
                <w:sz w:val="24"/>
                <w:szCs w:val="24"/>
                <w:color w:val="auto"/>
              </w:rPr>
            </w:pPr>
          </w:p>
        </w:tc>
      </w:tr>
      <w:tr>
        <w:trPr>
          <w:trHeight w:val="437"/>
        </w:trPr>
        <w:tc>
          <w:tcPr>
            <w:tcW w:w="2400" w:type="dxa"/>
            <w:vAlign w:val="bottom"/>
            <w:gridSpan w:val="3"/>
          </w:tcPr>
          <w:p>
            <w:pPr>
              <w:spacing w:after="0"/>
              <w:rPr>
                <w:sz w:val="20"/>
                <w:szCs w:val="20"/>
                <w:color w:val="auto"/>
              </w:rPr>
            </w:pPr>
            <w:r>
              <w:rPr>
                <w:rFonts w:ascii="Arial" w:cs="Arial" w:eastAsia="Arial" w:hAnsi="Arial"/>
                <w:sz w:val="17"/>
                <w:szCs w:val="17"/>
                <w:color w:val="auto"/>
              </w:rPr>
              <w:t>Robert D. Stiles</w:t>
            </w:r>
          </w:p>
        </w:tc>
        <w:tc>
          <w:tcPr>
            <w:tcW w:w="1180" w:type="dxa"/>
            <w:vAlign w:val="bottom"/>
          </w:tcPr>
          <w:p>
            <w:pPr>
              <w:jc w:val="right"/>
              <w:spacing w:after="0"/>
              <w:rPr>
                <w:sz w:val="20"/>
                <w:szCs w:val="20"/>
                <w:color w:val="auto"/>
              </w:rPr>
            </w:pPr>
            <w:r>
              <w:rPr>
                <w:rFonts w:ascii="Arial" w:cs="Arial" w:eastAsia="Arial" w:hAnsi="Arial"/>
                <w:sz w:val="17"/>
                <w:szCs w:val="17"/>
                <w:color w:val="auto"/>
              </w:rPr>
              <w:t>11,435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$22.01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$251,684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$60.56</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$692,504</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$440,820</w:t>
            </w:r>
          </w:p>
        </w:tc>
        <w:tc>
          <w:tcPr>
            <w:tcW w:w="200" w:type="dxa"/>
            <w:vAlign w:val="bottom"/>
          </w:tcPr>
          <w:p>
            <w:pPr>
              <w:spacing w:after="0"/>
              <w:rPr>
                <w:sz w:val="24"/>
                <w:szCs w:val="24"/>
                <w:color w:val="auto"/>
              </w:rPr>
            </w:pPr>
          </w:p>
        </w:tc>
      </w:tr>
      <w:tr>
        <w:trPr>
          <w:trHeight w:val="439"/>
        </w:trPr>
        <w:tc>
          <w:tcPr>
            <w:tcW w:w="2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D. Stiles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$8,944</w:t>
            </w:r>
          </w:p>
        </w:tc>
        <w:tc>
          <w:tcPr>
            <w:tcW w:w="200" w:type="dxa"/>
            <w:vAlign w:val="bottom"/>
            <w:shd w:val="clear" w:color="auto" w:fill="CCEEFF"/>
          </w:tcPr>
          <w:p>
            <w:pPr>
              <w:spacing w:after="0"/>
              <w:rPr>
                <w:sz w:val="24"/>
                <w:szCs w:val="24"/>
                <w:color w:val="auto"/>
              </w:rPr>
            </w:pPr>
          </w:p>
        </w:tc>
      </w:tr>
      <w:tr>
        <w:trPr>
          <w:trHeight w:val="437"/>
        </w:trPr>
        <w:tc>
          <w:tcPr>
            <w:tcW w:w="2400" w:type="dxa"/>
            <w:vAlign w:val="bottom"/>
            <w:gridSpan w:val="3"/>
          </w:tcPr>
          <w:p>
            <w:pPr>
              <w:spacing w:after="0"/>
              <w:rPr>
                <w:sz w:val="20"/>
                <w:szCs w:val="20"/>
                <w:color w:val="auto"/>
              </w:rPr>
            </w:pPr>
            <w:r>
              <w:rPr>
                <w:rFonts w:ascii="Arial" w:cs="Arial" w:eastAsia="Arial" w:hAnsi="Arial"/>
                <w:sz w:val="17"/>
                <w:szCs w:val="17"/>
                <w:color w:val="auto"/>
              </w:rPr>
              <w:t>Robert D. Stiles</w:t>
            </w:r>
          </w:p>
        </w:tc>
        <w:tc>
          <w:tcPr>
            <w:tcW w:w="1180" w:type="dxa"/>
            <w:vAlign w:val="bottom"/>
          </w:tcPr>
          <w:p>
            <w:pPr>
              <w:jc w:val="right"/>
              <w:spacing w:after="0"/>
              <w:rPr>
                <w:sz w:val="20"/>
                <w:szCs w:val="20"/>
                <w:color w:val="auto"/>
              </w:rPr>
            </w:pPr>
            <w:r>
              <w:rPr>
                <w:rFonts w:ascii="Arial" w:cs="Arial" w:eastAsia="Arial" w:hAnsi="Arial"/>
                <w:sz w:val="17"/>
                <w:szCs w:val="17"/>
                <w:color w:val="auto"/>
              </w:rPr>
              <w:t>550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$24.85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$13,668</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$63.05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$34,678</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$21,010</w:t>
            </w:r>
          </w:p>
        </w:tc>
        <w:tc>
          <w:tcPr>
            <w:tcW w:w="200" w:type="dxa"/>
            <w:vAlign w:val="bottom"/>
          </w:tcPr>
          <w:p>
            <w:pPr>
              <w:spacing w:after="0"/>
              <w:rPr>
                <w:sz w:val="24"/>
                <w:szCs w:val="24"/>
                <w:color w:val="auto"/>
              </w:rPr>
            </w:pPr>
          </w:p>
        </w:tc>
      </w:tr>
      <w:tr>
        <w:trPr>
          <w:trHeight w:val="439"/>
        </w:trPr>
        <w:tc>
          <w:tcPr>
            <w:tcW w:w="2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D. Stiles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$545,458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$1,400,191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$854,733</w:t>
            </w:r>
          </w:p>
        </w:tc>
        <w:tc>
          <w:tcPr>
            <w:tcW w:w="200" w:type="dxa"/>
            <w:vAlign w:val="bottom"/>
            <w:shd w:val="clear" w:color="auto" w:fill="CCEEFF"/>
          </w:tcPr>
          <w:p>
            <w:pPr>
              <w:spacing w:after="0"/>
              <w:rPr>
                <w:sz w:val="24"/>
                <w:szCs w:val="24"/>
                <w:color w:val="auto"/>
              </w:rPr>
            </w:pPr>
          </w:p>
        </w:tc>
      </w:tr>
    </w:tbl>
    <w:p>
      <w:pPr>
        <w:spacing w:after="0" w:line="197" w:lineRule="exact"/>
        <w:rPr>
          <w:sz w:val="20"/>
          <w:szCs w:val="20"/>
          <w:color w:val="auto"/>
        </w:rPr>
      </w:pPr>
    </w:p>
    <w:p>
      <w:pPr>
        <w:ind w:left="1660" w:hanging="515"/>
        <w:spacing w:after="0" w:line="194" w:lineRule="auto"/>
        <w:tabs>
          <w:tab w:leader="none" w:pos="1660"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These options were awarded as a result of the separation from Ocwen due to options that had originally been awarded while the executive was employed at Ocwen and would have expired as of January 31, 2013 if not exercised.</w:t>
      </w:r>
    </w:p>
    <w:p>
      <w:pPr>
        <w:spacing w:after="0" w:line="103"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Mr. Stiles resigned as Chief Financial Officer effective March 1, 2012.</w:t>
      </w:r>
    </w:p>
    <w:p>
      <w:pPr>
        <w:spacing w:after="0" w:line="19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41" w:name="page42"/>
    <w:bookmarkEnd w:id="41"/>
    <w:p>
      <w:pPr>
        <w:jc w:val="center"/>
        <w:ind w:right="-239"/>
        <w:spacing w:after="0"/>
        <w:rPr>
          <w:sz w:val="20"/>
          <w:szCs w:val="20"/>
          <w:color w:val="auto"/>
        </w:rPr>
      </w:pPr>
      <w:r>
        <w:rPr>
          <w:rFonts w:ascii="Arial" w:cs="Arial" w:eastAsia="Arial" w:hAnsi="Arial"/>
          <w:sz w:val="17"/>
          <w:szCs w:val="17"/>
          <w:b w:val="1"/>
          <w:bCs w:val="1"/>
          <w:color w:val="auto"/>
        </w:rPr>
        <w:t>APPOINTMENT OF</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INDEPENDENT REGISTERED CERTIFIED PUBLIC ACCOUNTING FIRM</w:t>
      </w:r>
    </w:p>
    <w:p>
      <w:pPr>
        <w:spacing w:after="0" w:line="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(Proposal Two)</w:t>
      </w:r>
    </w:p>
    <w:p>
      <w:pPr>
        <w:spacing w:after="0" w:line="20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Audit Committee of our Board of Directors has appointed Deloitte &amp; Touche LLP to be our independent registered certified public accounting firm for the year ending December 31, 2013 and Deloitte Audit S.à r.l. to be our certified auditor for all statutory accounts as required by Luxembourg law for the same period (together "Deloitte"). The Audit Committee has further directed that such appointment be submitted for approval by our shareholders at the Annual Meeting of Shareholders.</w:t>
      </w:r>
    </w:p>
    <w:p>
      <w:pPr>
        <w:spacing w:after="0" w:line="147"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68" w:lineRule="exact"/>
        <w:rPr>
          <w:sz w:val="20"/>
          <w:szCs w:val="20"/>
          <w:color w:val="auto"/>
        </w:rPr>
      </w:pPr>
    </w:p>
    <w:p>
      <w:pPr>
        <w:jc w:val="center"/>
        <w:ind w:left="500" w:right="1580"/>
        <w:spacing w:after="0" w:line="259" w:lineRule="auto"/>
        <w:rPr>
          <w:sz w:val="20"/>
          <w:szCs w:val="20"/>
          <w:color w:val="auto"/>
        </w:rPr>
      </w:pPr>
      <w:r>
        <w:rPr>
          <w:rFonts w:ascii="Arial" w:cs="Arial" w:eastAsia="Arial" w:hAnsi="Arial"/>
          <w:sz w:val="17"/>
          <w:szCs w:val="17"/>
          <w:b w:val="1"/>
          <w:bCs w:val="1"/>
          <w:color w:val="auto"/>
        </w:rPr>
        <w:t>OUR BOARD OF DIRECTORS UNANIMOUSLY RECOMMENDS THAT YOU VOTE "FOR" THE APPOINTMENT OF DELOITTE &amp; TOUCHE LLP AS THE INDEPENDENT REGISTERED CERTIFIED PUBLIC ACCOUNTING FIRM FOR 2013 AND DELOITTE AUDIT S.À R.L. AS THE CERTIFIED AUDITOR FOR ALL STATUTORY ACCOUNTS AS REQUIRED BY LUXEMBOURG LAW FOR THE SAME PERIOD</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Report of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w:t>
      </w:r>
    </w:p>
    <w:p>
      <w:pPr>
        <w:spacing w:after="0" w:line="229" w:lineRule="exact"/>
        <w:rPr>
          <w:sz w:val="20"/>
          <w:szCs w:val="20"/>
          <w:color w:val="auto"/>
        </w:rPr>
      </w:pPr>
    </w:p>
    <w:p>
      <w:pPr>
        <w:ind w:left="1040" w:hanging="522"/>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Reviewed and discussed with management Altisource's audited financial statements as of and for the year ended December 31, 2012;</w:t>
      </w:r>
    </w:p>
    <w:p>
      <w:pPr>
        <w:spacing w:after="0" w:line="242" w:lineRule="exact"/>
        <w:rPr>
          <w:rFonts w:ascii="Arial" w:cs="Arial" w:eastAsia="Arial" w:hAnsi="Arial"/>
          <w:sz w:val="17"/>
          <w:szCs w:val="17"/>
          <w:color w:val="auto"/>
        </w:rPr>
      </w:pPr>
    </w:p>
    <w:p>
      <w:pPr>
        <w:ind w:left="1040" w:right="120" w:hanging="522"/>
        <w:spacing w:after="0" w:line="274"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Discussed with Deloitte &amp; Touche LLP, Altisource's independent registered certified public accounting firm, the matters required to be discussed under PCAOB standards; and</w:t>
      </w:r>
    </w:p>
    <w:p>
      <w:pPr>
        <w:spacing w:after="0" w:line="184" w:lineRule="exact"/>
        <w:rPr>
          <w:rFonts w:ascii="Arial" w:cs="Arial" w:eastAsia="Arial" w:hAnsi="Arial"/>
          <w:sz w:val="17"/>
          <w:szCs w:val="17"/>
          <w:color w:val="auto"/>
        </w:rPr>
      </w:pPr>
    </w:p>
    <w:p>
      <w:pPr>
        <w:ind w:left="1040" w:hanging="522"/>
        <w:spacing w:after="0" w:line="263"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Received and reviewed the written disclosures and the letter required by the applicable requirements of the PCAOB regarding the independent registered certified public accounting firm's communications with the Audit Committee concerning independence and discussed with Deloitte &amp; Touche LLP their independence.</w:t>
      </w:r>
    </w:p>
    <w:p>
      <w:pPr>
        <w:spacing w:after="0" w:line="18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 reliance on the review and discussion referred to above, the Committee recommended to the Board of Directors that the audited financial statements be included in Altisource's annual report on Form 10-K for the year ended December 31, 2012.</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Audit Committee: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Roland Müller-Ineichen, Chairman</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W. Michael Linn, Director</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Timo Vättö, Director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2, 2013</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Deloitte &amp; Touche LLP Fees</w:t>
      </w:r>
    </w:p>
    <w:p>
      <w:pPr>
        <w:spacing w:after="0" w:line="221"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following table shows the aggregate fees billed to Altisource for professional services by Deloitte &amp; Touche LLP, the member firms of Deloitte Touche Tohmatsu, and their respective affiliates in fiscal years 2011 and 2012:</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6100" w:type="dxa"/>
            <w:vAlign w:val="bottom"/>
            <w:gridSpan w:val="2"/>
          </w:tcPr>
          <w:p>
            <w:pPr>
              <w:spacing w:after="0"/>
              <w:rPr>
                <w:sz w:val="20"/>
                <w:szCs w:val="20"/>
                <w:color w:val="auto"/>
              </w:rPr>
            </w:pPr>
            <w:r>
              <w:rPr>
                <w:rFonts w:ascii="Arial" w:cs="Arial" w:eastAsia="Arial" w:hAnsi="Arial"/>
                <w:sz w:val="17"/>
                <w:szCs w:val="17"/>
                <w:b w:val="1"/>
                <w:bCs w:val="1"/>
                <w:color w:val="auto"/>
              </w:rPr>
              <w:t>Category</w:t>
            </w:r>
          </w:p>
        </w:tc>
        <w:tc>
          <w:tcPr>
            <w:tcW w:w="780" w:type="dxa"/>
            <w:vAlign w:val="bottom"/>
          </w:tcPr>
          <w:p>
            <w:pPr>
              <w:jc w:val="right"/>
              <w:ind w:right="136"/>
              <w:spacing w:after="0"/>
              <w:rPr>
                <w:sz w:val="20"/>
                <w:szCs w:val="20"/>
                <w:color w:val="auto"/>
              </w:rPr>
            </w:pPr>
            <w:r>
              <w:rPr>
                <w:rFonts w:ascii="Arial" w:cs="Arial" w:eastAsia="Arial" w:hAnsi="Arial"/>
                <w:sz w:val="17"/>
                <w:szCs w:val="17"/>
                <w:b w:val="1"/>
                <w:bCs w:val="1"/>
                <w:color w:val="auto"/>
              </w:rPr>
              <w:t>2011</w:t>
            </w:r>
          </w:p>
        </w:tc>
        <w:tc>
          <w:tcPr>
            <w:tcW w:w="160" w:type="dxa"/>
            <w:vAlign w:val="bottom"/>
          </w:tcPr>
          <w:p>
            <w:pPr>
              <w:spacing w:after="0"/>
              <w:rPr>
                <w:sz w:val="18"/>
                <w:szCs w:val="18"/>
                <w:color w:val="auto"/>
              </w:rPr>
            </w:pPr>
          </w:p>
        </w:tc>
        <w:tc>
          <w:tcPr>
            <w:tcW w:w="780" w:type="dxa"/>
            <w:vAlign w:val="bottom"/>
          </w:tcPr>
          <w:p>
            <w:pPr>
              <w:jc w:val="right"/>
              <w:ind w:right="136"/>
              <w:spacing w:after="0"/>
              <w:rPr>
                <w:sz w:val="20"/>
                <w:szCs w:val="20"/>
                <w:color w:val="auto"/>
              </w:rPr>
            </w:pPr>
            <w:r>
              <w:rPr>
                <w:rFonts w:ascii="Arial" w:cs="Arial" w:eastAsia="Arial" w:hAnsi="Arial"/>
                <w:sz w:val="17"/>
                <w:szCs w:val="17"/>
                <w:b w:val="1"/>
                <w:bCs w:val="1"/>
                <w:color w:val="auto"/>
              </w:rPr>
              <w:t>2012</w:t>
            </w:r>
          </w:p>
        </w:tc>
        <w:tc>
          <w:tcPr>
            <w:tcW w:w="160" w:type="dxa"/>
            <w:vAlign w:val="bottom"/>
          </w:tcPr>
          <w:p>
            <w:pPr>
              <w:spacing w:after="0"/>
              <w:rPr>
                <w:sz w:val="18"/>
                <w:szCs w:val="18"/>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$1,189,928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$1,299,347</w:t>
            </w:r>
          </w:p>
        </w:tc>
      </w:tr>
      <w:tr>
        <w:trPr>
          <w:trHeight w:val="206"/>
        </w:trPr>
        <w:tc>
          <w:tcPr>
            <w:tcW w:w="6100" w:type="dxa"/>
            <w:vAlign w:val="bottom"/>
            <w:gridSpan w:val="2"/>
          </w:tcPr>
          <w:p>
            <w:pPr>
              <w:spacing w:after="0"/>
              <w:rPr>
                <w:sz w:val="20"/>
                <w:szCs w:val="20"/>
                <w:color w:val="auto"/>
              </w:rPr>
            </w:pPr>
            <w:r>
              <w:rPr>
                <w:rFonts w:ascii="Arial" w:cs="Arial" w:eastAsia="Arial" w:hAnsi="Arial"/>
                <w:sz w:val="17"/>
                <w:szCs w:val="17"/>
                <w:color w:val="auto"/>
              </w:rPr>
              <w:t>Audit-Related Fees</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$223,763</w:t>
            </w:r>
          </w:p>
        </w:tc>
      </w:tr>
      <w:tr>
        <w:trPr>
          <w:trHeight w:val="206"/>
        </w:trPr>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$215,403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$417,131</w:t>
            </w:r>
          </w:p>
        </w:tc>
      </w:tr>
      <w:tr>
        <w:trPr>
          <w:trHeight w:val="222"/>
        </w:trPr>
        <w:tc>
          <w:tcPr>
            <w:tcW w:w="610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2"/>
        </w:trPr>
        <w:tc>
          <w:tcPr>
            <w:tcW w:w="6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6"/>
        </w:trPr>
        <w:tc>
          <w:tcPr>
            <w:tcW w:w="6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$1,405,331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$1,940,241</w:t>
            </w:r>
          </w:p>
        </w:tc>
      </w:tr>
    </w:tbl>
    <w:p>
      <w:pPr>
        <w:spacing w:after="0" w:line="19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This category includes the aggregate fees and expenses billed for professional services rendered for the audits of Altisource's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for fiscal years 2011 and 2012, for the reviews of the financial statements included in Altisource's quarterly reports on Form 10-Q during fiscal years 2011 and 2012 and for services that are normally provided by the independent registered certified public accounting firm and affiliates in connection with statutory and regulatory filings or engagements for the relevant fiscal year.</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This category includes the aggregate fees billed in fiscal years 2011 and 2012 for audit-related services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 The 2012 Audit-Related Fees represent billings related to the audits of the financial statements of Residential and AAMC included on Form 10 in connection with their spin-offs from Altisource.</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This category includes the aggregate fees billed in fiscal years 2011 and 2012 for professional services rendered by the independent registered certified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firm for tax compliance, tax planning and tax advice.</w:t>
      </w:r>
    </w:p>
    <w:p>
      <w:pPr>
        <w:spacing w:after="0" w:line="17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This category includes the aggregate fees billed in fiscal years 2011 and 2012 for products and services provided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that are not reported above under "Audit Fees," "Audit-Related Fees" or "Tax Fees."</w:t>
      </w:r>
    </w:p>
    <w:p>
      <w:pPr>
        <w:spacing w:after="0" w:line="17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fiscal years 2011 and 2012 and determined that such services and fees are compatible with the independence of Deloitte &amp; Touche LLP.</w:t>
      </w:r>
    </w:p>
    <w:p>
      <w:pPr>
        <w:spacing w:after="0" w:line="172"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2011 and 2012, all fees associated with the independent registered certified public accounting firm's services were pre-approved by the Audit Committee.</w:t>
      </w:r>
    </w:p>
    <w:p>
      <w:pPr>
        <w:spacing w:after="0" w:line="153"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Representatives from Deloitte &amp; Touche LLP will be present at the Annual Meeting of Shareholders, will be given the opportunity to make a statement, if they desire to do so, and will be available to respond to questions from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w:t>
      </w:r>
    </w:p>
    <w:p>
      <w:pPr>
        <w:spacing w:after="0" w:line="22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4" w:name="page45"/>
    <w:bookmarkEnd w:id="44"/>
    <w:p>
      <w:pPr>
        <w:jc w:val="center"/>
        <w:spacing w:after="0" w:line="256" w:lineRule="auto"/>
        <w:rPr>
          <w:sz w:val="20"/>
          <w:szCs w:val="20"/>
          <w:color w:val="auto"/>
        </w:rPr>
      </w:pPr>
      <w:r>
        <w:rPr>
          <w:rFonts w:ascii="Arial" w:cs="Arial" w:eastAsia="Arial" w:hAnsi="Arial"/>
          <w:sz w:val="17"/>
          <w:szCs w:val="17"/>
          <w:b w:val="1"/>
          <w:bCs w:val="1"/>
          <w:color w:val="auto"/>
        </w:rPr>
        <w:t xml:space="preserve">APPROVAL OF THE COMPANY'S ANNUAL ACCOUNTS PREPARED IN ACCORDANCE WITH LUXEMBOURG GAAP FOR THE YEAR ENDED DECEMBER 31, 2012 AND AS AMENDED AND RESTATED FOR THE YEARS ENDED DECEMBER 31, 2009 TO 2011, AND ITS CONSOLIDATED FINANCIAL STATEMENTS PREPARED IN ACCORDANCE WITH U.S. GAAP INCLUDING A FOOTNOTE RECONCILIATION OF EQUITY AND NET INCOME TO IFRS FOR THE YEAR ENDED DECEMBER 31, 2012 </w:t>
      </w:r>
      <w:r>
        <w:rPr>
          <w:rFonts w:ascii="Arial" w:cs="Arial" w:eastAsia="Arial" w:hAnsi="Arial"/>
          <w:sz w:val="17"/>
          <w:szCs w:val="17"/>
          <w:color w:val="auto"/>
        </w:rPr>
        <w:t>(Proposal Three)</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Pursuant to Luxembourg law, the Luxembourg Statutory Accounts must be submitted each year to shareholders for approval at the Annual Meeting of Shareholders.</w:t>
      </w:r>
    </w:p>
    <w:p>
      <w:pPr>
        <w:spacing w:after="0" w:line="240" w:lineRule="exact"/>
        <w:rPr>
          <w:sz w:val="20"/>
          <w:szCs w:val="20"/>
          <w:color w:val="auto"/>
        </w:rPr>
      </w:pPr>
    </w:p>
    <w:p>
      <w:pPr>
        <w:ind w:right="280"/>
        <w:spacing w:after="0" w:line="314" w:lineRule="auto"/>
        <w:rPr>
          <w:sz w:val="20"/>
          <w:szCs w:val="20"/>
          <w:color w:val="auto"/>
        </w:rPr>
      </w:pPr>
      <w:r>
        <w:rPr>
          <w:rFonts w:ascii="Arial" w:cs="Arial" w:eastAsia="Arial" w:hAnsi="Arial"/>
          <w:sz w:val="15"/>
          <w:szCs w:val="15"/>
          <w:color w:val="auto"/>
        </w:rPr>
        <w:t>The Luxembourg Annual Accounts are prepared in accordance with Luxembourg GAAP and consist of a balance sheet, a profit and loss account and the notes for Altisource. There is no statement of movements in equity or statement of cash flows included in the Luxembourg Annual Accounts under Luxembourg GAAP. Profits earned by the subsidiaries of Altisource are not included in the Luxembourg Annual Accounts unless such amounts are distributed to Altisource.</w:t>
      </w:r>
    </w:p>
    <w:p>
      <w:pPr>
        <w:spacing w:after="0" w:line="14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Luxembourg Annual Accounts were amended and restated as of and for each of the three years ended December 31, 2009 to 2011 to include adjustments required under Luxembourg GAAP. The amended and restated Luxembourg Annual Accounts (1) include 6.7 million common shares redeemed by the Company prior to our separation from Ocwen on August 9, 2009 within Own Shares and Reserve for Own Shares on the balance sheets, (2) remove share-based compensation expense from the profit and loss accounts and (3) remove deferred income tax balances from the balance sheets.</w:t>
      </w:r>
    </w:p>
    <w:p>
      <w:pPr>
        <w:spacing w:after="0" w:line="16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Accordingly, the amended and restated Luxembourg Annual Accounts as of and for the year ended December 31, 2009, show Total Assets of $65.3 million and a profit for the year then ended of $0.9 million. The amended and restated Luxembourg Annual Accounts as of and for the year ended December 31, 2010, show Total Assets of $91.9 million and a profit for the year then ended of $2.2 million. The amended and restated Luxembourg Annual Accounts as of and for the year ended December 31, 2011, show Total Assets of $178.7 million and a loss for the year then ended of $0.8 million. The Luxembourg Annual Accounts as of and for the year ended December 31, 2012, show Total Assets of $174.0 million and a profit for the year then ended of $179.1 million.</w:t>
      </w:r>
    </w:p>
    <w:p>
      <w:pPr>
        <w:spacing w:after="0" w:line="171"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The restatements of the Luxembourg Annual Accounts described above did not result in any change to the Consolidated Accounts for such periods. As of December 31, 2012, the Consolidated Accounts show IFRS Total Equity of $162.3 million and IFRS Net Income of $113.8 million for the year then ended.</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49"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Altisource's Luxembourg Statutory Accounts will be available to shareholders from April 15, 2013 until the conclusion of the Annual Meeting of Shareholders at Altisource's registered office.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THAT YOU VOTE "FOR" THE APPROVAL OF THE LUXEMBOURG STATUTORY ACCOUNTS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7"/>
          <w:szCs w:val="17"/>
          <w:b w:val="1"/>
          <w:bCs w:val="1"/>
          <w:color w:val="auto"/>
        </w:rPr>
        <w:t>RECEIPT AND APPROVAL OF THE DIRECTORS' REPORTS FOR THE</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LUXEMBOURG STATUTORY ACCOUNTS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(Proposal Four)</w:t>
      </w: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Under Luxembourg law, the Board of Directors is required to prepare annual Directors' reports for the Luxembourg Statutory Accounts (the "Directors' Reports"). The Directors' Reports present the Luxembourg Statutory Accounts for the relevant fiscal year(s), provide an explanation as to the results and certain other required Company matters and propose the allocation of such results to the shareholders.</w:t>
      </w:r>
    </w:p>
    <w:p>
      <w:pPr>
        <w:spacing w:after="0" w:line="182" w:lineRule="exact"/>
        <w:rPr>
          <w:sz w:val="20"/>
          <w:szCs w:val="20"/>
          <w:color w:val="auto"/>
        </w:rPr>
      </w:pPr>
    </w:p>
    <w:p>
      <w:pPr>
        <w:jc w:val="both"/>
        <w:ind w:right="420"/>
        <w:spacing w:after="0" w:line="263" w:lineRule="auto"/>
        <w:rPr>
          <w:sz w:val="20"/>
          <w:szCs w:val="20"/>
          <w:color w:val="auto"/>
        </w:rPr>
      </w:pPr>
      <w:r>
        <w:rPr>
          <w:rFonts w:ascii="Arial" w:cs="Arial" w:eastAsia="Arial" w:hAnsi="Arial"/>
          <w:sz w:val="17"/>
          <w:szCs w:val="17"/>
          <w:color w:val="auto"/>
        </w:rPr>
        <w:t>The Directors' Reports for the Luxembourg Statutory Accounts will be available to shareholders from April 15, 2013 until the conclusion of the Annual Meeting of Shareholders at Altisource's registered office. Following shareholder approval of the Luxembourg Statutory Accounts, the Directors' Reports will be filed with the Luxembourg trade registry as public documents.</w:t>
      </w:r>
    </w:p>
    <w:p>
      <w:pPr>
        <w:spacing w:after="0" w:line="178" w:lineRule="exact"/>
        <w:rPr>
          <w:sz w:val="20"/>
          <w:szCs w:val="20"/>
          <w:color w:val="auto"/>
        </w:rPr>
      </w:pPr>
    </w:p>
    <w:p>
      <w:pPr>
        <w:jc w:val="center"/>
        <w:ind w:left="320" w:right="236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RECEIPT AND APPROVAL OF THE DIRECTORS' REPORTS FOR THE LUXEMBOURG STATUTORY ACCOUNTS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46" w:name="page47"/>
    <w:bookmarkEnd w:id="46"/>
    <w:p>
      <w:pPr>
        <w:jc w:val="center"/>
        <w:ind w:left="300" w:right="2460"/>
        <w:spacing w:after="0" w:line="275" w:lineRule="auto"/>
        <w:rPr>
          <w:sz w:val="20"/>
          <w:szCs w:val="20"/>
          <w:color w:val="auto"/>
        </w:rPr>
      </w:pPr>
      <w:r>
        <w:rPr>
          <w:rFonts w:ascii="Arial" w:cs="Arial" w:eastAsia="Arial" w:hAnsi="Arial"/>
          <w:sz w:val="17"/>
          <w:szCs w:val="17"/>
          <w:b w:val="1"/>
          <w:bCs w:val="1"/>
          <w:color w:val="auto"/>
        </w:rPr>
        <w:t xml:space="preserve">ALLOCATION OF THE RESULTS AND PART OF THE DISTRIBUTABLE RESERVE IN THE LUXEMBOURG ANNUAL ACCOUNTS </w:t>
      </w:r>
      <w:r>
        <w:rPr>
          <w:rFonts w:ascii="Arial" w:cs="Arial" w:eastAsia="Arial" w:hAnsi="Arial"/>
          <w:sz w:val="17"/>
          <w:szCs w:val="17"/>
          <w:color w:val="auto"/>
        </w:rPr>
        <w:t>(Proposal Five)</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Each year, the shareholders of Altisource are required to approve the allocation of Altisource's results as determined by the Luxembourg Annual Accounts.</w:t>
      </w:r>
    </w:p>
    <w:p>
      <w:pPr>
        <w:spacing w:after="0" w:line="22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Luxembourg law requires that at least 5% of the net profits, if any, for the Luxembourg Annual Accounts be allocated to a legal reserve; provided, however that an allocation ceases to be compulsory when the legal reserve reaches 10% of the share capital of Altisource, but again becomes compulsory when the reserve amount falls below this threshold.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proposes that the shareholders of the Company approve the allocation of the Company's results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2009</w:t>
      </w:r>
    </w:p>
    <w:p>
      <w:pPr>
        <w:spacing w:after="0" w:line="229" w:lineRule="exact"/>
        <w:rPr>
          <w:sz w:val="20"/>
          <w:szCs w:val="20"/>
          <w:color w:val="auto"/>
        </w:rPr>
      </w:pPr>
    </w:p>
    <w:p>
      <w:pPr>
        <w:ind w:left="1040" w:right="160" w:hanging="522"/>
        <w:spacing w:after="0" w:line="274"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allocation to the Company's legal reserve of the profit for the financial year equal to $0.04 million, which is 5% of the net profit of the Company for the 2009 year; and</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allocation to profit brought forward of the remaining profit of $0.86 million, for a total profit of $0.9 million in 2009.</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2010</w:t>
      </w:r>
    </w:p>
    <w:p>
      <w:pPr>
        <w:spacing w:after="0" w:line="229" w:lineRule="exact"/>
        <w:rPr>
          <w:sz w:val="20"/>
          <w:szCs w:val="20"/>
          <w:color w:val="auto"/>
        </w:rPr>
      </w:pPr>
    </w:p>
    <w:p>
      <w:pPr>
        <w:ind w:left="1040" w:hanging="522"/>
        <w:spacing w:after="0" w:line="274"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allocation to the Company's legal reserve of the profit for the financial year equal to $0.1 million, which is 5% of the net profit of the Company for the 2010 year; and</w:t>
      </w:r>
    </w:p>
    <w:p>
      <w:pPr>
        <w:spacing w:after="0" w:line="184" w:lineRule="exact"/>
        <w:rPr>
          <w:rFonts w:ascii="Arial" w:cs="Arial" w:eastAsia="Arial" w:hAnsi="Arial"/>
          <w:sz w:val="17"/>
          <w:szCs w:val="17"/>
          <w:color w:val="auto"/>
        </w:rPr>
      </w:pPr>
    </w:p>
    <w:p>
      <w:pPr>
        <w:ind w:left="1040" w:hanging="522"/>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allocation to profit brought forward of the remaining profit of $2.1 million, for a total profit of $2.2 million in 2010.</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2011</w:t>
      </w:r>
    </w:p>
    <w:p>
      <w:pPr>
        <w:spacing w:after="0" w:line="242" w:lineRule="exact"/>
        <w:rPr>
          <w:sz w:val="20"/>
          <w:szCs w:val="20"/>
          <w:color w:val="auto"/>
        </w:rPr>
      </w:pPr>
    </w:p>
    <w:p>
      <w:pPr>
        <w:ind w:right="1820" w:firstLine="518"/>
        <w:spacing w:after="0" w:line="505" w:lineRule="auto"/>
        <w:tabs>
          <w:tab w:leader="none" w:pos="10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An allocation of the Company's 2011 loss of $0.8 million to losses brought forward, partially offsetting profit brought forward. </w:t>
      </w:r>
      <w:r>
        <w:rPr>
          <w:rFonts w:ascii="Arial" w:cs="Arial" w:eastAsia="Arial" w:hAnsi="Arial"/>
          <w:sz w:val="17"/>
          <w:szCs w:val="17"/>
          <w:u w:val="single" w:color="auto"/>
          <w:color w:val="auto"/>
        </w:rPr>
        <w:t>Year Ended December 31, 2012</w:t>
      </w:r>
    </w:p>
    <w:p>
      <w:pPr>
        <w:spacing w:after="0" w:line="14" w:lineRule="exact"/>
        <w:rPr>
          <w:rFonts w:ascii="Arial" w:cs="Arial" w:eastAsia="Arial" w:hAnsi="Arial"/>
          <w:sz w:val="17"/>
          <w:szCs w:val="17"/>
          <w:color w:val="auto"/>
        </w:rPr>
      </w:pPr>
    </w:p>
    <w:p>
      <w:pPr>
        <w:ind w:left="1040" w:right="320" w:hanging="522"/>
        <w:spacing w:after="0" w:line="274"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allocation to the Company's legal reserve of the profit for the financial year equal to $2.9 million, which is the remaining legal reserve required to reach 10% of the share capital of the Company; and</w:t>
      </w:r>
    </w:p>
    <w:p>
      <w:pPr>
        <w:spacing w:after="0" w:line="184" w:lineRule="exact"/>
        <w:rPr>
          <w:rFonts w:ascii="Arial" w:cs="Arial" w:eastAsia="Arial" w:hAnsi="Arial"/>
          <w:sz w:val="17"/>
          <w:szCs w:val="17"/>
          <w:color w:val="auto"/>
        </w:rPr>
      </w:pPr>
    </w:p>
    <w:p>
      <w:pPr>
        <w:ind w:left="1040" w:hanging="522"/>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allocation to profit brought forward of the remaining profit of $176.2 million, for a total profit of $179.1 million in 2012.</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THAT YOU VOTE "FOR" THE</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ALLOCATION OF THE RESULTS AND PART OF THE DISTRIBUTABLE RESERVE IN THE</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LUXEMBOURG ANNUAL ACCOUNTS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47" w:name="page48"/>
    <w:bookmarkEnd w:id="47"/>
    <w:p>
      <w:pPr>
        <w:jc w:val="center"/>
        <w:ind w:right="-159"/>
        <w:spacing w:after="0"/>
        <w:rPr>
          <w:sz w:val="20"/>
          <w:szCs w:val="20"/>
          <w:color w:val="auto"/>
        </w:rPr>
      </w:pPr>
      <w:r>
        <w:rPr>
          <w:rFonts w:ascii="Arial" w:cs="Arial" w:eastAsia="Arial" w:hAnsi="Arial"/>
          <w:sz w:val="17"/>
          <w:szCs w:val="17"/>
          <w:b w:val="1"/>
          <w:bCs w:val="1"/>
          <w:color w:val="auto"/>
        </w:rPr>
        <w:t>RATIFICATION OF THE DECLARATION AND PAYMENT OF THE INTERIM DIVIDENDS IN</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CONNECTION WITH THE SEPARATION OF</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ALTISOURCE RESIDENTIAL CORPORATION</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AND ALTISOURCE ASSET MANAGEMENT CORPORATION FROM</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THE COMPANY</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(Proposal Six)</w:t>
      </w:r>
    </w:p>
    <w:p>
      <w:pPr>
        <w:spacing w:after="0" w:line="209"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Pursuant to Luxembourg Law, the declaration and payment of interim dividends by the Board of Directors is subject to ratification by the shareholders at the following general meeting of shareholders.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November 12, 2012, in connection with the spin-offs of Residential and AAMC, the Board of Directors authorized the declaration and payment of interim dividends to the Company's shareholders paid in kind consisting of Residential Class B Common stock (the "Residential Shares") in the amount of $100.0 million and AAMC common stock (the "AAMC Shares") in the amount of $5.0 million.</w:t>
      </w:r>
    </w:p>
    <w:p>
      <w:pPr>
        <w:spacing w:after="0" w:line="182" w:lineRule="exact"/>
        <w:rPr>
          <w:sz w:val="20"/>
          <w:szCs w:val="20"/>
          <w:color w:val="auto"/>
        </w:rPr>
      </w:pPr>
    </w:p>
    <w:p>
      <w:pPr>
        <w:jc w:val="both"/>
        <w:ind w:right="140"/>
        <w:spacing w:after="0" w:line="260" w:lineRule="auto"/>
        <w:rPr>
          <w:sz w:val="20"/>
          <w:szCs w:val="20"/>
          <w:color w:val="auto"/>
        </w:rPr>
      </w:pPr>
      <w:r>
        <w:rPr>
          <w:rFonts w:ascii="Arial" w:cs="Arial" w:eastAsia="Arial" w:hAnsi="Arial"/>
          <w:sz w:val="17"/>
          <w:szCs w:val="17"/>
          <w:color w:val="auto"/>
        </w:rPr>
        <w:t>The spin-offs were completed at the close of business on Friday, December 21, 2012, and the Residential Shares and AAMC Shares were electronically distributed on December 24, 2012 to the Company's shareholders as of December 17, 2012, in the ratio of 1 Residential Share for every 3 shares held in the Company and 1 AAMC Share for every 10 shares held in the Company. This distribution completed the separation of Residential and AAMC from the Company and began their transition to independent public companies.</w:t>
      </w:r>
    </w:p>
    <w:p>
      <w:pPr>
        <w:spacing w:after="0" w:line="18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In accordance with Luxembourg law, the Board of Directors proposes that the shareholders of the Company ratify the declaration and payment of the interim dividends described above.</w:t>
      </w:r>
    </w:p>
    <w:p>
      <w:pPr>
        <w:spacing w:after="0" w:line="168" w:lineRule="exact"/>
        <w:rPr>
          <w:sz w:val="20"/>
          <w:szCs w:val="20"/>
          <w:color w:val="auto"/>
        </w:rPr>
      </w:pPr>
    </w:p>
    <w:p>
      <w:pPr>
        <w:jc w:val="center"/>
        <w:ind w:left="420" w:right="162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RATIFICATION OF THE DECLARATION AND PAYMENT OF THE INTERIM DIVIDENDS IN CONNECTION WITH THE SEPARATION OF ALTISOURCE RESIDENTIAL CORPORATION AND ALTISOURCE ASSET MANAGEMENT CORPORATION FROM THE COMPANY</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7"/>
          <w:szCs w:val="17"/>
          <w:b w:val="1"/>
          <w:bCs w:val="1"/>
          <w:color w:val="auto"/>
        </w:rPr>
        <w:t>DISCHARGE OF EACH OF THE CURRENT AND PAST DIRECTORS OF</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ALTISOURCE PORTFOLIO SOLUTIONS S.A.</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PERFORMANCE OF THEIR MANDATE DURING THE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YEARS ENDED DECEMBER 31, 2009 TO 2012</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(Proposal Seven)</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in certain instances as specified in Article 75 of the Luxembourg Law of 10 August 1915 on commercial companies, as amended. For fiscal year 2012, Altisource believes no such instances have occurred.</w:t>
      </w:r>
    </w:p>
    <w:p>
      <w:pPr>
        <w:spacing w:after="0" w:line="167" w:lineRule="exact"/>
        <w:rPr>
          <w:sz w:val="20"/>
          <w:szCs w:val="20"/>
          <w:color w:val="auto"/>
        </w:rPr>
      </w:pPr>
    </w:p>
    <w:p>
      <w:pPr>
        <w:jc w:val="center"/>
        <w:ind w:left="280" w:right="182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DISCHARGE OF EACH OF THE CURRENT AND PAST DIRECTORS OF ALTISOURCE PORTFOLIO SOLUTIONS S.A. FOR THE PERFORMANCE OF THEIR MANDATE DURING THE YEARS ENDED DECEMBER 31, 2009 TO 2012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7"/>
          <w:szCs w:val="17"/>
          <w:b w:val="1"/>
          <w:bCs w:val="1"/>
          <w:color w:val="auto"/>
        </w:rPr>
        <w:t>BUSINESS RELATIONSHIPS AND RELATED PARTY TRANSACTIONS</w:t>
      </w:r>
    </w:p>
    <w:p>
      <w:pPr>
        <w:spacing w:after="0" w:line="2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 xml:space="preserve">The Board of Directors has adopted a policy and procedure for review, approval and monitoring of transactions involving Altisource and related persons (Directors and named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This policy and procedure is not limited to related person transactions that meet the threshold for disclosure under the relevant SEC rules, as it broadly covers any situation in which a conflict of interest may arise.</w:t>
      </w:r>
    </w:p>
    <w:p>
      <w:pPr>
        <w:spacing w:after="0" w:line="16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of Directors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64" w:lineRule="exact"/>
        <w:rPr>
          <w:sz w:val="20"/>
          <w:szCs w:val="20"/>
          <w:color w:val="auto"/>
        </w:rPr>
      </w:pPr>
    </w:p>
    <w:p>
      <w:pPr>
        <w:ind w:right="80"/>
        <w:spacing w:after="0" w:line="343" w:lineRule="auto"/>
        <w:rPr>
          <w:sz w:val="20"/>
          <w:szCs w:val="20"/>
          <w:color w:val="auto"/>
        </w:rPr>
      </w:pPr>
      <w:r>
        <w:rPr>
          <w:rFonts w:ascii="Arial" w:cs="Arial" w:eastAsia="Arial" w:hAnsi="Arial"/>
          <w:sz w:val="15"/>
          <w:szCs w:val="15"/>
          <w:color w:val="auto"/>
        </w:rPr>
        <w:t>As of December 31, 2012, Mr. Erbey, our Chairman owns or controls 13% of Ocwen's common stock, 23% of Altisource's common stock, 2% of HLSS's common stock, 23% of Residential's common stock and 23% of AAMC's common stock. Therefore, transactions between the Company and these entities are related party transactions.</w:t>
      </w:r>
    </w:p>
    <w:p>
      <w:pPr>
        <w:spacing w:after="0" w:line="125"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In July 2011, the Company acquired a 48.78% equity interest in Correspondent One S.A. ("Correspondent One").Therefore, transactions between the Company and Correspondent One are related party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Ocwen</w:t>
      </w: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For the year ended December 31, 2012, the Company generated segment revenue from Ocwen of $306.8 million for Mortgage Services, $0.2 million for Financial Services and $31.2 million for Technology Services. Services provided to Ocwen during such periods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technology services and license fees for the Company's REALSuite of products. The Company provided all services at rates it believes to be comparable to market rates.</w:t>
      </w:r>
    </w:p>
    <w:p>
      <w:pPr>
        <w:spacing w:after="0" w:line="186"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For the year ended December 31, 2012, the Company billed Ocwen $2.7 million, and Ocwen billed the Company $2.4 million for services provided under support services agreements.</w:t>
      </w:r>
    </w:p>
    <w:p>
      <w:pPr>
        <w:spacing w:after="0" w:line="17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On December 27, 2012, the Company loaned $75.0 million to Ocwen under an unsecured term loan agreement. Interest payments are due quarterly. The interest rate at December 31, 2012 was 8.25%, and interest income related to this loan was $0.1 million for the year ended December 31, 2012. On February 15, 2013, Ocwen fully repaid the term loan to Altisource.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i w:val="1"/>
          <w:iCs w:val="1"/>
          <w:u w:val="single" w:color="auto"/>
          <w:color w:val="auto"/>
        </w:rPr>
        <w:t>Correspondent One and HLSS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2012, the Company billed Correspondent One $0.4 million and HLSS $0.6 million under support services agreements.</w:t>
      </w:r>
    </w:p>
    <w:p>
      <w:pPr>
        <w:spacing w:after="0" w:line="22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Company also provides certain origination related services to Correspondent One. The Company earned revenue of $0.3 million for the year ended December 31, 2012 from the provision of these services.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Residential and AAMC</w:t>
      </w:r>
    </w:p>
    <w:p>
      <w:pPr>
        <w:spacing w:after="0" w:line="21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purposes of governing certain of the ongoing relationships between Altisource, Residential and AAMC after the spin-off transactions, and to provide for an orderly transition to the status of three independent companies, the Company entered into the following agreements with Residential and AAMC:</w:t>
      </w:r>
    </w:p>
    <w:p>
      <w:pPr>
        <w:spacing w:after="0" w:line="162" w:lineRule="exact"/>
        <w:rPr>
          <w:sz w:val="20"/>
          <w:szCs w:val="20"/>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Separation Agreements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Master Services Agreement (Agreement with Residential only)</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Support Services Agreements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Tax Matters Agreements</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Trademark License Agreements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Technology Products Services Agreement (Agreement with AAMC only)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with regard to related party transactions described above, please see the Company's Form 10-K filed on February 13, 2013.</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SHAREHOLDER PROPOSALS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Any proposal which a shareholder desires to have included in our proxy materials relating to our next Annual Meeting of Shareholders, which is scheduled to be held on May 21, 2014, must be received at our executive offices no later than December 3, 2013. All shareholder proposals for the 2014 Annual Meeting of Shareholders should be directed to our Corporate Secretary at Altisource Portfolio Solutions S.A., 291, route d'Arlon, L-1150 Luxembourg City, Grand Duchy of Luxembourg. We recommend that you send any shareholder proposal by certified mail, return-receipt requested.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any proposal that is not submitted for inclusion in the 2014 proxy statement, but is instead sought to be presented directly at the 2014 Annual Meeting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Shareholders, SEC rules permit management to vote proxies in its discretion if we:</w:t>
      </w:r>
    </w:p>
    <w:p>
      <w:pPr>
        <w:spacing w:after="0" w:line="222" w:lineRule="exact"/>
        <w:rPr>
          <w:sz w:val="20"/>
          <w:szCs w:val="20"/>
          <w:color w:val="auto"/>
        </w:rPr>
      </w:pPr>
    </w:p>
    <w:p>
      <w:pPr>
        <w:ind w:left="520" w:right="320" w:hanging="517"/>
        <w:spacing w:after="0" w:line="274"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receive notice of the proposal before the close of business on February 16, 2014 and advise shareholders in the 2014 proxy statement about the nature of the matter and how management intends to vote on such matter, or</w:t>
      </w:r>
    </w:p>
    <w:p>
      <w:pPr>
        <w:spacing w:after="0" w:line="197" w:lineRule="exact"/>
        <w:rPr>
          <w:rFonts w:ascii="Arial" w:cs="Arial" w:eastAsia="Arial" w:hAnsi="Arial"/>
          <w:sz w:val="17"/>
          <w:szCs w:val="17"/>
          <w:color w:val="auto"/>
        </w:rPr>
      </w:pPr>
    </w:p>
    <w:p>
      <w:pPr>
        <w:ind w:left="520" w:hanging="517"/>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do not receive notice of the proposal prior to the close of business on February 16, 2014.</w:t>
      </w:r>
    </w:p>
    <w:p>
      <w:pPr>
        <w:spacing w:after="0" w:line="21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Notice of intent to present a proposal at the 2014 Annual Meeting of Shareholders should be directed to our Corporate Secretary at Altisource Portfolio Solutions S.A., 291, route d'Arlon, L-1150 Luxembourg City, Grand Duchy of Luxembourg.</w:t>
      </w:r>
    </w:p>
    <w:p>
      <w:pPr>
        <w:spacing w:after="0" w:line="172"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We did not receive notice of any shareholder proposals relating to the 2013 Annual Meeting of Shareholders. At the 2013 Annual Meeting of Shareholders, our management may exercise discretionary authority when voting on any properly presented shareholder proposal that is not included as an agenda item in this proxy statement.</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7"/>
          <w:szCs w:val="17"/>
          <w:b w:val="1"/>
          <w:bCs w:val="1"/>
          <w:color w:val="auto"/>
        </w:rPr>
        <w:t>ANNUAL REPORTS</w:t>
      </w:r>
    </w:p>
    <w:p>
      <w:pPr>
        <w:spacing w:after="0" w:line="22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 xml:space="preserve">A copy of our annual report to shareholders on Form 10-K for the year ended December 31, 2012 was made available to shareholders on February 13, 2013. The annual report can be found on our website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under Investor Relations.</w:t>
      </w:r>
    </w:p>
    <w:p>
      <w:pPr>
        <w:spacing w:after="0" w:line="172"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We will furnish without charge to each person whose proxy is solicited and to any beneficial owner entitled to vote as of the record date for the meeting, on written request, a copy of our annual report on Form 10-K for the year ended December 31, 2012, required to be filed by us with the SEC under the Exchange Act. Such requests should be directed to Investor Relations, Altisource Portfolio Solutions S.A., 291, route d'Arlon, L-1150 Luxembourg City, Grand Duchy of Luxembourg.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OTHER MATTERS</w:t>
      </w:r>
    </w:p>
    <w:p>
      <w:pPr>
        <w:spacing w:after="0" w:line="22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the annual report for 2012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approval of the selection of the independent auditor; (3) for the approval of Altisource Portfolio Solutions S.A.'s Luxembourg Statutory Accounts; (4) for the proposal to receive and approve the Directors' reports for the Luxembourg Statutory Accounts; (5) for the proposal to allocate the results and part of the distributable reserve in the Luxembourg Annual Accounts; (6) for the ratification of the declaration and payment of the interim dividends in connection with the separation of Residential and AAMC from Altisource Portfolio Solutions S.A.; and (7) for the approval of the discharge of each of the current and past Directors of Altisource Portfolio Solutions S.A. for the performance of their mandate during the years ended December 31, 2009 to 2012. Should any matter not described above be properly presented at the meeting, the persons named in the proxy form will vote in accordance with their judgment.</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2012 annual report to multiple shareholders who share an address unless that nominee has received contrary instructions from one (1) or more of the shareholders. Shareholders at an address to which a single copy of this proxy statement and our 2012 annual report was sent may request a separate copy by contacting Investor Relations, Altisource Portfolio Solutions S.A., 291, route d'Arlon, L-1150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This proxy statement and our 2012 annual report may be viewed online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In addition, this proxy statement and our 2012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849630</wp:posOffset>
            </wp:positionH>
            <wp:positionV relativeFrom="page">
              <wp:posOffset>88900</wp:posOffset>
            </wp:positionV>
            <wp:extent cx="5560060" cy="71958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873760</wp:posOffset>
            </wp:positionH>
            <wp:positionV relativeFrom="page">
              <wp:posOffset>88900</wp:posOffset>
            </wp:positionV>
            <wp:extent cx="5560060" cy="71958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o"/>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o"/>
      <w:numFmt w:val="bullet"/>
      <w:start w:val="1"/>
    </w:lvl>
    <w:lvl w:ilvl="1">
      <w:lvlJc w:val="left"/>
      <w:lvlText w:val="%2)"/>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o"/>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4"/>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lvl w:ilvl="1">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4"/>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lvl w:ilvl="1">
      <w:lvlJc w:val="left"/>
      <w:lvlText w:val="(%2)"/>
      <w:numFmt w:val="lowerRoman"/>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4"/>
    </w:lvl>
    <w:lvl w:ilvl="1">
      <w:lvlJc w:val="left"/>
      <w:lvlText w:val="•"/>
      <w:numFmt w:val="bullet"/>
      <w:start w:val="1"/>
    </w:lvl>
  </w:abstractNum>
  <w:abstractNum w:abstractNumId="34">
    <w:nsid w:val="580BD78F"/>
    <w:multiLevelType w:val="hybridMultilevel"/>
    <w:lvl w:ilvl="0">
      <w:lvlJc w:val="left"/>
      <w:lvlText w:val="(%1)"/>
      <w:numFmt w:val="decimal"/>
      <w:start w:val="5"/>
    </w:lvl>
  </w:abstractNum>
  <w:abstractNum w:abstractNumId="35">
    <w:nsid w:val="153EA438"/>
    <w:multiLevelType w:val="hybridMultilevel"/>
    <w:lvl w:ilvl="0">
      <w:lvlJc w:val="left"/>
      <w:lvlText w:val="(%1)"/>
      <w:numFmt w:val="decimal"/>
      <w:start w:val="1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4"/>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2019-12-07T20:16:42Z</dcterms:created>
  <dcterms:modified xsi:type="dcterms:W3CDTF">2019-12-07T20:16:42Z</dcterms:modified>
</cp:coreProperties>
</file>