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ALTISOURCE PORTFOLIO SOLUTIONS S.A.</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291, route d’Arlon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+352 2469 7900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(as defined in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Exchange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5"/>
          <w:szCs w:val="15"/>
          <w:color w:val="auto"/>
        </w:rPr>
        <w:t>As of April 15, 2012, there were 23,311,447 outstanding shares of the registrant’s shares of beneficial interest (excluding 2,101,301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71"/>
        </w:trPr>
        <w:tc>
          <w:tcPr>
            <w:tcW w:w="23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7060" w:type="dxa"/>
            <w:vAlign w:val="bottom"/>
            <w:gridSpan w:val="14"/>
          </w:tcPr>
          <w:p>
            <w:pPr>
              <w:spacing w:after="0"/>
              <w:rPr>
                <w:sz w:val="23"/>
                <w:szCs w:val="23"/>
                <w:color w:val="auto"/>
              </w:rPr>
            </w:pPr>
          </w:p>
        </w:tc>
        <w:tc>
          <w:tcPr>
            <w:tcW w:w="1920" w:type="dxa"/>
            <w:vAlign w:val="bottom"/>
          </w:tcPr>
          <w:p>
            <w:pPr>
              <w:spacing w:after="0"/>
              <w:rPr>
                <w:sz w:val="23"/>
                <w:szCs w:val="23"/>
                <w:color w:val="auto"/>
              </w:rPr>
            </w:pP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38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Interim Condensed Consolidated Financial Statements</w:t>
              </w:r>
            </w:hyperlink>
          </w:p>
        </w:tc>
        <w:tc>
          <w:tcPr>
            <w:tcW w:w="4120" w:type="dxa"/>
            <w:vAlign w:val="bottom"/>
            <w:gridSpan w:val="5"/>
          </w:tcPr>
          <w:p>
            <w:pPr>
              <w:spacing w:after="0"/>
              <w:rPr>
                <w:sz w:val="24"/>
                <w:szCs w:val="24"/>
                <w:color w:val="auto"/>
              </w:rPr>
            </w:pPr>
          </w:p>
        </w:tc>
        <w:tc>
          <w:tcPr>
            <w:tcW w:w="192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w:t>
              </w:r>
            </w:hyperlink>
          </w:p>
        </w:tc>
        <w:tc>
          <w:tcPr>
            <w:tcW w:w="508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tcBorders>
              <w:top w:val="single" w:sz="8" w:color="0000EE"/>
            </w:tcBorders>
            <w:gridSpan w:val="1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Equity</w:t>
              </w:r>
            </w:hyperlink>
          </w:p>
        </w:tc>
        <w:tc>
          <w:tcPr>
            <w:tcW w:w="4380" w:type="dxa"/>
            <w:vAlign w:val="bottom"/>
            <w:gridSpan w:val="7"/>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w:t>
              </w:r>
            </w:hyperlink>
          </w:p>
        </w:tc>
        <w:tc>
          <w:tcPr>
            <w:tcW w:w="4320" w:type="dxa"/>
            <w:vAlign w:val="bottom"/>
            <w:gridSpan w:val="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4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374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Controls and Procedures</w:t>
              </w:r>
            </w:hyperlink>
          </w:p>
        </w:tc>
        <w:tc>
          <w:tcPr>
            <w:tcW w:w="622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21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PART II — Other Information</w:t>
              </w:r>
            </w:hyperlink>
          </w:p>
        </w:tc>
        <w:tc>
          <w:tcPr>
            <w:tcW w:w="7260" w:type="dxa"/>
            <w:vAlign w:val="bottom"/>
            <w:gridSpan w:val="15"/>
          </w:tcPr>
          <w:p>
            <w:pPr>
              <w:spacing w:after="0"/>
              <w:rPr>
                <w:sz w:val="24"/>
                <w:szCs w:val="24"/>
                <w:color w:val="auto"/>
              </w:rPr>
            </w:pPr>
          </w:p>
        </w:tc>
        <w:tc>
          <w:tcPr>
            <w:tcW w:w="1920" w:type="dxa"/>
            <w:vAlign w:val="bottom"/>
          </w:tcPr>
          <w:p>
            <w:pPr>
              <w:spacing w:after="0"/>
              <w:rPr>
                <w:sz w:val="24"/>
                <w:szCs w:val="24"/>
                <w:color w:val="auto"/>
              </w:rPr>
            </w:pP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66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706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Unregistered Sales of Equity Securities and Use of Proceeds</w:t>
              </w:r>
            </w:hyperlink>
          </w:p>
        </w:tc>
        <w:tc>
          <w:tcPr>
            <w:tcW w:w="370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79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Mine Safety Disclosures</w:t>
              </w:r>
            </w:hyperlink>
          </w:p>
        </w:tc>
        <w:tc>
          <w:tcPr>
            <w:tcW w:w="540" w:type="dxa"/>
            <w:vAlign w:val="bottom"/>
            <w:tcBorders>
              <w:top w:val="single" w:sz="8" w:color="0000EE"/>
            </w:tcBorders>
          </w:tcPr>
          <w:p>
            <w:pPr>
              <w:spacing w:after="0"/>
              <w:rPr>
                <w:sz w:val="24"/>
                <w:szCs w:val="24"/>
                <w:color w:val="auto"/>
              </w:rPr>
            </w:pPr>
          </w:p>
        </w:tc>
        <w:tc>
          <w:tcPr>
            <w:tcW w:w="56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Other Information</w:t>
              </w:r>
            </w:hyperlink>
          </w:p>
        </w:tc>
        <w:tc>
          <w:tcPr>
            <w:tcW w:w="666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79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4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w w:val="86"/>
              </w:rPr>
              <w:t>March 31,</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ind w:left="5260"/>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62,312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asset, net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39,081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Investment in equity affiliate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240,517</w:t>
            </w:r>
          </w:p>
        </w:tc>
        <w:tc>
          <w:tcPr>
            <w:tcW w:w="2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224,159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520"/>
              <w:spacing w:after="0"/>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obligations—current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61,925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obligations—non-current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15)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9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($1.00 par value; 100,000 shares authorized;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25,413 issued and 23,311 outstanding as of March 31, 2012;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25,413 issued and 23,405 outstanding as of December 31, 2011)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Treasury stock, at cost (2,101 shares as of March 31, 2012 and 2,008 shares as of December 31, 2011)</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(82,488)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Altisource equity</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172,996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162,755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176,004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165,943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240,517</w:t>
            </w:r>
          </w:p>
        </w:tc>
        <w:tc>
          <w:tcPr>
            <w:tcW w:w="24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224,159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color w:val="auto"/>
                <w:w w:val="95"/>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139,066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revenue</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54,949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16,254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provision</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(2,819)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(1,299)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14,825</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Basic</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25,928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0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48,790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w w:val="97"/>
              </w:rPr>
              <w:t>Altisource Equity</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Non-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60"/>
              <w:spacing w:after="0" w:line="131" w:lineRule="exact"/>
              <w:rPr>
                <w:sz w:val="20"/>
                <w:szCs w:val="20"/>
                <w:color w:val="auto"/>
              </w:rPr>
            </w:pPr>
            <w:r>
              <w:rPr>
                <w:rFonts w:ascii="Arial" w:cs="Arial" w:eastAsia="Arial" w:hAnsi="Arial"/>
                <w:sz w:val="14"/>
                <w:szCs w:val="14"/>
                <w:color w:val="auto"/>
                <w:w w:val="92"/>
              </w:rPr>
              <w:t>Retained</w:t>
            </w:r>
          </w:p>
        </w:tc>
        <w:tc>
          <w:tcPr>
            <w:tcW w:w="80" w:type="dxa"/>
            <w:vAlign w:val="bottom"/>
          </w:tcPr>
          <w:p>
            <w:pPr>
              <w:spacing w:after="0"/>
              <w:rPr>
                <w:sz w:val="11"/>
                <w:szCs w:val="11"/>
                <w:color w:val="auto"/>
              </w:rPr>
            </w:pPr>
          </w:p>
        </w:tc>
        <w:tc>
          <w:tcPr>
            <w:tcW w:w="92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87"/>
              </w:rPr>
              <w:t>Treasury Stock,</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40"/>
              <w:spacing w:after="0" w:line="131" w:lineRule="exact"/>
              <w:rPr>
                <w:sz w:val="20"/>
                <w:szCs w:val="20"/>
                <w:color w:val="auto"/>
              </w:rPr>
            </w:pPr>
            <w:r>
              <w:rPr>
                <w:rFonts w:ascii="Arial" w:cs="Arial" w:eastAsia="Arial" w:hAnsi="Arial"/>
                <w:sz w:val="14"/>
                <w:szCs w:val="14"/>
                <w:color w:val="auto"/>
                <w:w w:val="90"/>
              </w:rPr>
              <w:t>controlling</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40" w:type="dxa"/>
            <w:vAlign w:val="bottom"/>
            <w:gridSpan w:val="3"/>
          </w:tcPr>
          <w:p>
            <w:pPr>
              <w:ind w:left="580"/>
              <w:spacing w:after="0" w:line="159" w:lineRule="exact"/>
              <w:rPr>
                <w:sz w:val="20"/>
                <w:szCs w:val="20"/>
                <w:color w:val="auto"/>
              </w:rPr>
            </w:pPr>
            <w:r>
              <w:rPr>
                <w:rFonts w:ascii="Arial" w:cs="Arial" w:eastAsia="Arial" w:hAnsi="Arial"/>
                <w:sz w:val="14"/>
                <w:szCs w:val="14"/>
                <w:color w:val="auto"/>
                <w:w w:val="98"/>
              </w:rPr>
              <w:t>Common Stock</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w w:val="92"/>
              </w:rPr>
              <w:t>Paid-in 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at 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5"/>
              </w:rPr>
              <w:t>Interests</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8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9"/>
              </w:rPr>
              <w:t>25,413</w:t>
            </w:r>
          </w:p>
        </w:tc>
        <w:tc>
          <w:tcPr>
            <w:tcW w:w="660" w:type="dxa"/>
            <w:vAlign w:val="bottom"/>
            <w:gridSpan w:val="2"/>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25,413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79,297</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58,546</w:t>
            </w:r>
          </w:p>
        </w:tc>
        <w:tc>
          <w:tcPr>
            <w:tcW w:w="2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(14,418)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1,299</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non-controlling interest holders</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Distributions to non-controlling interest holders</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(2,824)</w:t>
            </w:r>
          </w:p>
        </w:tc>
        <w:tc>
          <w:tcPr>
            <w:tcW w:w="2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(7,238)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Balance, March 31, 2011</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880" w:type="dxa"/>
            <w:vAlign w:val="bottom"/>
          </w:tcPr>
          <w:p>
            <w:pPr>
              <w:ind w:left="520"/>
              <w:spacing w:after="0" w:line="155" w:lineRule="exact"/>
              <w:rPr>
                <w:sz w:val="20"/>
                <w:szCs w:val="20"/>
                <w:color w:val="auto"/>
              </w:rPr>
            </w:pPr>
            <w:r>
              <w:rPr>
                <w:rFonts w:ascii="Arial" w:cs="Arial" w:eastAsia="Arial" w:hAnsi="Arial"/>
                <w:sz w:val="14"/>
                <w:szCs w:val="14"/>
                <w:color w:val="auto"/>
                <w:w w:val="79"/>
              </w:rPr>
              <w:t>25,413</w:t>
            </w:r>
          </w:p>
        </w:tc>
        <w:tc>
          <w:tcPr>
            <w:tcW w:w="220" w:type="dxa"/>
            <w:vAlign w:val="bottom"/>
          </w:tcPr>
          <w:p>
            <w:pPr>
              <w:spacing w:after="0"/>
              <w:rPr>
                <w:sz w:val="13"/>
                <w:szCs w:val="1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480" w:type="dxa"/>
            <w:vAlign w:val="bottom"/>
          </w:tcPr>
          <w:p>
            <w:pPr>
              <w:ind w:left="100"/>
              <w:spacing w:after="0" w:line="155" w:lineRule="exact"/>
              <w:rPr>
                <w:sz w:val="20"/>
                <w:szCs w:val="20"/>
                <w:color w:val="auto"/>
              </w:rPr>
            </w:pPr>
            <w:r>
              <w:rPr>
                <w:rFonts w:ascii="Arial" w:cs="Arial" w:eastAsia="Arial" w:hAnsi="Arial"/>
                <w:sz w:val="14"/>
                <w:szCs w:val="14"/>
                <w:color w:val="auto"/>
                <w:w w:val="83"/>
              </w:rPr>
              <w:t>25,413</w:t>
            </w:r>
          </w:p>
        </w:tc>
        <w:tc>
          <w:tcPr>
            <w:tcW w:w="60" w:type="dxa"/>
            <w:vAlign w:val="bottom"/>
          </w:tcPr>
          <w:p>
            <w:pPr>
              <w:spacing w:after="0"/>
              <w:rPr>
                <w:sz w:val="13"/>
                <w:szCs w:val="13"/>
                <w:color w:val="auto"/>
              </w:rPr>
            </w:pP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80,085</w:t>
            </w:r>
          </w:p>
        </w:tc>
        <w:tc>
          <w:tcPr>
            <w:tcW w:w="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71,954</w:t>
            </w:r>
          </w:p>
        </w:tc>
        <w:tc>
          <w:tcPr>
            <w:tcW w:w="2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(19,798)</w:t>
            </w:r>
          </w:p>
        </w:tc>
        <w:tc>
          <w:tcPr>
            <w:tcW w:w="2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1,541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159,195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2011</w:t>
            </w:r>
          </w:p>
        </w:tc>
        <w:tc>
          <w:tcPr>
            <w:tcW w:w="8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9"/>
              </w:rPr>
              <w:t>25,413</w:t>
            </w:r>
          </w:p>
        </w:tc>
        <w:tc>
          <w:tcPr>
            <w:tcW w:w="660" w:type="dxa"/>
            <w:vAlign w:val="bottom"/>
            <w:gridSpan w:val="2"/>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25,413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83,229</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126,161</w:t>
            </w:r>
          </w:p>
        </w:tc>
        <w:tc>
          <w:tcPr>
            <w:tcW w:w="2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(72,048)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3,188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25,229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1,892</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non-controlling interest holders</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 holders</w:t>
            </w: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(2,083)</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(4,364)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(16,781)</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Balance, March 31, 2012</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880" w:type="dxa"/>
            <w:vAlign w:val="bottom"/>
          </w:tcPr>
          <w:p>
            <w:pPr>
              <w:ind w:left="520"/>
              <w:spacing w:after="0" w:line="155" w:lineRule="exact"/>
              <w:rPr>
                <w:sz w:val="20"/>
                <w:szCs w:val="20"/>
                <w:color w:val="auto"/>
              </w:rPr>
            </w:pPr>
            <w:r>
              <w:rPr>
                <w:rFonts w:ascii="Arial" w:cs="Arial" w:eastAsia="Arial" w:hAnsi="Arial"/>
                <w:sz w:val="14"/>
                <w:szCs w:val="14"/>
                <w:color w:val="auto"/>
                <w:w w:val="79"/>
              </w:rPr>
              <w:t>25,413</w:t>
            </w:r>
          </w:p>
        </w:tc>
        <w:tc>
          <w:tcPr>
            <w:tcW w:w="220" w:type="dxa"/>
            <w:vAlign w:val="bottom"/>
          </w:tcPr>
          <w:p>
            <w:pPr>
              <w:spacing w:after="0"/>
              <w:rPr>
                <w:sz w:val="13"/>
                <w:szCs w:val="1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480" w:type="dxa"/>
            <w:vAlign w:val="bottom"/>
          </w:tcPr>
          <w:p>
            <w:pPr>
              <w:ind w:left="100"/>
              <w:spacing w:after="0" w:line="155" w:lineRule="exact"/>
              <w:rPr>
                <w:sz w:val="20"/>
                <w:szCs w:val="20"/>
                <w:color w:val="auto"/>
              </w:rPr>
            </w:pPr>
            <w:r>
              <w:rPr>
                <w:rFonts w:ascii="Arial" w:cs="Arial" w:eastAsia="Arial" w:hAnsi="Arial"/>
                <w:sz w:val="14"/>
                <w:szCs w:val="14"/>
                <w:color w:val="auto"/>
                <w:w w:val="83"/>
              </w:rPr>
              <w:t>25,413</w:t>
            </w:r>
          </w:p>
        </w:tc>
        <w:tc>
          <w:tcPr>
            <w:tcW w:w="60" w:type="dxa"/>
            <w:vAlign w:val="bottom"/>
          </w:tcPr>
          <w:p>
            <w:pPr>
              <w:spacing w:after="0"/>
              <w:rPr>
                <w:sz w:val="13"/>
                <w:szCs w:val="13"/>
                <w:color w:val="auto"/>
              </w:rPr>
            </w:pP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83,045</w:t>
            </w:r>
          </w:p>
        </w:tc>
        <w:tc>
          <w:tcPr>
            <w:tcW w:w="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147,026</w:t>
            </w:r>
          </w:p>
        </w:tc>
        <w:tc>
          <w:tcPr>
            <w:tcW w:w="2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(82,488)</w:t>
            </w:r>
          </w:p>
        </w:tc>
        <w:tc>
          <w:tcPr>
            <w:tcW w:w="2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3,008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176,004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40"/>
              <w:spacing w:after="0" w:line="159" w:lineRule="exact"/>
              <w:rPr>
                <w:sz w:val="20"/>
                <w:szCs w:val="20"/>
                <w:color w:val="auto"/>
              </w:rPr>
            </w:pPr>
            <w:r>
              <w:rPr>
                <w:rFonts w:ascii="Arial" w:cs="Arial" w:eastAsia="Arial" w:hAnsi="Arial"/>
                <w:sz w:val="14"/>
                <w:szCs w:val="14"/>
                <w:color w:val="auto"/>
              </w:rPr>
              <w:t>March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27,121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Bad debt expense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Loss on sale or disposal of fixed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(10,956)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16,599</w:t>
            </w:r>
          </w:p>
        </w:tc>
        <w:tc>
          <w:tcPr>
            <w:tcW w:w="0" w:type="dxa"/>
            <w:vAlign w:val="bottom"/>
          </w:tcPr>
          <w:p>
            <w:pPr>
              <w:spacing w:after="0"/>
              <w:rPr>
                <w:sz w:val="1"/>
                <w:szCs w:val="1"/>
                <w:color w:val="auto"/>
              </w:rPr>
            </w:pPr>
          </w:p>
        </w:tc>
      </w:tr>
      <w:tr>
        <w:trPr>
          <w:trHeight w:val="330"/>
        </w:trPr>
        <w:tc>
          <w:tcPr>
            <w:tcW w:w="6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premises and equipment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(16,154)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Investment in equity affiliate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restricted cash</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800" w:type="dxa"/>
            <w:vAlign w:val="bottom"/>
            <w:gridSpan w:val="2"/>
          </w:tcPr>
          <w:p>
            <w:pPr>
              <w:spacing w:after="0"/>
              <w:rPr>
                <w:sz w:val="20"/>
                <w:szCs w:val="20"/>
                <w:color w:val="auto"/>
              </w:rPr>
            </w:pPr>
            <w:r>
              <w:rPr>
                <w:rFonts w:ascii="Arial" w:cs="Arial" w:eastAsia="Arial" w:hAnsi="Arial"/>
                <w:sz w:val="18"/>
                <w:szCs w:val="18"/>
                <w:color w:val="auto"/>
              </w:rPr>
              <w:t>Net cash flows used in investing activities</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(16,154)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(2,645)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Principal payments on capital lease obligations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(16,781)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from non-controlling interests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(17,077)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(9,764)</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8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(5,459)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80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26,666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 net</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391"/>
        </w:trPr>
        <w:tc>
          <w:tcPr>
            <w:tcW w:w="680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amortizable goodwill</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provider of services focused on high-value, technology-enabled, knowledge-based solutions principally related to real estate and mortgage portfolio management, asset recovery and customer relationship management.</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(the “Separation”). Prior to the Separation, our businesses were wholly-owned by Ocwen Financial Corporation (“Ocwen”).</w:t>
      </w:r>
    </w:p>
    <w:p>
      <w:pPr>
        <w:spacing w:after="0" w:line="14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April 2011, we acquired Springhouse, LLC (“Springhouse”), an appraisal management company that utilizes a nationwide panel of appraisers to provide real estate appraisals principally to mortgage originators, including the members of the Lenders One™ mortgage cooperative (“Lenders One”) as described below, and real estate asset managers. In July 2011, we acquired the assembled workforce of a sub-contractor (“Tracmail”) in India that performed asset recovery services.</w:t>
      </w:r>
    </w:p>
    <w:p>
      <w:pPr>
        <w:spacing w:after="0" w:line="8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We conduct our operations through three reporting segments: Mortgage Services, Financial Services and Technology Services. In addition, we report our corporate related expenditures as a separate segment (see Note 16 for a description of our business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condensed consolidated financial statements include the assets and liabilities, revenues and expenses directly attributable to our operations. All significant inter-company and inter-segment transactions and accounts have been eliminated upon consolidation. Certain amounts disclosed in prior period statements have been reclassified to conform to the current period presentation.</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February 2010, we acquired the Mortgage Partnership of America, L.L.C. (“MPA”), the manager of a national alliance of community mortgage bankers, correspondent lenders and suppliers of mortgage products and services that does business as Lenders One. 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 As of March 31, 2012, Lenders One had total assets of $5.4 million and liabilities of less than $0.1 million.</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these financial statements do not include all of the information and notes required by GAAP for complete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contained in our Form 10-K for the year ended December 31, 2011, filed with the SEC on February 16, 2012, which contains a summary of our significant accounting policies. Certain footnote detail is also omitted from the condensed consolidated financial statements unless there is a material change from the information included in the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currency of the primary economic environment in which our operations are conducted is the U.S. dollar. Therefore, the U.S. dollar has been determined to be our functional and reporting currency. Non-dollar transactions and balances have been measured in U.S. dollars in accordance with Accounting Standards Codification (“ASC”) Topic 830. All transaction gains and losses from the measurement of monetary balance sheet items denominated in non-dollar currencies are reflected in the statement of operations as income or expenses, as appropriate.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fair value of financial instruments, which primarily include cash and cash equivalents, accounts receivable, net, restricted cash and accounts payable and accrued expenses at March 31, 2012 and December 31, 2011, are carried at amounts that approximate their fair value due to the short-term nature of these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June 2011, the Financial Accounting Standards Board issued Accounting Standards Update No.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ASU No. 2011-05 eliminates the option of presenting other comprehensive income as part of the statement of changes in stockholders' equity and provides an entity with the option to present the total of comprehensive income, the components of net income and the components of other comprehensive income either in a single continuous statement of comprehensive income or in two separate but consecutive statements. This guidance does not change the items that are reported in other comprehensive income. The new standard became effective January 1, 2012. As we do not have items of other comprehensive income for any of the periods presented, ASU No. 2011-05 had no impact on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11"/>
          <w:szCs w:val="11"/>
          <w:b w:val="1"/>
          <w:bCs w:val="1"/>
          <w:color w:val="auto"/>
        </w:rPr>
        <w: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Ocwen remains our largest customer and is contractually obligated to purchase certain mortgage services and technology services from us under service agreements. These agreements extend until August 2017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107"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With respect to Ocwen, related party revenue consists of revenues earned directly from Ocwen and revenues earned from the loans serviced by Ocwen when Ocwen determines the service provider. We earn additional revenues on the loan portfolios serviced by Ocwen that are not considered related party revenues when a party other than Ocwen selects the service provider. As a percentage of each of our segment revenues and as a percentage of consolidated revenues, related party revenue was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ind w:right="760"/>
              <w:spacing w:after="0" w:line="159" w:lineRule="exact"/>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2012</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Technology Services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Consolidated revenue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a Transition Services agreement with Ocwen under which services in such areas as human resources, vendor management, corporate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services, six sigma, quality assurance, quantitative analytics, treasury, accounting, tax, risk management, legal, strategic planning, compliance and other areas 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provided to the counterparty. The agreement expires in August 2012. For the three months ended March 31, 2012 and 2011, we billed Ocwen $0.8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respectively, and Ocwen billed us $0.6 million and $0.4 million respectively for services provided under this agreement. These amounts are reflected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components of selling, general and administrative expenses in the Condensed Consolidated Statements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 and HLSS™</w:t>
      </w:r>
    </w:p>
    <w:p>
      <w:pPr>
        <w:spacing w:after="0" w:line="9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July 2011, we acquired an equity interest in Correspondent One S.A. (“Correspondent One”—see Note 7). We entered into an agreement with Correspondent One under which we provide certain finance, human resources, legal support, facilities, technology, vendor management and risk management services. For the three months ended March 31, 2012, we billed Correspondent One less than $0.1 million under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Home Loan Servicing Solutions, Ltd. (“HLSS</w:t>
      </w:r>
      <w:r>
        <w:rPr>
          <w:rFonts w:ascii="Arial" w:cs="Arial" w:eastAsia="Arial" w:hAnsi="Arial"/>
          <w:sz w:val="10"/>
          <w:szCs w:val="10"/>
          <w:color w:val="auto"/>
        </w:rPr>
        <w:t>”</w:t>
      </w:r>
      <w:r>
        <w:rPr>
          <w:rFonts w:ascii="Arial" w:cs="Arial" w:eastAsia="Arial" w:hAnsi="Arial"/>
          <w:sz w:val="16"/>
          <w:szCs w:val="16"/>
          <w:color w:val="auto"/>
        </w:rPr>
        <w:t>) is a newly formed public company whose primary objective is the acquisition of mortgage servicing assets. In connection with the February 2012 HLSS initial public offering, HLSS acquired mortgage servicing related assets from Ocwen. Our chairman is also the chairman of HLSS and owns 5% of the outstanding stock of HLSS. We entered into an agreement with HLSS under which we provide certain finance, human resources and legal support services. For the three months ended March 31, 2012, we billed HLSS less than $0.1 million under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amounts are reflected as a component of selling, general and administrative expenses in the Condensed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4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color w:val="auto"/>
                <w:w w:val="99"/>
              </w:rPr>
              <w:t>March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544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95"/>
              <w:spacing w:after="0" w:line="159"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5"/>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Billed</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Third parties</w:t>
            </w:r>
          </w:p>
        </w:tc>
        <w:tc>
          <w:tcPr>
            <w:tcW w:w="6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18,986</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13,776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Ocwen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Correspondent One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HLSS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Other receivables</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440" w:type="dxa"/>
            <w:vAlign w:val="bottom"/>
            <w:gridSpan w:val="4"/>
          </w:tcPr>
          <w:p>
            <w:pPr>
              <w:spacing w:after="0"/>
              <w:rPr>
                <w:sz w:val="20"/>
                <w:szCs w:val="20"/>
                <w:color w:val="auto"/>
              </w:rPr>
            </w:pPr>
            <w:r>
              <w:rPr>
                <w:rFonts w:ascii="Arial" w:cs="Arial" w:eastAsia="Arial" w:hAnsi="Arial"/>
                <w:sz w:val="18"/>
                <w:szCs w:val="18"/>
                <w:color w:val="auto"/>
              </w:rPr>
              <w:t>Unbilled</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parties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Ocwen</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PREPAID EXPENSES AND 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1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57"/>
              <w:spacing w:after="0"/>
              <w:rPr>
                <w:sz w:val="20"/>
                <w:szCs w:val="20"/>
                <w:color w:val="auto"/>
              </w:rPr>
            </w:pPr>
            <w:r>
              <w:rPr>
                <w:rFonts w:ascii="Arial" w:cs="Arial" w:eastAsia="Arial" w:hAnsi="Arial"/>
                <w:sz w:val="14"/>
                <w:szCs w:val="14"/>
                <w:color w:val="auto"/>
                <w:w w:val="99"/>
              </w:rPr>
              <w:t>March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316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2012</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140" w:type="dxa"/>
            <w:vAlign w:val="bottom"/>
            <w:tcBorders>
              <w:top w:val="single" w:sz="8" w:color="auto"/>
            </w:tcBorders>
          </w:tcPr>
          <w:p>
            <w:pPr>
              <w:spacing w:after="0"/>
              <w:rPr>
                <w:sz w:val="7"/>
                <w:szCs w:val="7"/>
                <w:color w:val="auto"/>
              </w:rPr>
            </w:pPr>
          </w:p>
        </w:tc>
        <w:tc>
          <w:tcPr>
            <w:tcW w:w="22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w:t>
            </w:r>
          </w:p>
        </w:tc>
        <w:tc>
          <w:tcPr>
            <w:tcW w:w="2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Prepaid software license fees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Prepaid facility costs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current assets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vMerge w:val="restart"/>
          </w:tcPr>
          <w:p>
            <w:pPr>
              <w:jc w:val="right"/>
              <w:ind w:right="972"/>
              <w:spacing w:after="0"/>
              <w:rPr>
                <w:sz w:val="20"/>
                <w:szCs w:val="20"/>
                <w:color w:val="auto"/>
              </w:rPr>
            </w:pPr>
            <w:r>
              <w:rPr>
                <w:rFonts w:ascii="Arial" w:cs="Arial" w:eastAsia="Arial" w:hAnsi="Arial"/>
                <w:sz w:val="18"/>
                <w:szCs w:val="18"/>
                <w:color w:val="auto"/>
              </w:rPr>
              <w:t>9</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w w:val="89"/>
              </w:rPr>
              <w:t>March 31,</w:t>
            </w:r>
          </w:p>
        </w:tc>
        <w:tc>
          <w:tcPr>
            <w:tcW w:w="26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59"/>
        </w:trPr>
        <w:tc>
          <w:tcPr>
            <w:tcW w:w="58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97"/>
              <w:spacing w:after="0" w:line="159"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15"/>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(41,512)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(40,233)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and amortization expense, inclusive of capital lease obligations, amounted to $2.3 million and $1.9 million for the three months ended March 31, 2012 and 2011, respectively, and is included in cost of revenue for operating assets and in selling, general and administrative expenses for non-operating assets in the accompanying Condensed Consolidated Statements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three months ended March 31, 2012. The following is a summary of goodwill by segment:</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9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vMerge w:val="restart"/>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87"/>
              </w:rPr>
              <w:t>Mortgage</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Financial</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Technology</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960" w:type="dxa"/>
            <w:vAlign w:val="bottom"/>
            <w:tcBorders>
              <w:bottom w:val="single" w:sz="8" w:color="auto"/>
            </w:tcBorders>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46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1"/>
              </w:rPr>
              <w:t>Services</w:t>
            </w:r>
          </w:p>
        </w:tc>
        <w:tc>
          <w:tcPr>
            <w:tcW w:w="46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460" w:type="dxa"/>
            <w:vAlign w:val="bottom"/>
          </w:tcPr>
          <w:p>
            <w:pPr>
              <w:spacing w:after="0"/>
              <w:rPr>
                <w:sz w:val="13"/>
                <w:szCs w:val="13"/>
                <w:color w:val="auto"/>
              </w:rPr>
            </w:pPr>
          </w:p>
        </w:tc>
        <w:tc>
          <w:tcPr>
            <w:tcW w:w="66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10,919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14,915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4"/>
            <w:vMerge w:val="restart"/>
          </w:tcPr>
          <w:p>
            <w:pPr>
              <w:ind w:left="440"/>
              <w:spacing w:after="0"/>
              <w:rPr>
                <w:sz w:val="20"/>
                <w:szCs w:val="20"/>
                <w:color w:val="auto"/>
              </w:rPr>
            </w:pPr>
            <w:r>
              <w:rPr>
                <w:rFonts w:ascii="Arial" w:cs="Arial" w:eastAsia="Arial" w:hAnsi="Arial"/>
                <w:sz w:val="18"/>
                <w:szCs w:val="18"/>
                <w:color w:val="auto"/>
              </w:rPr>
              <w:t>Balance, December 31, 2011</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4"/>
            <w:vMerge w:val="continue"/>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10,919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1,618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14,915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00" w:type="dxa"/>
            <w:vAlign w:val="bottom"/>
            <w:gridSpan w:val="5"/>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5"/>
          </w:tcPr>
          <w:p>
            <w:pPr>
              <w:spacing w:after="0"/>
              <w:rPr>
                <w:sz w:val="20"/>
                <w:szCs w:val="20"/>
                <w:color w:val="auto"/>
              </w:rPr>
            </w:pPr>
            <w:r>
              <w:rPr>
                <w:rFonts w:ascii="Arial" w:cs="Arial" w:eastAsia="Arial" w:hAnsi="Arial"/>
                <w:sz w:val="18"/>
                <w:szCs w:val="18"/>
                <w:color w:val="auto"/>
                <w:w w:val="90"/>
              </w:rPr>
              <w:t>Intangible assets, net consist of the following:</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Weighted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estimated</w:t>
            </w:r>
          </w:p>
        </w:tc>
        <w:tc>
          <w:tcPr>
            <w:tcW w:w="160" w:type="dxa"/>
            <w:vAlign w:val="bottom"/>
          </w:tcPr>
          <w:p>
            <w:pPr>
              <w:spacing w:after="0"/>
              <w:rPr>
                <w:sz w:val="13"/>
                <w:szCs w:val="13"/>
                <w:color w:val="auto"/>
              </w:rPr>
            </w:pPr>
          </w:p>
        </w:tc>
        <w:tc>
          <w:tcPr>
            <w:tcW w:w="2040" w:type="dxa"/>
            <w:vAlign w:val="bottom"/>
            <w:gridSpan w:val="4"/>
          </w:tcPr>
          <w:p>
            <w:pPr>
              <w:jc w:val="right"/>
              <w:ind w:right="410"/>
              <w:spacing w:after="0" w:line="159" w:lineRule="exact"/>
              <w:rPr>
                <w:sz w:val="20"/>
                <w:szCs w:val="20"/>
                <w:color w:val="auto"/>
              </w:rPr>
            </w:pPr>
            <w:r>
              <w:rPr>
                <w:rFonts w:ascii="Arial" w:cs="Arial" w:eastAsia="Arial" w:hAnsi="Arial"/>
                <w:sz w:val="14"/>
                <w:szCs w:val="14"/>
                <w:color w:val="auto"/>
              </w:rPr>
              <w:t>Gross carrying 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9"/>
          </w:tcPr>
          <w:p>
            <w:pPr>
              <w:jc w:val="right"/>
              <w:ind w:right="580"/>
              <w:spacing w:after="0" w:line="159" w:lineRule="exact"/>
              <w:rPr>
                <w:sz w:val="20"/>
                <w:szCs w:val="20"/>
                <w:color w:val="auto"/>
              </w:rPr>
            </w:pPr>
            <w:r>
              <w:rPr>
                <w:rFonts w:ascii="Arial" w:cs="Arial" w:eastAsia="Arial" w:hAnsi="Arial"/>
                <w:sz w:val="14"/>
                <w:szCs w:val="14"/>
                <w:color w:val="auto"/>
                <w:w w:val="98"/>
              </w:rPr>
              <w:t>Accumulated amortization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6"/>
          </w:tcPr>
          <w:p>
            <w:pPr>
              <w:jc w:val="center"/>
              <w:ind w:right="220"/>
              <w:spacing w:after="0" w:line="159" w:lineRule="exact"/>
              <w:rPr>
                <w:sz w:val="20"/>
                <w:szCs w:val="20"/>
                <w:color w:val="auto"/>
              </w:rPr>
            </w:pPr>
            <w:r>
              <w:rPr>
                <w:rFonts w:ascii="Arial" w:cs="Arial" w:eastAsia="Arial" w:hAnsi="Arial"/>
                <w:sz w:val="14"/>
                <w:szCs w:val="14"/>
                <w:color w:val="auto"/>
                <w:w w:val="87"/>
              </w:rPr>
              <w:t>Net book value</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ind w:right="400"/>
              <w:spacing w:after="0" w:line="131" w:lineRule="exact"/>
              <w:rPr>
                <w:sz w:val="20"/>
                <w:szCs w:val="20"/>
                <w:color w:val="auto"/>
              </w:rPr>
            </w:pPr>
            <w:r>
              <w:rPr>
                <w:rFonts w:ascii="Arial" w:cs="Arial" w:eastAsia="Arial" w:hAnsi="Arial"/>
                <w:sz w:val="14"/>
                <w:szCs w:val="14"/>
                <w:color w:val="auto"/>
                <w:w w:val="92"/>
              </w:rPr>
              <w:t>March</w:t>
            </w: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00" w:type="dxa"/>
            <w:vAlign w:val="bottom"/>
            <w:gridSpan w:val="5"/>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useful life</w:t>
            </w:r>
          </w:p>
        </w:tc>
        <w:tc>
          <w:tcPr>
            <w:tcW w:w="16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w w:val="99"/>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w w:val="86"/>
              </w:rPr>
              <w:t>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March 31,</w:t>
            </w:r>
          </w:p>
        </w:tc>
        <w:tc>
          <w:tcPr>
            <w:tcW w:w="140" w:type="dxa"/>
            <w:vAlign w:val="bottom"/>
          </w:tcPr>
          <w:p>
            <w:pPr>
              <w:spacing w:after="0"/>
              <w:rPr>
                <w:sz w:val="14"/>
                <w:szCs w:val="14"/>
                <w:color w:val="auto"/>
              </w:rPr>
            </w:pPr>
          </w:p>
        </w:tc>
        <w:tc>
          <w:tcPr>
            <w:tcW w:w="1080" w:type="dxa"/>
            <w:vAlign w:val="bottom"/>
            <w:gridSpan w:val="5"/>
          </w:tcPr>
          <w:p>
            <w:pPr>
              <w:jc w:val="center"/>
              <w:ind w:right="8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3300" w:type="dxa"/>
            <w:vAlign w:val="bottom"/>
            <w:gridSpan w:val="5"/>
            <w:vMerge w:val="continue"/>
          </w:tcPr>
          <w:p>
            <w:pPr>
              <w:spacing w:after="0"/>
              <w:rPr>
                <w:sz w:val="13"/>
                <w:szCs w:val="13"/>
                <w:color w:val="auto"/>
              </w:rPr>
            </w:pPr>
          </w:p>
        </w:tc>
        <w:tc>
          <w:tcPr>
            <w:tcW w:w="9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2"/>
              </w:rPr>
              <w:t>(years)</w:t>
            </w:r>
          </w:p>
        </w:tc>
        <w:tc>
          <w:tcPr>
            <w:tcW w:w="160" w:type="dxa"/>
            <w:vAlign w:val="bottom"/>
          </w:tcPr>
          <w:p>
            <w:pPr>
              <w:spacing w:after="0"/>
              <w:rPr>
                <w:sz w:val="13"/>
                <w:szCs w:val="13"/>
                <w:color w:val="auto"/>
              </w:rPr>
            </w:pPr>
          </w:p>
        </w:tc>
        <w:tc>
          <w:tcPr>
            <w:tcW w:w="86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10"/>
              <w:spacing w:after="0" w:line="159" w:lineRule="exact"/>
              <w:rPr>
                <w:sz w:val="20"/>
                <w:szCs w:val="20"/>
                <w:color w:val="auto"/>
              </w:rPr>
            </w:pPr>
            <w:r>
              <w:rPr>
                <w:rFonts w:ascii="Arial" w:cs="Arial" w:eastAsia="Arial" w:hAnsi="Arial"/>
                <w:sz w:val="14"/>
                <w:szCs w:val="14"/>
                <w:color w:val="auto"/>
              </w:rPr>
              <w:t>2011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9"/>
              <w:spacing w:after="0" w:line="159" w:lineRule="exact"/>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2012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Definite-lived intangible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4"/>
          </w:tcPr>
          <w:p>
            <w:pPr>
              <w:ind w:left="420"/>
              <w:spacing w:after="0" w:line="149" w:lineRule="exact"/>
              <w:rPr>
                <w:sz w:val="20"/>
                <w:szCs w:val="20"/>
                <w:color w:val="auto"/>
              </w:rPr>
            </w:pPr>
            <w:r>
              <w:rPr>
                <w:rFonts w:ascii="Arial" w:cs="Arial" w:eastAsia="Arial" w:hAnsi="Arial"/>
                <w:sz w:val="14"/>
                <w:szCs w:val="14"/>
                <w:color w:val="auto"/>
              </w:rPr>
              <w:t>Assets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Trademarks</w:t>
            </w:r>
          </w:p>
        </w:tc>
        <w:tc>
          <w:tcPr>
            <w:tcW w:w="82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76"/>
              </w:rPr>
              <w:t>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10,614</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10,614</w:t>
            </w:r>
          </w:p>
        </w:tc>
        <w:tc>
          <w:tcPr>
            <w:tcW w:w="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(3,612)</w:t>
            </w:r>
          </w:p>
        </w:tc>
        <w:tc>
          <w:tcPr>
            <w:tcW w:w="2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(3,353)</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7,002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4"/>
          </w:tcPr>
          <w:p>
            <w:pPr>
              <w:ind w:left="420"/>
              <w:spacing w:after="0" w:line="149" w:lineRule="exact"/>
              <w:rPr>
                <w:sz w:val="20"/>
                <w:szCs w:val="20"/>
                <w:color w:val="auto"/>
              </w:rPr>
            </w:pPr>
            <w:r>
              <w:rPr>
                <w:rFonts w:ascii="Arial" w:cs="Arial" w:eastAsia="Arial" w:hAnsi="Arial"/>
                <w:sz w:val="14"/>
                <w:szCs w:val="14"/>
                <w:color w:val="auto"/>
              </w:rPr>
              <w:t>Customer lists</w:t>
            </w:r>
          </w:p>
        </w:tc>
        <w:tc>
          <w:tcPr>
            <w:tcW w:w="82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76"/>
              </w:rPr>
              <w:t>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38,366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38,366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(14,408)</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(13,010)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23,958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25,356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agreement</w:t>
            </w:r>
          </w:p>
        </w:tc>
        <w:tc>
          <w:tcPr>
            <w:tcW w:w="82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76"/>
              </w:rPr>
              <w:t>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(3,792)</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31,208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31,646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4"/>
          </w:tcPr>
          <w:p>
            <w:pPr>
              <w:ind w:left="420"/>
              <w:spacing w:after="0" w:line="149" w:lineRule="exact"/>
              <w:rPr>
                <w:sz w:val="20"/>
                <w:szCs w:val="20"/>
                <w:color w:val="auto"/>
              </w:rPr>
            </w:pPr>
            <w:r>
              <w:rPr>
                <w:rFonts w:ascii="Arial" w:cs="Arial" w:eastAsia="Arial" w:hAnsi="Arial"/>
                <w:sz w:val="14"/>
                <w:szCs w:val="14"/>
                <w:color w:val="auto"/>
              </w:rPr>
              <w:t>Non-compete agreement</w:t>
            </w:r>
          </w:p>
        </w:tc>
        <w:tc>
          <w:tcPr>
            <w:tcW w:w="820" w:type="dxa"/>
            <w:vAlign w:val="bottom"/>
          </w:tcPr>
          <w:p>
            <w:pPr>
              <w:jc w:val="center"/>
              <w:ind w:right="72"/>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(700)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600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intangible assets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85,280</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85,280</w:t>
            </w:r>
          </w:p>
        </w:tc>
        <w:tc>
          <w:tcPr>
            <w:tcW w:w="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(22,512)</w:t>
            </w:r>
          </w:p>
        </w:tc>
        <w:tc>
          <w:tcPr>
            <w:tcW w:w="2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(20,330)</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62,768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64,950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our acquisition of Nationwide Credit, Inc. (“NCI</w:t>
      </w:r>
      <w:r>
        <w:rPr>
          <w:rFonts w:ascii="Arial" w:cs="Arial" w:eastAsia="Arial" w:hAnsi="Arial"/>
          <w:sz w:val="10"/>
          <w:szCs w:val="10"/>
          <w:i w:val="1"/>
          <w:iCs w:val="1"/>
          <w:color w:val="auto"/>
        </w:rPr>
        <w:t>®</w:t>
      </w:r>
      <w:r>
        <w:rPr>
          <w:rFonts w:ascii="Arial" w:cs="Arial" w:eastAsia="Arial" w:hAnsi="Arial"/>
          <w:sz w:val="16"/>
          <w:szCs w:val="16"/>
          <w:color w:val="auto"/>
        </w:rPr>
        <w:t>”)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resulted in our recording periodic reductions first to our book goodwill balance in our consolidated financial statements. As our book goodwill balance was fully written off at December 31, 2010, we continue to amortize the remaining Component 2 goodwill for U.S. tax purposes by reducing certain intangible assets by the remaining tax benefits of the Component 2 goodwill as they are realized in our tax returns. The amount amortized was $0.8 million and $0.9 million for the three months ended March 31, 2012 and 2011, respectively. The balance of Component 2 goodwill remaining was $4.2 million as of March 31, 2012 which should generate $2.5 million of reductions of intangible assets when the benefit can be realized for U.S.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definite lived intangible assets was $1.3 million for each of the three months ended March 31, 2012 and 2011,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is estimated to be $5.0 million for 2012, $4.8 million for 2013, $4.5 million for 2014, $4.4 million for 2015 and $4.3 million for 2016.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 IN EQUITY AFFILIATE</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Correspondent One facilitates the purchase of closed conforming and government guaranteed residential mortgages from approved mortgage bankers. Correspondent One provides members of Lenders One additional avenues to sell loans beyond Lenders One’s preferred investor arrangements and the members’ own network of loan buyers. We have significant influence over the general operations of Correspondent One consistent with our 49% ownership level and therefore account for our investment under the equity method. We have no funding commitments to Correspondent One as of March 31, 2012.</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net loss on this investment using the equity method was $0.3 million for the three months ended March 31, 2012 (there is no comparative 2011 amount as Correspondent One did not commence operations until July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4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58"/>
              <w:spacing w:after="0"/>
              <w:rPr>
                <w:sz w:val="20"/>
                <w:szCs w:val="20"/>
                <w:color w:val="auto"/>
              </w:rPr>
            </w:pPr>
            <w:r>
              <w:rPr>
                <w:rFonts w:ascii="Arial" w:cs="Arial" w:eastAsia="Arial" w:hAnsi="Arial"/>
                <w:sz w:val="14"/>
                <w:szCs w:val="14"/>
                <w:color w:val="auto"/>
                <w:w w:val="99"/>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54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98"/>
              <w:spacing w:after="0" w:line="159" w:lineRule="exact"/>
              <w:rPr>
                <w:sz w:val="20"/>
                <w:szCs w:val="20"/>
                <w:color w:val="auto"/>
              </w:rPr>
            </w:pPr>
            <w:r>
              <w:rPr>
                <w:rFonts w:ascii="Arial" w:cs="Arial" w:eastAsia="Arial" w:hAnsi="Arial"/>
                <w:sz w:val="14"/>
                <w:szCs w:val="14"/>
                <w:color w:val="auto"/>
              </w:rPr>
              <w:t>2012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8"/>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Unbilled fees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40"/>
        <w:spacing w:after="0" w:line="369" w:lineRule="auto"/>
        <w:rPr>
          <w:sz w:val="20"/>
          <w:szCs w:val="20"/>
          <w:color w:val="auto"/>
        </w:rPr>
      </w:pPr>
      <w:r>
        <w:rPr>
          <w:rFonts w:ascii="Arial" w:cs="Arial" w:eastAsia="Arial" w:hAnsi="Arial"/>
          <w:sz w:val="18"/>
          <w:szCs w:val="18"/>
          <w:b w:val="1"/>
          <w:bCs w:val="1"/>
          <w:color w:val="auto"/>
        </w:rPr>
        <w:t xml:space="preserve">NOTE 9 — ACCOUNTS PAYABLE, ACCRUED EXPENSES AND OTHER CURRENT LIABILITIES </w:t>
      </w:r>
      <w:r>
        <w:rPr>
          <w:rFonts w:ascii="Arial" w:cs="Arial" w:eastAsia="Arial" w:hAnsi="Arial"/>
          <w:sz w:val="18"/>
          <w:szCs w:val="18"/>
          <w:color w:val="auto"/>
        </w:rPr>
        <w:t>Accounts payable and accrued expenses consist of the following:</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1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7"/>
              <w:spacing w:after="0"/>
              <w:rPr>
                <w:sz w:val="20"/>
                <w:szCs w:val="20"/>
                <w:color w:val="auto"/>
              </w:rPr>
            </w:pPr>
            <w:r>
              <w:rPr>
                <w:rFonts w:ascii="Arial" w:cs="Arial" w:eastAsia="Arial" w:hAnsi="Arial"/>
                <w:sz w:val="14"/>
                <w:szCs w:val="14"/>
                <w:color w:val="auto"/>
                <w:w w:val="96"/>
              </w:rPr>
              <w:t>March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3160" w:type="dxa"/>
            <w:vAlign w:val="bottom"/>
            <w:gridSpan w:val="2"/>
            <w:vMerge w:val="continue"/>
          </w:tcPr>
          <w:p>
            <w:pPr>
              <w:spacing w:after="0"/>
              <w:rPr>
                <w:sz w:val="13"/>
                <w:szCs w:val="13"/>
                <w:color w:val="auto"/>
              </w:rPr>
            </w:pPr>
          </w:p>
        </w:tc>
        <w:tc>
          <w:tcPr>
            <w:tcW w:w="2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140" w:type="dxa"/>
            <w:vAlign w:val="bottom"/>
            <w:tcBorders>
              <w:top w:val="single" w:sz="8" w:color="auto"/>
            </w:tcBorders>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expenses—general</w:t>
            </w: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47,797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44,867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80" w:type="dxa"/>
            <w:vAlign w:val="bottom"/>
            <w:vMerge w:val="restart"/>
          </w:tcPr>
          <w:p>
            <w:pPr>
              <w:jc w:val="right"/>
              <w:ind w:right="1032"/>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25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8"/>
              <w:spacing w:after="0"/>
              <w:rPr>
                <w:sz w:val="20"/>
                <w:szCs w:val="20"/>
                <w:color w:val="auto"/>
              </w:rPr>
            </w:pPr>
            <w:r>
              <w:rPr>
                <w:rFonts w:ascii="Arial" w:cs="Arial" w:eastAsia="Arial" w:hAnsi="Arial"/>
                <w:sz w:val="14"/>
                <w:szCs w:val="14"/>
                <w:color w:val="auto"/>
                <w:w w:val="96"/>
              </w:rPr>
              <w:t>March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3"/>
        </w:trPr>
        <w:tc>
          <w:tcPr>
            <w:tcW w:w="4540" w:type="dxa"/>
            <w:vAlign w:val="bottom"/>
            <w:gridSpan w:val="3"/>
            <w:vMerge w:val="continue"/>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18"/>
              <w:spacing w:after="0" w:line="146"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8"/>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Facility closure cost accrual, current portion</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related to the closure of two facilities. The following table summarizes the activity, all recorded in our Financial Services segment, for the three months ended March 31, 2012:</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50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720" w:type="dxa"/>
            <w:vAlign w:val="bottom"/>
            <w:gridSpan w:val="4"/>
          </w:tcPr>
          <w:p>
            <w:pPr>
              <w:ind w:left="1940"/>
              <w:spacing w:after="0"/>
              <w:rPr>
                <w:sz w:val="20"/>
                <w:szCs w:val="20"/>
                <w:color w:val="auto"/>
              </w:rPr>
            </w:pPr>
            <w:r>
              <w:rPr>
                <w:rFonts w:ascii="Arial" w:cs="Arial" w:eastAsia="Arial" w:hAnsi="Arial"/>
                <w:sz w:val="14"/>
                <w:szCs w:val="14"/>
                <w:color w:val="auto"/>
                <w:w w:val="97"/>
              </w:rPr>
              <w:t>Lease Costs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1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1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Less: Long-term portion</w:t>
            </w:r>
          </w:p>
        </w:tc>
        <w:tc>
          <w:tcPr>
            <w:tcW w:w="1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21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 BASED COMPENSATION</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issue stock-based awards in the form of stock options for certain employees and officers. We recorded stock compensation expense of $(0.2) million and $0.8 million for the three months ended March 31, 2012 and 2011, respectively. The amount in 2012 includes the reversal of $0.8 million of stock compensation expense related to the departure of an Executive Officer in March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based compensation currently consists only of stock option grants that are a combination of service-based and market-based options.</w:t>
      </w:r>
    </w:p>
    <w:p>
      <w:pPr>
        <w:spacing w:after="0" w:line="113" w:lineRule="exact"/>
        <w:rPr>
          <w:sz w:val="20"/>
          <w:szCs w:val="20"/>
          <w:color w:val="auto"/>
        </w:rPr>
      </w:pPr>
    </w:p>
    <w:p>
      <w:pPr>
        <w:jc w:val="both"/>
        <w:ind w:left="460" w:right="300"/>
        <w:spacing w:after="0" w:line="259"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market value on the date of grant. The options generally vest over four years with equal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cliff-vesting and expire on the earlier of 10 years after the date of grant or following termination of service. A total of 0.9 million service-based awards were outstanding at March 31, 2012.</w:t>
      </w:r>
    </w:p>
    <w:p>
      <w:pPr>
        <w:spacing w:after="0" w:line="59"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so long as it is at least triple the exercise price. The vesting schedule for all market-based awards is 25% upon achievement of the criteria and the remaining 75% in three equal annual installments. A total of 2.1 million market-based awards were outstanding at March 31, 2012.</w:t>
      </w:r>
    </w:p>
    <w:p>
      <w:pPr>
        <w:spacing w:after="0" w:line="14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granted 0.2 million stock options (at an average exercise price of $63.32 per share) and 0.1 million stock options (at an average exercise price of $29.14 per share) during the three months ended March 31, 2012 and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assumptions as of the grant date: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700" w:type="dxa"/>
            <w:vAlign w:val="bottom"/>
            <w:gridSpan w:val="4"/>
          </w:tcPr>
          <w:p>
            <w:pPr>
              <w:jc w:val="right"/>
              <w:ind w:right="1660"/>
              <w:spacing w:after="0"/>
              <w:rPr>
                <w:sz w:val="20"/>
                <w:szCs w:val="20"/>
                <w:color w:val="auto"/>
              </w:rPr>
            </w:pPr>
            <w:r>
              <w:rPr>
                <w:rFonts w:ascii="Arial" w:cs="Arial" w:eastAsia="Arial" w:hAnsi="Arial"/>
                <w:sz w:val="14"/>
                <w:szCs w:val="14"/>
                <w:color w:val="auto"/>
              </w:rPr>
              <w:t>March 31, 2012</w:t>
            </w:r>
          </w:p>
        </w:tc>
        <w:tc>
          <w:tcPr>
            <w:tcW w:w="3060" w:type="dxa"/>
            <w:vAlign w:val="bottom"/>
            <w:gridSpan w:val="5"/>
          </w:tcPr>
          <w:p>
            <w:pPr>
              <w:ind w:left="1060"/>
              <w:spacing w:after="0"/>
              <w:rPr>
                <w:sz w:val="20"/>
                <w:szCs w:val="20"/>
                <w:color w:val="auto"/>
              </w:rPr>
            </w:pPr>
            <w:r>
              <w:rPr>
                <w:rFonts w:ascii="Arial" w:cs="Arial" w:eastAsia="Arial" w:hAnsi="Arial"/>
                <w:sz w:val="14"/>
                <w:szCs w:val="14"/>
                <w:color w:val="auto"/>
              </w:rPr>
              <w:t>March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6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Black-Scholes</w:t>
            </w:r>
          </w:p>
        </w:tc>
        <w:tc>
          <w:tcPr>
            <w:tcW w:w="136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color w:val="auto"/>
              </w:rPr>
              <w:t>Binominal</w:t>
            </w:r>
          </w:p>
        </w:tc>
        <w:tc>
          <w:tcPr>
            <w:tcW w:w="480" w:type="dxa"/>
            <w:vAlign w:val="bottom"/>
          </w:tcPr>
          <w:p>
            <w:pPr>
              <w:spacing w:after="0"/>
              <w:rPr>
                <w:sz w:val="12"/>
                <w:szCs w:val="12"/>
                <w:color w:val="auto"/>
              </w:rPr>
            </w:pPr>
          </w:p>
        </w:tc>
        <w:tc>
          <w:tcPr>
            <w:tcW w:w="158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color w:val="auto"/>
                <w:w w:val="87"/>
              </w:rPr>
              <w:t>Black-Scholes</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Binominal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2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1.16% and 1.17%</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0.09%– 2.04%</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0.06%–3.36%</w:t>
            </w:r>
          </w:p>
        </w:tc>
        <w:tc>
          <w:tcPr>
            <w:tcW w:w="0" w:type="dxa"/>
            <w:vAlign w:val="bottom"/>
          </w:tcPr>
          <w:p>
            <w:pPr>
              <w:spacing w:after="0"/>
              <w:rPr>
                <w:sz w:val="1"/>
                <w:szCs w:val="1"/>
                <w:color w:val="auto"/>
              </w:rPr>
            </w:pPr>
          </w:p>
        </w:tc>
      </w:tr>
      <w:tr>
        <w:trPr>
          <w:trHeight w:val="322"/>
        </w:trPr>
        <w:tc>
          <w:tcPr>
            <w:tcW w:w="374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34.62%—34.65%</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34.50%—34.60%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740" w:type="dxa"/>
            <w:vAlign w:val="bottom"/>
            <w:gridSpan w:val="2"/>
          </w:tcPr>
          <w:p>
            <w:pPr>
              <w:spacing w:after="0"/>
              <w:rPr>
                <w:sz w:val="20"/>
                <w:szCs w:val="20"/>
                <w:color w:val="auto"/>
              </w:rPr>
            </w:pPr>
            <w:r>
              <w:rPr>
                <w:rFonts w:ascii="Arial" w:cs="Arial" w:eastAsia="Arial" w:hAnsi="Arial"/>
                <w:sz w:val="18"/>
                <w:szCs w:val="18"/>
                <w:color w:val="auto"/>
              </w:rPr>
              <w:t>Expected option life (in years)</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6.25</w:t>
            </w: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8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4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$ 22.74 and $22.80</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   11.65—$17.27</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$14.18 and $14.82</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$15.41—$16.76</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weighted-average fair value of stock options granted, and the total intrinsic value of stock options exercised: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 except per share amounts)</w:t>
            </w:r>
          </w:p>
        </w:tc>
        <w:tc>
          <w:tcPr>
            <w:tcW w:w="310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Borders>
              <w:bottom w:val="single" w:sz="8" w:color="auto"/>
            </w:tcBorders>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29" w:lineRule="exact"/>
              <w:rPr>
                <w:sz w:val="20"/>
                <w:szCs w:val="20"/>
                <w:color w:val="auto"/>
              </w:rPr>
            </w:pPr>
            <w:r>
              <w:rPr>
                <w:rFonts w:ascii="Arial" w:cs="Arial" w:eastAsia="Arial" w:hAnsi="Arial"/>
                <w:sz w:val="14"/>
                <w:szCs w:val="14"/>
                <w:color w:val="auto"/>
                <w:w w:val="83"/>
              </w:rPr>
              <w:t>2012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2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at date of grant per share</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17.23</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Intrinsic value of options exercised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10%.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March 31, 2012, estimated unrecognized compensation costs related to share-based payments amounted to $5.5 million which we expect to recognize over a weighted-average remaining requisite service period of approximately 3.3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7"/>
              </w:rPr>
              <w:t>Weighted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7"/>
              </w:rPr>
              <w:t>Weighted</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2"/>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average</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7"/>
              </w:rPr>
              <w:t>contractual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7"/>
              </w:rPr>
              <w:t>Number of</w:t>
            </w:r>
          </w:p>
        </w:tc>
        <w:tc>
          <w:tcPr>
            <w:tcW w:w="24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4"/>
              </w:rPr>
              <w:t>exercise</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5"/>
              </w:rPr>
              <w:t>term</w:t>
            </w:r>
          </w:p>
        </w:tc>
        <w:tc>
          <w:tcPr>
            <w:tcW w:w="5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intrinsic 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13"/>
                <w:szCs w:val="13"/>
                <w:color w:val="auto"/>
              </w:rPr>
            </w:pPr>
          </w:p>
        </w:tc>
        <w:tc>
          <w:tcPr>
            <w:tcW w:w="1080" w:type="dxa"/>
            <w:vAlign w:val="bottom"/>
            <w:gridSpan w:val="2"/>
          </w:tcPr>
          <w:p>
            <w:pPr>
              <w:jc w:val="center"/>
              <w:ind w:right="560"/>
              <w:spacing w:after="0" w:line="159" w:lineRule="exact"/>
              <w:rPr>
                <w:sz w:val="20"/>
                <w:szCs w:val="20"/>
                <w:color w:val="auto"/>
              </w:rPr>
            </w:pPr>
            <w:r>
              <w:rPr>
                <w:rFonts w:ascii="Arial" w:cs="Arial" w:eastAsia="Arial" w:hAnsi="Arial"/>
                <w:sz w:val="14"/>
                <w:szCs w:val="14"/>
                <w:color w:val="auto"/>
                <w:w w:val="92"/>
              </w:rPr>
              <w:t>price</w:t>
            </w:r>
          </w:p>
        </w:tc>
        <w:tc>
          <w:tcPr>
            <w:tcW w:w="600" w:type="dxa"/>
            <w:vAlign w:val="bottom"/>
          </w:tcPr>
          <w:p>
            <w:pPr>
              <w:jc w:val="center"/>
              <w:spacing w:after="0" w:line="159" w:lineRule="exact"/>
              <w:rPr>
                <w:sz w:val="20"/>
                <w:szCs w:val="20"/>
                <w:color w:val="auto"/>
              </w:rPr>
            </w:pPr>
            <w:r>
              <w:rPr>
                <w:rFonts w:ascii="Arial" w:cs="Arial" w:eastAsia="Arial" w:hAnsi="Arial"/>
                <w:sz w:val="14"/>
                <w:szCs w:val="14"/>
                <w:i w:val="1"/>
                <w:iCs w:val="1"/>
                <w:color w:val="auto"/>
                <w:w w:val="89"/>
              </w:rPr>
              <w:t>(in years)</w:t>
            </w:r>
          </w:p>
        </w:tc>
        <w:tc>
          <w:tcPr>
            <w:tcW w:w="56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w w:val="96"/>
              </w:rPr>
              <w:t>(in 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3,243,958</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$ 14.19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168,500</w:t>
            </w:r>
          </w:p>
        </w:tc>
        <w:tc>
          <w:tcPr>
            <w:tcW w:w="320" w:type="dxa"/>
            <w:vAlign w:val="bottom"/>
          </w:tcPr>
          <w:p>
            <w:pPr>
              <w:spacing w:after="0" w:line="20" w:lineRule="exact"/>
              <w:rPr>
                <w:sz w:val="1"/>
                <w:szCs w:val="1"/>
                <w:color w:val="auto"/>
              </w:rPr>
            </w:pPr>
          </w:p>
        </w:tc>
        <w:tc>
          <w:tcPr>
            <w:tcW w:w="1320" w:type="dxa"/>
            <w:vAlign w:val="bottom"/>
            <w:gridSpan w:val="3"/>
            <w:vMerge w:val="restart"/>
          </w:tcPr>
          <w:p>
            <w:pPr>
              <w:jc w:val="right"/>
              <w:ind w:right="560"/>
              <w:spacing w:after="0"/>
              <w:rPr>
                <w:sz w:val="20"/>
                <w:szCs w:val="20"/>
                <w:color w:val="auto"/>
              </w:rPr>
            </w:pPr>
            <w:r>
              <w:rPr>
                <w:rFonts w:ascii="Arial" w:cs="Arial" w:eastAsia="Arial" w:hAnsi="Arial"/>
                <w:sz w:val="18"/>
                <w:szCs w:val="18"/>
                <w:color w:val="auto"/>
              </w:rPr>
              <w:t>63.32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(175,514)</w:t>
            </w: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12.75</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(159,095)</w:t>
            </w: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23.75</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3,077,849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$ 16.37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080" w:type="dxa"/>
            <w:vAlign w:val="bottom"/>
            <w:gridSpan w:val="2"/>
          </w:tcPr>
          <w:p>
            <w:pPr>
              <w:spacing w:after="0"/>
              <w:rPr>
                <w:sz w:val="20"/>
                <w:szCs w:val="20"/>
                <w:color w:val="auto"/>
              </w:rPr>
            </w:pPr>
            <w:r>
              <w:rPr>
                <w:rFonts w:ascii="Arial" w:cs="Arial" w:eastAsia="Arial" w:hAnsi="Arial"/>
                <w:sz w:val="18"/>
                <w:szCs w:val="18"/>
                <w:color w:val="auto"/>
              </w:rPr>
              <w:t>Exercisable at March 31, 2012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1,635,441</w:t>
            </w:r>
          </w:p>
        </w:tc>
        <w:tc>
          <w:tcPr>
            <w:tcW w:w="320" w:type="dxa"/>
            <w:vAlign w:val="bottom"/>
          </w:tcPr>
          <w:p>
            <w:pPr>
              <w:spacing w:after="0"/>
              <w:rPr>
                <w:sz w:val="24"/>
                <w:szCs w:val="2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$ 10.89</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81,359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Authorization</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May 19, 2010, our shareholders authorized us to purchase up to 3.8 million shares of our common stock in the open market. From authorization through March 31, 2012, we have purchased 2.5 million shares of our common stock on the open market at an average price of $37.49 per share (with 0.3 million shares of common stock purchased during the first quarter ended March 31, 2012 at an average price of $63.25 per share), leaving 1.2 million shares still available for purchase under the program. On March 9, 2012, our Board of Directors approved a new share repurchase plan which will be presented for approval to our shareholders at the Annual Shareholder Meeting scheduled for May 16, 2012. If our shareholders approve that plan, shares will be eligible for purchase at a minimum price of $1.00 per share and a maximum price of $125.00 per share; and the maximum number of shares authorized to be repurchased will be up to 15% of shares outstanding as of the date of the shareholder approval.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COST OF REVENUE</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March 31, 2012 and 2011:</w:t>
      </w:r>
    </w:p>
    <w:p>
      <w:pPr>
        <w:spacing w:after="0" w:line="13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59"/>
        </w:trPr>
        <w:tc>
          <w:tcPr>
            <w:tcW w:w="69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3"/>
                <w:szCs w:val="13"/>
                <w:color w:val="auto"/>
              </w:rPr>
            </w:pPr>
          </w:p>
        </w:tc>
        <w:tc>
          <w:tcPr>
            <w:tcW w:w="1680" w:type="dxa"/>
            <w:vAlign w:val="bottom"/>
            <w:gridSpan w:val="4"/>
          </w:tcPr>
          <w:p>
            <w:pPr>
              <w:jc w:val="center"/>
              <w:ind w:right="120"/>
              <w:spacing w:after="0" w:line="159" w:lineRule="exact"/>
              <w:rPr>
                <w:sz w:val="20"/>
                <w:szCs w:val="20"/>
                <w:color w:val="auto"/>
              </w:rPr>
            </w:pPr>
            <w:r>
              <w:rPr>
                <w:rFonts w:ascii="Arial" w:cs="Arial" w:eastAsia="Arial" w:hAnsi="Arial"/>
                <w:sz w:val="14"/>
                <w:szCs w:val="14"/>
                <w:color w:val="auto"/>
                <w:w w:val="89"/>
              </w:rPr>
              <w:t>March 31,</w:t>
            </w:r>
          </w:p>
        </w:tc>
        <w:tc>
          <w:tcPr>
            <w:tcW w:w="0" w:type="dxa"/>
            <w:vAlign w:val="bottom"/>
          </w:tcPr>
          <w:p>
            <w:pPr>
              <w:spacing w:after="0"/>
              <w:rPr>
                <w:sz w:val="1"/>
                <w:szCs w:val="1"/>
                <w:color w:val="auto"/>
              </w:rPr>
            </w:pPr>
          </w:p>
        </w:tc>
      </w:tr>
      <w:tr>
        <w:trPr>
          <w:trHeight w:val="136"/>
        </w:trPr>
        <w:tc>
          <w:tcPr>
            <w:tcW w:w="6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jc w:val="right"/>
              <w:ind w:right="87"/>
              <w:spacing w:after="0" w:line="129" w:lineRule="exact"/>
              <w:rPr>
                <w:sz w:val="20"/>
                <w:szCs w:val="20"/>
                <w:color w:val="auto"/>
              </w:rPr>
            </w:pPr>
            <w:r>
              <w:rPr>
                <w:rFonts w:ascii="Arial" w:cs="Arial" w:eastAsia="Arial" w:hAnsi="Arial"/>
                <w:sz w:val="14"/>
                <w:szCs w:val="14"/>
                <w:color w:val="auto"/>
              </w:rPr>
              <w:t>2012</w:t>
            </w:r>
          </w:p>
        </w:tc>
        <w:tc>
          <w:tcPr>
            <w:tcW w:w="102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$27,485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28,653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91,760</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SELLING, GENERAL AND ADMINISTRATIVE EXPENSES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Selling, general and administrative expenses include payroll for personnel employed in executive, finance, legal, human resources, vendor management, internal audit, risk and six sigma roles. This category also includes occupancy costs, professional fees, depreciation and amortization on non-operating assets. The components of selling, general and administrative expenses were as follows for the periods ended March 31, 2012 and 2011: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9"/>
          </w:tcPr>
          <w:p>
            <w:pPr>
              <w:jc w:val="right"/>
              <w:ind w:right="360"/>
              <w:spacing w:after="0"/>
              <w:rPr>
                <w:sz w:val="20"/>
                <w:szCs w:val="20"/>
                <w:color w:val="auto"/>
              </w:rPr>
            </w:pPr>
            <w:r>
              <w:rPr>
                <w:rFonts w:ascii="Arial" w:cs="Arial" w:eastAsia="Arial" w:hAnsi="Arial"/>
                <w:sz w:val="14"/>
                <w:szCs w:val="14"/>
                <w:color w:val="auto"/>
                <w:w w:val="92"/>
              </w:rPr>
              <w:t>Three months ended</w:t>
            </w:r>
          </w:p>
        </w:tc>
        <w:tc>
          <w:tcPr>
            <w:tcW w:w="0" w:type="dxa"/>
            <w:vAlign w:val="bottom"/>
          </w:tcPr>
          <w:p>
            <w:pPr>
              <w:spacing w:after="0"/>
              <w:rPr>
                <w:sz w:val="1"/>
                <w:szCs w:val="1"/>
                <w:color w:val="auto"/>
              </w:rPr>
            </w:pPr>
          </w:p>
        </w:tc>
      </w:tr>
      <w:tr>
        <w:trPr>
          <w:trHeight w:val="159"/>
        </w:trPr>
        <w:tc>
          <w:tcPr>
            <w:tcW w:w="8040" w:type="dxa"/>
            <w:vAlign w:val="bottom"/>
            <w:gridSpan w:val="3"/>
            <w:vMerge w:val="restart"/>
          </w:tcPr>
          <w:p>
            <w:pPr>
              <w:ind w:left="138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right"/>
              <w:ind w:right="140"/>
              <w:spacing w:after="0" w:line="159" w:lineRule="exact"/>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0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jc w:val="right"/>
              <w:ind w:right="87"/>
              <w:spacing w:after="0" w:line="12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4"/>
          </w:tcPr>
          <w:p>
            <w:pPr>
              <w:jc w:val="right"/>
              <w:ind w:right="55"/>
              <w:spacing w:after="0" w:line="12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$ 4,383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38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13 — OTHER INCOME (EXPENSE), NET</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40" w:type="dxa"/>
            <w:vAlign w:val="bottom"/>
            <w:gridSpan w:val="3"/>
          </w:tcPr>
          <w:p>
            <w:pPr>
              <w:spacing w:after="0"/>
              <w:rPr>
                <w:sz w:val="20"/>
                <w:szCs w:val="20"/>
                <w:color w:val="auto"/>
              </w:rPr>
            </w:pPr>
            <w:r>
              <w:rPr>
                <w:rFonts w:ascii="Arial" w:cs="Arial" w:eastAsia="Arial" w:hAnsi="Arial"/>
                <w:sz w:val="18"/>
                <w:szCs w:val="18"/>
                <w:color w:val="auto"/>
              </w:rPr>
              <w:t>Other income (expense), net consists of the following:</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9"/>
          </w:tcPr>
          <w:p>
            <w:pPr>
              <w:jc w:val="right"/>
              <w:ind w:right="300"/>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9"/>
        </w:trPr>
        <w:tc>
          <w:tcPr>
            <w:tcW w:w="8040" w:type="dxa"/>
            <w:vAlign w:val="bottom"/>
            <w:gridSpan w:val="3"/>
            <w:vMerge w:val="restart"/>
          </w:tcPr>
          <w:p>
            <w:pPr>
              <w:ind w:left="138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gridSpan w:val="6"/>
          </w:tcPr>
          <w:p>
            <w:pPr>
              <w:jc w:val="right"/>
              <w:ind w:right="100"/>
              <w:spacing w:after="0" w:line="159" w:lineRule="exact"/>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040" w:type="dxa"/>
            <w:vAlign w:val="bottom"/>
            <w:gridSpan w:val="3"/>
            <w:vMerge w:val="continue"/>
          </w:tcPr>
          <w:p>
            <w:pPr>
              <w:spacing w:after="0"/>
              <w:rPr>
                <w:sz w:val="11"/>
                <w:szCs w:val="11"/>
                <w:color w:val="auto"/>
              </w:rPr>
            </w:pPr>
          </w:p>
        </w:tc>
        <w:tc>
          <w:tcPr>
            <w:tcW w:w="440" w:type="dxa"/>
            <w:vAlign w:val="bottom"/>
            <w:gridSpan w:val="2"/>
          </w:tcPr>
          <w:p>
            <w:pPr>
              <w:spacing w:after="0"/>
              <w:rPr>
                <w:sz w:val="11"/>
                <w:szCs w:val="11"/>
                <w:color w:val="auto"/>
              </w:rPr>
            </w:pPr>
          </w:p>
        </w:tc>
        <w:tc>
          <w:tcPr>
            <w:tcW w:w="460" w:type="dxa"/>
            <w:vAlign w:val="bottom"/>
          </w:tcPr>
          <w:p>
            <w:pPr>
              <w:jc w:val="right"/>
              <w:ind w:right="27"/>
              <w:spacing w:after="0" w:line="12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ind w:right="15"/>
              <w:spacing w:after="0" w:line="129" w:lineRule="exact"/>
              <w:rPr>
                <w:sz w:val="20"/>
                <w:szCs w:val="20"/>
                <w:color w:val="auto"/>
              </w:rPr>
            </w:pPr>
            <w:r>
              <w:rPr>
                <w:rFonts w:ascii="Arial" w:cs="Arial" w:eastAsia="Arial" w:hAnsi="Arial"/>
                <w:sz w:val="14"/>
                <w:szCs w:val="14"/>
                <w:color w:val="auto"/>
                <w:w w:val="76"/>
              </w:rPr>
              <w:t>2011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loss in affiliate</w:t>
            </w:r>
          </w:p>
        </w:tc>
        <w:tc>
          <w:tcPr>
            <w:tcW w:w="11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(324)</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5"/>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fair value of put option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44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040" w:type="dxa"/>
            <w:vAlign w:val="bottom"/>
            <w:gridSpan w:val="3"/>
          </w:tcPr>
          <w:p>
            <w:pPr>
              <w:ind w:left="1380"/>
              <w:spacing w:after="0"/>
              <w:rPr>
                <w:sz w:val="20"/>
                <w:szCs w:val="20"/>
                <w:color w:val="auto"/>
              </w:rPr>
            </w:pPr>
            <w:r>
              <w:rPr>
                <w:rFonts w:ascii="Arial" w:cs="Arial" w:eastAsia="Arial" w:hAnsi="Arial"/>
                <w:sz w:val="18"/>
                <w:szCs w:val="18"/>
                <w:color w:val="auto"/>
              </w:rPr>
              <w:t>Total</w:t>
            </w:r>
          </w:p>
        </w:tc>
        <w:tc>
          <w:tcPr>
            <w:tcW w:w="1160" w:type="dxa"/>
            <w:vAlign w:val="bottom"/>
            <w:gridSpan w:val="5"/>
          </w:tcPr>
          <w:p>
            <w:pPr>
              <w:jc w:val="right"/>
              <w:ind w:right="180"/>
              <w:spacing w:after="0"/>
              <w:rPr>
                <w:sz w:val="20"/>
                <w:szCs w:val="20"/>
                <w:color w:val="auto"/>
              </w:rPr>
            </w:pPr>
            <w:r>
              <w:rPr>
                <w:rFonts w:ascii="Arial" w:cs="Arial" w:eastAsia="Arial" w:hAnsi="Arial"/>
                <w:sz w:val="18"/>
                <w:szCs w:val="18"/>
                <w:color w:val="auto"/>
              </w:rPr>
              <w:t>$ (351)</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color w:val="auto"/>
                <w:w w:val="91"/>
              </w:rPr>
              <w:t>Equity in loss of affiliate represents our proportional share of the earnings in Correspondent One (see Note 7).</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40" w:type="dxa"/>
            <w:vAlign w:val="bottom"/>
            <w:gridSpan w:val="3"/>
          </w:tcPr>
          <w:p>
            <w:pPr>
              <w:ind w:left="56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Basic earnings per share ("EPS") is computed by dividing income available to common stockholders by the weighted average number of common shares outstanding for the period. Diluted EPS reflects the assumed conversion of all dilutive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for the three months ended March 31, 2012 and 2011 are calculated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1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5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0"/>
              <w:spacing w:after="0" w:line="159" w:lineRule="exact"/>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4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9"/>
              <w:spacing w:after="0" w:line="129" w:lineRule="exact"/>
              <w:rPr>
                <w:sz w:val="20"/>
                <w:szCs w:val="20"/>
                <w:color w:val="auto"/>
              </w:rPr>
            </w:pPr>
            <w:r>
              <w:rPr>
                <w:rFonts w:ascii="Arial" w:cs="Arial" w:eastAsia="Arial" w:hAnsi="Arial"/>
                <w:sz w:val="14"/>
                <w:szCs w:val="14"/>
                <w:color w:val="auto"/>
              </w:rPr>
              <w:t>2012</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5"/>
              <w:spacing w:after="0" w:line="12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60" w:type="dxa"/>
            <w:vAlign w:val="bottom"/>
            <w:tcBorders>
              <w:top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shares outstanding, basic</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effect of stock options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Weighted-average common shares outstanding, diluted</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24,844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March 31, 2012 and March 31, 2011, an immaterial amount of options that were anti-dilutive have been excluded from the computation of diluted EPS. These options were anti-dilutive because their exercise price was greater than the average market price of our stock. Also excluded from the computation of diluted EPS for each of the three months ended March 31, 2012 and 2011 are 0.4 million and 0.7 million options respectively, granted for shares that are issuable upon the achievement of certain market and performance criteria related to our stock price and an annualized rate of return to investors that have not been met at this point.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the our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We hold customers’ assets in escrow at various financial institutions pending completion of certain real estate activities. These amounts are held in escrow for limited periods of time, generally consisting of a few days and are not included in the Condensed Consolidated Balance Sheets. Amounts held in escrow and excluded from the Condensed Consolidated Balance Sheet were $21.4 million and $ 17.7 million as of March 31, 2012 and December 31, 2011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REPORTING</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business segments are based upon our organizational structure which focuses primarily on the services offered and are consistent with the internal reporting that we use to evaluate operating performance and to assess the allocation of our resources by our Chief Executive Officer.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classify our businesses into three reportable segments.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principally consists of mortgage portfolio management services that span the mortgage lifecycle.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principally consists of unsecured asset recovery and customer relationship management.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principally consists of modular, comprehensive integrated technological solutions for loan servicing, vendor management and invoice presentment and payment as well as providing infrastructure support. In addition, our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segment includes eliminations of transactions between the reporting segments and also includes costs recognized by us related to corporate support functions such as executive, finance, legal, human resources, vendor management, internal audit and risk, and six sigma.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color w:val="auto"/>
                <w:w w:val="94"/>
              </w:rPr>
              <w:t>Three months ended March 31, 2012</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right"/>
              <w:ind w:right="400"/>
              <w:spacing w:after="0" w:line="131" w:lineRule="exact"/>
              <w:rPr>
                <w:sz w:val="20"/>
                <w:szCs w:val="20"/>
                <w:color w:val="auto"/>
              </w:rPr>
            </w:pPr>
            <w:r>
              <w:rPr>
                <w:rFonts w:ascii="Arial" w:cs="Arial" w:eastAsia="Arial" w:hAnsi="Arial"/>
                <w:sz w:val="14"/>
                <w:szCs w:val="14"/>
                <w:color w:val="auto"/>
                <w:w w:val="96"/>
              </w:rPr>
              <w:t>Corporate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7"/>
              </w:rPr>
              <w:t>Mortgage</w:t>
            </w: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2"/>
              </w:rPr>
              <w:t>Financial</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1"/>
              </w:rPr>
              <w:t>Items and</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53"/>
        </w:trPr>
        <w:tc>
          <w:tcPr>
            <w:tcW w:w="67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0"/>
              <w:spacing w:after="0" w:line="146" w:lineRule="exact"/>
              <w:rPr>
                <w:sz w:val="20"/>
                <w:szCs w:val="20"/>
                <w:color w:val="auto"/>
              </w:rPr>
            </w:pPr>
            <w:r>
              <w:rPr>
                <w:rFonts w:ascii="Arial" w:cs="Arial" w:eastAsia="Arial" w:hAnsi="Arial"/>
                <w:sz w:val="14"/>
                <w:szCs w:val="14"/>
                <w:color w:val="auto"/>
                <w:w w:val="85"/>
              </w:rPr>
              <w:t>Services</w:t>
            </w:r>
          </w:p>
        </w:tc>
        <w:tc>
          <w:tcPr>
            <w:tcW w:w="140" w:type="dxa"/>
            <w:vAlign w:val="bottom"/>
          </w:tcPr>
          <w:p>
            <w:pPr>
              <w:spacing w:after="0"/>
              <w:rPr>
                <w:sz w:val="13"/>
                <w:szCs w:val="13"/>
                <w:color w:val="auto"/>
              </w:rPr>
            </w:pPr>
          </w:p>
        </w:tc>
        <w:tc>
          <w:tcPr>
            <w:tcW w:w="880" w:type="dxa"/>
            <w:vAlign w:val="bottom"/>
            <w:gridSpan w:val="3"/>
          </w:tcPr>
          <w:p>
            <w:pPr>
              <w:jc w:val="right"/>
              <w:ind w:right="360"/>
              <w:spacing w:after="0" w:line="146" w:lineRule="exact"/>
              <w:rPr>
                <w:sz w:val="20"/>
                <w:szCs w:val="20"/>
                <w:color w:val="auto"/>
              </w:rPr>
            </w:pPr>
            <w:r>
              <w:rPr>
                <w:rFonts w:ascii="Arial" w:cs="Arial" w:eastAsia="Arial" w:hAnsi="Arial"/>
                <w:sz w:val="14"/>
                <w:szCs w:val="14"/>
                <w:color w:val="auto"/>
                <w:w w:val="93"/>
              </w:rPr>
              <w:t>Services</w:t>
            </w:r>
          </w:p>
        </w:tc>
        <w:tc>
          <w:tcPr>
            <w:tcW w:w="100" w:type="dxa"/>
            <w:vAlign w:val="bottom"/>
          </w:tcPr>
          <w:p>
            <w:pPr>
              <w:spacing w:after="0"/>
              <w:rPr>
                <w:sz w:val="13"/>
                <w:szCs w:val="13"/>
                <w:color w:val="auto"/>
              </w:rPr>
            </w:pPr>
          </w:p>
        </w:tc>
        <w:tc>
          <w:tcPr>
            <w:tcW w:w="740" w:type="dxa"/>
            <w:vAlign w:val="bottom"/>
            <w:gridSpan w:val="2"/>
          </w:tcPr>
          <w:p>
            <w:pPr>
              <w:jc w:val="right"/>
              <w:ind w:right="280"/>
              <w:spacing w:after="0" w:line="146" w:lineRule="exact"/>
              <w:rPr>
                <w:sz w:val="20"/>
                <w:szCs w:val="20"/>
                <w:color w:val="auto"/>
              </w:rPr>
            </w:pPr>
            <w:r>
              <w:rPr>
                <w:rFonts w:ascii="Arial" w:cs="Arial" w:eastAsia="Arial" w:hAnsi="Arial"/>
                <w:sz w:val="14"/>
                <w:szCs w:val="14"/>
                <w:color w:val="auto"/>
                <w:w w:val="81"/>
              </w:rPr>
              <w:t>Services</w:t>
            </w:r>
          </w:p>
        </w:tc>
        <w:tc>
          <w:tcPr>
            <w:tcW w:w="120" w:type="dxa"/>
            <w:vAlign w:val="bottom"/>
          </w:tcPr>
          <w:p>
            <w:pPr>
              <w:spacing w:after="0"/>
              <w:rPr>
                <w:sz w:val="13"/>
                <w:szCs w:val="13"/>
                <w:color w:val="auto"/>
              </w:rPr>
            </w:pPr>
          </w:p>
        </w:tc>
        <w:tc>
          <w:tcPr>
            <w:tcW w:w="1020" w:type="dxa"/>
            <w:vAlign w:val="bottom"/>
            <w:gridSpan w:val="3"/>
          </w:tcPr>
          <w:p>
            <w:pPr>
              <w:spacing w:after="0" w:line="146" w:lineRule="exact"/>
              <w:rPr>
                <w:sz w:val="20"/>
                <w:szCs w:val="20"/>
                <w:color w:val="auto"/>
              </w:rPr>
            </w:pPr>
            <w:r>
              <w:rPr>
                <w:rFonts w:ascii="Arial" w:cs="Arial" w:eastAsia="Arial" w:hAnsi="Arial"/>
                <w:sz w:val="14"/>
                <w:szCs w:val="14"/>
                <w:color w:val="auto"/>
              </w:rPr>
              <w:t>Eliminations</w:t>
            </w:r>
          </w:p>
        </w:tc>
        <w:tc>
          <w:tcPr>
            <w:tcW w:w="820" w:type="dxa"/>
            <w:vAlign w:val="bottom"/>
            <w:gridSpan w:val="3"/>
          </w:tcPr>
          <w:p>
            <w:pPr>
              <w:ind w:left="80"/>
              <w:spacing w:after="0" w:line="146" w:lineRule="exact"/>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109,661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color w:val="auto"/>
              </w:rPr>
              <w:t>Three months ended March 31, 2011</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jc w:val="right"/>
              <w:ind w:right="320"/>
              <w:spacing w:after="0" w:line="131" w:lineRule="exact"/>
              <w:rPr>
                <w:sz w:val="20"/>
                <w:szCs w:val="20"/>
                <w:color w:val="auto"/>
              </w:rPr>
            </w:pPr>
            <w:r>
              <w:rPr>
                <w:rFonts w:ascii="Arial" w:cs="Arial" w:eastAsia="Arial" w:hAnsi="Arial"/>
                <w:sz w:val="14"/>
                <w:szCs w:val="14"/>
                <w:color w:val="auto"/>
                <w:w w:val="96"/>
              </w:rPr>
              <w:t>Corporate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1"/>
              </w:rPr>
              <w:t>Mortgage</w:t>
            </w:r>
          </w:p>
        </w:tc>
        <w:tc>
          <w:tcPr>
            <w:tcW w:w="400" w:type="dxa"/>
            <w:vAlign w:val="bottom"/>
          </w:tcPr>
          <w:p>
            <w:pPr>
              <w:spacing w:after="0"/>
              <w:rPr>
                <w:sz w:val="12"/>
                <w:szCs w:val="12"/>
                <w:color w:val="auto"/>
              </w:rPr>
            </w:pPr>
          </w:p>
        </w:tc>
        <w:tc>
          <w:tcPr>
            <w:tcW w:w="10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w w:val="96"/>
              </w:rPr>
              <w:t>Financial</w:t>
            </w: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1"/>
              </w:rPr>
              <w:t>Items and</w:t>
            </w:r>
          </w:p>
        </w:tc>
        <w:tc>
          <w:tcPr>
            <w:tcW w:w="1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53"/>
        </w:trPr>
        <w:tc>
          <w:tcPr>
            <w:tcW w:w="4380" w:type="dxa"/>
            <w:vAlign w:val="bottom"/>
            <w:gridSpan w:val="3"/>
            <w:vMerge w:val="continue"/>
          </w:tcPr>
          <w:p>
            <w:pPr>
              <w:spacing w:after="0"/>
              <w:rPr>
                <w:sz w:val="13"/>
                <w:szCs w:val="13"/>
                <w:color w:val="auto"/>
              </w:rPr>
            </w:pPr>
          </w:p>
        </w:tc>
        <w:tc>
          <w:tcPr>
            <w:tcW w:w="2080" w:type="dxa"/>
            <w:vAlign w:val="bottom"/>
          </w:tcPr>
          <w:p>
            <w:pPr>
              <w:spacing w:after="0"/>
              <w:rPr>
                <w:sz w:val="13"/>
                <w:szCs w:val="13"/>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4"/>
                <w:szCs w:val="14"/>
                <w:color w:val="auto"/>
                <w:w w:val="93"/>
              </w:rPr>
              <w:t>Services</w:t>
            </w:r>
          </w:p>
        </w:tc>
        <w:tc>
          <w:tcPr>
            <w:tcW w:w="400" w:type="dxa"/>
            <w:vAlign w:val="bottom"/>
          </w:tcPr>
          <w:p>
            <w:pPr>
              <w:spacing w:after="0"/>
              <w:rPr>
                <w:sz w:val="13"/>
                <w:szCs w:val="13"/>
                <w:color w:val="auto"/>
              </w:rPr>
            </w:pPr>
          </w:p>
        </w:tc>
        <w:tc>
          <w:tcPr>
            <w:tcW w:w="1000" w:type="dxa"/>
            <w:vAlign w:val="bottom"/>
            <w:gridSpan w:val="3"/>
          </w:tcPr>
          <w:p>
            <w:pPr>
              <w:jc w:val="right"/>
              <w:ind w:right="480"/>
              <w:spacing w:after="0" w:line="146" w:lineRule="exact"/>
              <w:rPr>
                <w:sz w:val="20"/>
                <w:szCs w:val="20"/>
                <w:color w:val="auto"/>
              </w:rPr>
            </w:pPr>
            <w:r>
              <w:rPr>
                <w:rFonts w:ascii="Arial" w:cs="Arial" w:eastAsia="Arial" w:hAnsi="Arial"/>
                <w:sz w:val="14"/>
                <w:szCs w:val="14"/>
                <w:color w:val="auto"/>
                <w:w w:val="93"/>
              </w:rPr>
              <w:t>Services</w:t>
            </w:r>
          </w:p>
        </w:tc>
        <w:tc>
          <w:tcPr>
            <w:tcW w:w="80" w:type="dxa"/>
            <w:vAlign w:val="bottom"/>
          </w:tcPr>
          <w:p>
            <w:pPr>
              <w:spacing w:after="0"/>
              <w:rPr>
                <w:sz w:val="13"/>
                <w:szCs w:val="13"/>
                <w:color w:val="auto"/>
              </w:rPr>
            </w:pPr>
          </w:p>
        </w:tc>
        <w:tc>
          <w:tcPr>
            <w:tcW w:w="96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w w:val="81"/>
              </w:rPr>
              <w:t>Services</w:t>
            </w:r>
          </w:p>
        </w:tc>
        <w:tc>
          <w:tcPr>
            <w:tcW w:w="94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3"/>
                <w:szCs w:val="13"/>
                <w:color w:val="auto"/>
              </w:rPr>
            </w:pPr>
          </w:p>
        </w:tc>
        <w:tc>
          <w:tcPr>
            <w:tcW w:w="820" w:type="dxa"/>
            <w:vAlign w:val="bottom"/>
            <w:gridSpan w:val="3"/>
          </w:tcPr>
          <w:p>
            <w:pPr>
              <w:ind w:left="80"/>
              <w:spacing w:after="0" w:line="146" w:lineRule="exact"/>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19,493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12,716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4,460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80" w:type="dxa"/>
            <w:vAlign w:val="bottom"/>
            <w:vMerge w:val="restart"/>
          </w:tcPr>
          <w:p>
            <w:pPr>
              <w:jc w:val="right"/>
              <w:ind w:right="572"/>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When we refer to “we”, “our”, “the Company” or “Altisource”, we mean Altisource Portfolio Solutions S.A. and its consolidated subsidiaries.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the 2011 Annual Report on Form 10-K. Significant sections of the MD&amp;A are as follows:</w:t>
      </w:r>
    </w:p>
    <w:p>
      <w:pPr>
        <w:spacing w:after="0" w:line="26" w:lineRule="exact"/>
        <w:rPr>
          <w:sz w:val="20"/>
          <w:szCs w:val="20"/>
          <w:color w:val="auto"/>
        </w:rPr>
      </w:pPr>
    </w:p>
    <w:p>
      <w:pPr>
        <w:jc w:val="both"/>
        <w:ind w:left="460" w:right="400"/>
        <w:spacing w:after="0" w:line="30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This section, beginning on page 18, provides a description of recent developments we believe are important in understanding the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financial condition or in understanding anticipated future trends, and it also provides a brief description of significant transactions and events that affect the comparability of results being analyzed. In addition, we describe our plans for growth.</w:t>
      </w:r>
    </w:p>
    <w:p>
      <w:pPr>
        <w:spacing w:after="0" w:line="2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22, provides an analysis of our consolidated results of operations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2012 and 2011.</w:t>
      </w:r>
    </w:p>
    <w:p>
      <w:pPr>
        <w:spacing w:after="0" w:line="51"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i w:val="1"/>
          <w:iCs w:val="1"/>
          <w:color w:val="auto"/>
        </w:rPr>
        <w:t xml:space="preserve">Segment Results of Operations. </w:t>
      </w:r>
      <w:r>
        <w:rPr>
          <w:rFonts w:ascii="Arial" w:cs="Arial" w:eastAsia="Arial" w:hAnsi="Arial"/>
          <w:sz w:val="16"/>
          <w:szCs w:val="16"/>
          <w:color w:val="auto"/>
        </w:rPr>
        <w:t>This section, beginning on page 23, provides an analysis of each business segment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2012 and 2011. In addition, we discuss significant transactions, events and trends that may affect the comparability of the results being analyzed.</w:t>
      </w:r>
    </w:p>
    <w:p>
      <w:pPr>
        <w:spacing w:after="0" w:line="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30, provides an analysis of our cash flows for the three months ended March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We also discuss restrictions on cash movements, future commitments and capital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Certain statements in this Form 10-Q regarding anticipated financial outcomes, business and market conditions, outlook and other similar statements related to Altisource’s future financial and operational performance, are “forward looking statements” made pursuant to the safe harbor provisions of the Private Securities Litigation Reform Act of 1995 and other federal securities laws. These forward-looking statements may be identified by the use of terminology such as “may,” “will,” “should,” “expect,” “intend,” “plan,” “anticipate,” “believe,” “estimate,”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is not intended to be an all-inclusive list:</w:t>
      </w:r>
    </w:p>
    <w:p>
      <w:pPr>
        <w:spacing w:after="0" w:line="3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Important factors that could cause actual results to differ materially from those suggested by the forward-looking statements include, but are not limited to, the risks discussed in the “Risk Factors” section of our Form 10-K for the year ended December 31, 2011 and include the following:</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expand our existing customers and attract new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on the trend towards outsourcing;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regulations, taxes and policies.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a provider of services focused on high-value, technology-enabled, knowledge-based solutions principally related to mortgage and real estate portfolio management, asset recovery and customer relationship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reportable segments:</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Mortgage Services: </w:t>
      </w:r>
      <w:r>
        <w:rPr>
          <w:rFonts w:ascii="Arial" w:cs="Arial" w:eastAsia="Arial" w:hAnsi="Arial"/>
          <w:sz w:val="16"/>
          <w:szCs w:val="16"/>
          <w:color w:val="auto"/>
        </w:rPr>
        <w:t>Provides services that span the mortgage lifecycle and are typically outsourced by loan servicers and originators. We provide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for loan portfolios serviced by Ocwen. We also have longstanding relationships with some of the leading capital markets firms, commercial banks, hedge funds and insurance companies. Within the Mortgage Services segment, we provide the following services:</w:t>
      </w:r>
    </w:p>
    <w:p>
      <w:pPr>
        <w:spacing w:after="0" w:line="26"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our consumer real estate portal and REO brokerage operations. We plan to provide asset management services for REO rental properties in the future.</w:t>
      </w:r>
    </w:p>
    <w:p>
      <w:pPr>
        <w:spacing w:after="0" w:line="59"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includes traditional appraisal products through our licensed appraisal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company and alternative valuation products primarily through our network of real estate professionals. We generally provide these services for loan servicers and mortgage bankers.</w:t>
      </w:r>
    </w:p>
    <w:p>
      <w:pPr>
        <w:spacing w:after="0" w:line="59"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i w:val="1"/>
          <w:iCs w:val="1"/>
          <w:color w:val="auto"/>
        </w:rPr>
        <w:t xml:space="preserve">Closing and insurance services </w:t>
      </w:r>
      <w:r>
        <w:rPr>
          <w:rFonts w:ascii="Arial" w:cs="Arial" w:eastAsia="Arial" w:hAnsi="Arial"/>
          <w:sz w:val="16"/>
          <w:szCs w:val="16"/>
          <w:color w:val="auto"/>
        </w:rPr>
        <w:t>– Closing and insurance services principally includes an array of title search, closing and title agency services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preparation, pre-foreclosure and REO title searches, escrow and title insurance, and other insurance related services applicable to residential loan servicers. We plan to provide closing and title agency services on newly originated loans in the future.</w:t>
      </w:r>
    </w:p>
    <w:p>
      <w:pPr>
        <w:spacing w:after="0" w:line="2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provides foreclosure trustee services for loan servicers and non-legal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services for and under the supervision of foreclosure, bankruptcy and eviction attorneys.</w:t>
      </w:r>
    </w:p>
    <w:p>
      <w:pPr>
        <w:spacing w:after="0" w:line="51"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principally includes the MPA operations, a business we acquired in February 2010,</w:t>
      </w:r>
      <w:r>
        <w:rPr>
          <w:rFonts w:ascii="Arial" w:cs="Arial" w:eastAsia="Arial" w:hAnsi="Arial"/>
          <w:sz w:val="16"/>
          <w:szCs w:val="16"/>
          <w:i w:val="1"/>
          <w:iCs w:val="1"/>
          <w:color w:val="auto"/>
        </w:rPr>
        <w:t xml:space="preserve"> </w:t>
      </w:r>
      <w:r>
        <w:rPr>
          <w:rFonts w:ascii="Arial" w:cs="Arial" w:eastAsia="Arial" w:hAnsi="Arial"/>
          <w:sz w:val="16"/>
          <w:szCs w:val="16"/>
          <w:color w:val="auto"/>
        </w:rPr>
        <w:t>our contract underwriting business and our developing loan fulfillment business. MPA serves as the manager of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In addition, some of the origination related reseller businesses, including the flood certification business, are included in the Technology Services REALSuite business.</w:t>
      </w:r>
    </w:p>
    <w:p>
      <w:pPr>
        <w:spacing w:after="0" w:line="1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Provides collection and customer relationship management services primarily to debt originators and servicers (e.g., credit card, auto lending,</w:t>
      </w:r>
      <w:r>
        <w:rPr>
          <w:rFonts w:ascii="Arial" w:cs="Arial" w:eastAsia="Arial" w:hAnsi="Arial"/>
          <w:sz w:val="16"/>
          <w:szCs w:val="16"/>
          <w:i w:val="1"/>
          <w:iCs w:val="1"/>
          <w:color w:val="auto"/>
        </w:rPr>
        <w:t xml:space="preserve"> </w:t>
      </w:r>
      <w:r>
        <w:rPr>
          <w:rFonts w:ascii="Arial" w:cs="Arial" w:eastAsia="Arial" w:hAnsi="Arial"/>
          <w:sz w:val="16"/>
          <w:szCs w:val="16"/>
          <w:color w:val="auto"/>
        </w:rPr>
        <w:t>retail credit, mortgages) and the utility and insurance industry. Within the Financial Services segment, we provide the following services: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provides post-charge-off consumer debt collection services on a contingency basis.</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provides customer care and early stage collections services. In addition,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management provides insurance and claims processing, call center services and analytical support.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Comprises our REALSuite</w:t>
      </w:r>
      <w:r>
        <w:rPr>
          <w:rFonts w:ascii="Arial" w:cs="Arial" w:eastAsia="Arial" w:hAnsi="Arial"/>
          <w:sz w:val="16"/>
          <w:szCs w:val="16"/>
          <w:i w:val="1"/>
          <w:iCs w:val="1"/>
          <w:color w:val="auto"/>
        </w:rPr>
        <w:t xml:space="preserve"> </w:t>
      </w:r>
      <w:r>
        <w:rPr>
          <w:rFonts w:ascii="Arial" w:cs="Arial" w:eastAsia="Arial" w:hAnsi="Arial"/>
          <w:sz w:val="10"/>
          <w:szCs w:val="10"/>
          <w:color w:val="auto"/>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of applications as well as our IT infrastructure services. We only intend to provide our IT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to Ocwen, Home Loan Servicing Solutions (“HLSS </w:t>
      </w:r>
      <w:r>
        <w:rPr>
          <w:rFonts w:ascii="Arial" w:cs="Arial" w:eastAsia="Arial" w:hAnsi="Arial"/>
          <w:sz w:val="10"/>
          <w:szCs w:val="10"/>
          <w:color w:val="auto"/>
        </w:rPr>
        <w:t>TM</w:t>
      </w:r>
      <w:r>
        <w:rPr>
          <w:rFonts w:ascii="Arial" w:cs="Arial" w:eastAsia="Arial" w:hAnsi="Arial"/>
          <w:sz w:val="16"/>
          <w:szCs w:val="16"/>
          <w:color w:val="auto"/>
        </w:rPr>
        <w:t>”), Correspondent One and ourselves. The REALSuite platform provides a fully integrated set of software applications and technologies that manage the end-to-end lifecycle for residential and commercial mortgage loan servicing including the automated management and payment of a distributed network of vendors. A brief description of the key REALSuite software products is below:</w:t>
      </w:r>
    </w:p>
    <w:p>
      <w:pPr>
        <w:spacing w:after="0" w:line="32"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REALSynergy</w:t>
      </w:r>
      <w:r>
        <w:rPr>
          <w:rFonts w:ascii="Arial" w:cs="Arial" w:eastAsia="Arial" w:hAnsi="Arial"/>
          <w:sz w:val="11"/>
          <w:szCs w:val="11"/>
          <w:color w:val="auto"/>
        </w:rPr>
        <w:t>®</w:t>
      </w:r>
      <w:r>
        <w:rPr>
          <w:rFonts w:ascii="Arial" w:cs="Arial" w:eastAsia="Arial" w:hAnsi="Arial"/>
          <w:sz w:val="18"/>
          <w:szCs w:val="18"/>
          <w:color w:val="auto"/>
        </w:rPr>
        <w:t>, an enterprise commercial loan servicing system.</w:t>
      </w:r>
    </w:p>
    <w:p>
      <w:pPr>
        <w:spacing w:after="0" w:line="62"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i w:val="1"/>
          <w:iCs w:val="1"/>
          <w:color w:val="auto"/>
        </w:rPr>
        <w:t>REALTrans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a patented electronic business-to-business exchange that automates and simplifies the ordering, tracking and fulfilling of vendor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2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 payment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invoice payments deposited directly to their respective bank accounts.</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the deployment, beginning in the third quarter of 2012 and continuing through 2013, of our next generation technologies to support our mortgage services businesses, we will be more cost effective and efficient at not only providing higher quality mortgage related services for Ocwen, but for other customers as well. Once fully deployed, it will also enable the Financial Services business to gain market share in its very large markets. The tools applicable to our Financial Services segment include our optimal resolution model and our vendor, business process management, dialogue and invoice payment and presentment technologies. Through the use of these tools and technologies, we believe we can improve our customers’ profitability, reduce our hiring, training and compliance costs, scale our operations faster and, at the same time, create stickier customer relationships across higher valued services.</w:t>
      </w:r>
    </w:p>
    <w:p>
      <w:pPr>
        <w:spacing w:after="0" w:line="120"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six sigma and also includes eliminations of transactions between the reporting segments.</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which consists of amounts attributable to our fee based services. Reimbursable expenses and non-controlling interests are pass-through items for which we earn no margin. Reimbursable expenses consist of amounts that we incur on behalf of our customers in performing our fee based services, but we pass such costs directly on to our customers without any additional markup. Non-controlling interests are the earnings of Lenders One, a consolidated entity that is not owned by Altisource. It is included in revenue and reduced from net income to arrive at net income attributable to Altisource.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2010, our shareholders authorized us to purchase up to 15% of our outstanding share capital, or 3.8 million shares of common stock, in the open market. From authorization through March 31, 2012, we have purchased 2.5 million shares of common stock on the open market at an average price of $37.49 per share (with 0.3 million shares of common stock purchased during the first quarter ended March 31, 2012 at an average price of $63.25 per share) leaving 1.2 million shares available for purchase under the program. On March 9, 2012, our Board of Directors approved a new share repurchase plan which will be presented for approval to our shareholders at the Annual Shareholder Meeting scheduled for May 16, 2012. If our shareholders approve that plan, shares will be eligible for purchase at a minimum price of $1.00 per share and a maximum price of $125.00 per share; and the maximum number of shares authorized to be repurchased will be up to 15% of shares outstanding as of the date of the shareholder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growth</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separated from Ocwen in August 2009. Since the separation, we believe we have demonstrated that substantial shareholder value can be created through a spin-off. We believe our growth and shareholder value has been primarily built around: (1) the development and subsequent roll-out to Ocwen of new services across the United States and (2) Ocwen’s servicing portfolio growth. As we demonstrate our value to Ocwen’s leadership team through the effective and efficient provisioning of services, we are able to expand existing services and develop new services that we provide to Ocwen.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continue to believe that the market opportunity for default related services will remain strong for the next three to five years. However, in order to meet our longer term earnings growth objective, we need to diversify our revenue and customer base. In this regard, we spend meaningful time and resources designing and developing a complementary pipeline of businesses to extend Altisource’s earnings growth. Our core capabilities and technologies are the foundation of each newly developed business opportunity we pursue. Our blueprint for the future continues to include providing high quality mortgage servicing related services, significantly expanding our mortgage origination related services for the members of Lenders One and growing our Financial Services and Technology Services segments.</w:t>
      </w:r>
    </w:p>
    <w:p>
      <w:pPr>
        <w:spacing w:after="0" w:line="14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provides further information on our growth plans in mortgage origination related services and an opportunity we are pursuing in the residential asset related market.</w:t>
      </w:r>
    </w:p>
    <w:p>
      <w:pPr>
        <w:spacing w:after="0" w:line="12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Mortgage origination related services </w:t>
      </w:r>
      <w:r>
        <w:rPr>
          <w:rFonts w:ascii="Arial" w:cs="Arial" w:eastAsia="Arial" w:hAnsi="Arial"/>
          <w:sz w:val="16"/>
          <w:szCs w:val="16"/>
          <w:color w:val="auto"/>
        </w:rPr>
        <w:t>– To expand our mortgage origination related services, we acquired MPA in February 2010. MPA is the for-profit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company of Lenders One. The acquisition of MPA presents an opportunity to develop, in a manner similar to what we did for Ocwen, a suite of end-to-end mortgage origination related services for the Lenders One members. In 2011, the 214 Lenders One members originated approximately $106 billion dollars in residential loan mortgages, approximately 8% of the residential origination market. We estimate that in excess of $1.5 billion dollars in services were provided to support the loans originated by the members in 2011, a portion of which is influenced by the mortgage originator. Many of the origination related services ordered by the members from others are similar to the servicing and default related services that we provide today.</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To further complement our MPA acquisition, and consistent with our plan to expand our originations related services, we acquired an equity interest in Correspondent One in July 2011. Its mission is to acquire, and subsequently sell, high quality, closed loans from Lenders One members. Correspondent One has seen significant, positive environmental changes in the correspondent lending market. There has been a contraction in correspondent lending and the price paid for agency mortgage servicing rights has significantly declined. At the reduced price, Correspondent One believes it is attractive to retain servicing on the closed loans that it acquires and to sell its acquired loans through to the agencies as opposed to only the larger commercial banks (who in-turn sell to the agencies). Correspondent One has started the application process to become an approved seller to one of the GSEs, and it is optimistic that it will be approved. Once approved, Correspondent One believes its competitive position to attractively buy loans from the Lenders One members should improve. This should also help grow Lenders One membership.</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Residential Asset businesses </w:t>
      </w:r>
      <w:r>
        <w:rPr>
          <w:rFonts w:ascii="Arial" w:cs="Arial" w:eastAsia="Arial" w:hAnsi="Arial"/>
          <w:sz w:val="16"/>
          <w:szCs w:val="16"/>
          <w:color w:val="auto"/>
        </w:rPr>
        <w:t>– We are establishing residential asset related businesses to support the growing residential single family rental market as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there is a significant opportunity that leverages our existing infrastructure and competencies. The single family residential rental market in the United States is a $3 trillion industry, accounting for 52% of all residential rental units. With the continued displacement of homeowners, we believe the demand for single family rentals will significantly increase. Some studies estimate that over four million distressed loans and REO will be converted to rental homes by 2015. Despite the size of the single family rental market, it has received very little attention as most people have historically viewed the industry as extremely fragmented, localized and decentralized. We believe, on the other hand, that there are significant opportunities to consolidate the market by leveraging purchasing, technology and centralized operations and management. We know firsthand, through our ability to establish Altisource as one of the few nationwide single family REO management and property inspection and preservation companies in the United States, that property management can be executed on a national scale. Unlike most property management firms, we are not constrained by the location of the home. We have existing nationwide single family asset management, property inspection and preservation, real estate brokerage and settlement services operations, primarily performed from centralized lower cost locations.</w:t>
      </w:r>
    </w:p>
    <w:p>
      <w:pPr>
        <w:spacing w:after="0" w:line="1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Entering the residential rental market is a complementary extension of our existing service offerings, leveraging our significant economies of scale. As a result, we believe our per unit operating costs are substantially lower than others in the industry. With our operating cost advantage, we believe that we can manage a single family home at a cost similar to an apartment unit managed by a multi-family REIT.</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Because of the different capital considerations and the operating metrics associated with owning and renting single family homes, we believe this business is best suited to operate as a separate stand-alone company. In this regard, we have established development-stage residential asset related entities within our Mortgage Services segment, modeled after the Kinder Morgan structure, to own and manage single family rental homes and other related residential asset classes. Altisource will enter into long-term service agreements to provide construction, property management and brokerage services to the new entities.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our lower cost operating structure will allow us to attractively price our services to the residential asset businesses to improve their competitive position in investing in single family rental assets. This in-turn should generate more construction, property management and brokerage business for Altisource. In time, we believe other related residential asset classes could be complementary additions to the residential asset businesses’ portfolio. With our Board of Director’s support, we have begun the process of spinning off these businesses by establishing separate legal entities and preparing the separation documents to be filed with the SEC. As a stand-alone company, we believe these businesses will generate a stable and attractive return for its investors.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Consumer real estate portal </w:t>
      </w:r>
      <w:r>
        <w:rPr>
          <w:rFonts w:ascii="Arial" w:cs="Arial" w:eastAsia="Arial" w:hAnsi="Arial"/>
          <w:sz w:val="16"/>
          <w:szCs w:val="16"/>
          <w:color w:val="auto"/>
        </w:rPr>
        <w:t>– We are also continuing to develop our consumer real estate portal as we believe there are opportunities to benefit from a shifting</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 preference for on-line transacting. The consumer real estate portal provides an automated, transparent and integrated on-line solution for buying and selling real estate and related services. Like the residential rental business, the market for this business is immense. The 2012 forecast for home sales in the United States is approximately $780 billion. These sales will generate over $40 billion in brokerage commissions annually. The industry is beginning to see a shift in consumer behavior and attitudes toward on-line transacting for homes. In 2011, we sold approximately 20,000 homes through our consumer real estate portal and our revenue has grown to $10.7 million in the first quarter of 2012, compared to $5.2 million in the first quarter of 2011 (the consumer real estate portal is part of our Mortgage Services segment).</w:t>
      </w:r>
    </w:p>
    <w:p>
      <w:pPr>
        <w:spacing w:after="0" w:line="1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Unlike some of the other public and private real estate related websites, our portal is not based on a marketing, informational model. Rather, we are centered on executing real estate transactions. Our objective is to become the premier end-to-end real estate transaction marketplace that seamlessly and efficiently connects home buyers, sellers and real estate service providers for distressed and non-distressed homes. We believe the real estate purchasing and sales market is underserved and consumers will welcome a new product offering transparency, simplicity and lower transaction costs. Using Altisource’s next generation technologies, the consumer real estate portal will transform the way real estate services are delivered by providing a unique transaction processing platform that offers an automated, transparent and integrated solution to buy and sell homes and purchase the related services as part of a home buying experience. We will continue to grow this business (leveraging the asset management business and Ocwen’s growth, our unique platform and the approximate one million average monthly visitors to our website in the first quarter 2012) to provide transaction support for a growing portion of the in excess of 4 million homes that are typically sold in the United States in a year.</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medium to longer term, we also intend to explore the possibility of distributing our ownership interest in this business, creating a new public company. The consumer real estate portal has many of the same characteristics as some of the other publically traded real estate related technology companies. Similar to these companies, we believe that we can create greater shareholder value with the portal operating as a separate stand-alone business. As a stand-alone company, the portal would have a singularly focused management team and the performance of the business would be easier to compare with like companies.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regard to the residential asset businesses and the consumer real estate portal, there is no certainty at this time that the separations will actually occur. Further, the consummation of any spin-off or similar transactions will be subject to our reaching satisfactory conclusions with our financial, tax and legal advisors on all applicable issues and the receipt of any necessary approvals.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90" w:lineRule="exact"/>
        <w:rPr>
          <w:sz w:val="20"/>
          <w:szCs w:val="20"/>
          <w:color w:val="auto"/>
        </w:rPr>
      </w:pPr>
    </w:p>
    <w:p>
      <w:pPr>
        <w:ind w:left="900" w:right="1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average, Ocwen serviced 0.7 million loans for the three months ended March 31, 2012 compared to 0.5 million loans for the three months ended March 31, 2011.</w:t>
      </w:r>
    </w:p>
    <w:p>
      <w:pPr>
        <w:spacing w:after="0" w:line="50"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2011, we acquired the assembled workforce of a sub-contractor in India that performed asset recovery services.</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Throughout 2011, we repurchased 1.6 million shares of our common stock under our stock repurchase program, and during three months ended March 31, 2012, we purchased 0.3 million shares of our common stock under the program.</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2012, we increased our employee levels in anticipation of loans to be boarded by Ocwen. The boarding is expected to occur throughout the second quarter of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consolidated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periods ended March 31, 2012 and 2011: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0" w:type="dxa"/>
            <w:vAlign w:val="bottom"/>
            <w:gridSpan w:val="3"/>
            <w:vMerge w:val="continue"/>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46"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13"/>
              <w:spacing w:after="0" w:line="146" w:lineRule="exact"/>
              <w:rPr>
                <w:sz w:val="20"/>
                <w:szCs w:val="20"/>
                <w:color w:val="auto"/>
              </w:rPr>
            </w:pPr>
            <w:r>
              <w:rPr>
                <w:rFonts w:ascii="Arial" w:cs="Arial" w:eastAsia="Arial" w:hAnsi="Arial"/>
                <w:sz w:val="14"/>
                <w:szCs w:val="14"/>
                <w:color w:val="auto"/>
              </w:rPr>
              <w:t>2011</w:t>
            </w:r>
          </w:p>
        </w:tc>
        <w:tc>
          <w:tcPr>
            <w:tcW w:w="500" w:type="dxa"/>
            <w:vAlign w:val="bottom"/>
          </w:tcPr>
          <w:p>
            <w:pPr>
              <w:spacing w:after="0"/>
              <w:rPr>
                <w:sz w:val="13"/>
                <w:szCs w:val="13"/>
                <w:color w:val="auto"/>
              </w:rPr>
            </w:pPr>
          </w:p>
        </w:tc>
        <w:tc>
          <w:tcPr>
            <w:tcW w:w="74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560" w:type="dxa"/>
            <w:vAlign w:val="bottom"/>
            <w:tcBorders>
              <w:top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Mortgage Services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79,320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43,340</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Services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18,920</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Technology Services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12,716</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Eliminations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108,469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71,730</w:t>
            </w:r>
          </w:p>
        </w:tc>
        <w:tc>
          <w:tcPr>
            <w:tcW w:w="5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15,641</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1,299</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139,066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88,670</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91,760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54,949</w:t>
            </w:r>
          </w:p>
        </w:tc>
        <w:tc>
          <w:tcPr>
            <w:tcW w:w="5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33,721</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16,254</w:t>
            </w:r>
          </w:p>
        </w:tc>
        <w:tc>
          <w:tcPr>
            <w:tcW w:w="5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17,467</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17,811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(1,687)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16,124</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(1,299)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25,229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14,825</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Margins:</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00" w:type="dxa"/>
            <w:vAlign w:val="bottom"/>
            <w:gridSpan w:val="3"/>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profit/service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Income from operations/service revenue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57</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recognized service revenue of $108.5 million for the three months ended March 31, 2012, a 51% increase when compared to the three months ended March 31, 2011. The continued growth in service revenue is due to the increase in Ocwen’s residential loan portfolio, impacting Mortgage Services and Technology Services, coupled with our ongoing expansion of mortgage and real estate portfolio management services. Partially offsetting our service revenue growth in Mortgage Services and Technology Services was a decline in the Financial Services segment. This is primarily due to the shift of existing services to a lower cost geography with corresponding lower fees from our customers for these services and a modest decline in total placements as a result of lower credit card delinquencies.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increase in revenue from reimbursable expenses is due to the increase in our asset management and default services businesses in our Mortgage Services segment.</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revenues are seasonal. More specifically, Financial Services revenue tends to be higher in the first quarter and generally declines throughout the year. Mortgage Services revenue is impacted by REO sales which tend to be at their lowest level during the fall and winter months and highest during spring and summer months. However, during the three months ended March 31, 2012, we experienced unusually higher levels of REO sales than we would normally expect given the seasonality. We believe this is attributable to our process improvements and increasing end user interest to acquire REO.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telephony expenses as well as depreciation and amortization of operating assets.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recognized cost of revenue of $91.8 million for the three months ended March 31, 2012, a 67% increase when compared to the three months ended March 31, 2011. Gross margin as a percentage of service revenue decreased to 44% for the three months ended March 31, 2012 compared to 47% for the three months ended March 31, 2011. Our gross margins can vary significantly from period to period. The most significant factors contributing to variability include seasonality, mix of services delivered, timing of investments in new services, hiring of staff in advance of new business and the timing of when loans are boarded by our customers. In addition, we hired higher cost staff in our Technology Services business to support the development of our next generation software. The margin decline is primarily from the comparative mix of revenue and the costs incurred associated with an increase in the number of employees in 2012 in anticipation of the loans we expect Ocwen to board through the second quarter of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9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Selling, general and administrative expenses (“SG&amp;A”) include payroll for personnel employed in executive, finance, legal, human resources, vendor management, internal audit, risk and six sigma roles. This category also includes occupancy costs, professional fees, depreciation and amortization on non-operating assets.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recognized SG&amp;A of $17.0 million for the three months ended March 31, 2012, a 5% increase when compared to the three months ended March 31, 2011. On a consolidated basis, SG&amp;A began to stabilize in 2011 even as our revenue has grown. Occupancy related costs increased approximately $3.1 million compared to the three months ended March 31, 2011 primarily from the addition of new leased facilities and equipment to support our growth. SG&amp;A was positively impacted during the three months ended March 31, 2012 by a total of $1.8 million in lower compensation expense, bad debt expense and legal fees. Income from operations as a percentage of service revenue improved from 24% for the three months ended March 31, 2011 to 28% for the three months ended March 31, 2012. The increase is from the stabilization of SG&amp;A costs on higher service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recognized an income tax provision of $2.8 million for the three months ended March 31, 2012. The income tax provision computed by applying the Luxembourg statutory tax rate of 28.8% differs from the effective tax rate primarily because of the effect of a favorable tax ruling in Luxembourg and the mix of income and losses in multiple taxing jurisdictions. Adjusting for the impact of net income attributable to non-controlling interests, the effective tax rate for the three months ended March 31, 2012 of 10.1% is consistent with the effective tax rate of 10.2% for the three months ended March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following section provides a discussion of pretax results of operations of our business segments for the three months ended March 31, 2012 and 2011. Transactions between segments are accounted for as third-party arrangements for purposes of presenting Segment Results of Operations. Intercompany transactions primarily consist of information technology infrastructure services and charges for the use of certain REALSuite applications from our Technology Service segment to our other two segments. Generally, we reflect these charges within technology and communication in the segment receiving the services, except for consulting services, which we reflect in professional services.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color w:val="auto"/>
                <w:w w:val="86"/>
              </w:rPr>
              <w:t>Three months ended March 31, 2012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180" w:type="dxa"/>
            <w:vAlign w:val="bottom"/>
            <w:gridSpan w:val="4"/>
          </w:tcPr>
          <w:p>
            <w:pPr>
              <w:jc w:val="right"/>
              <w:ind w:right="580"/>
              <w:spacing w:after="0"/>
              <w:rPr>
                <w:sz w:val="20"/>
                <w:szCs w:val="20"/>
                <w:color w:val="auto"/>
              </w:rPr>
            </w:pPr>
            <w:r>
              <w:rPr>
                <w:rFonts w:ascii="Arial" w:cs="Arial" w:eastAsia="Arial" w:hAnsi="Arial"/>
                <w:sz w:val="14"/>
                <w:szCs w:val="14"/>
                <w:color w:val="auto"/>
                <w:w w:val="97"/>
              </w:rPr>
              <w:t>Mortgage</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Financial</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Technology</w:t>
            </w:r>
          </w:p>
        </w:tc>
        <w:tc>
          <w:tcPr>
            <w:tcW w:w="900" w:type="dxa"/>
            <w:vAlign w:val="bottom"/>
            <w:gridSpan w:val="3"/>
          </w:tcPr>
          <w:p>
            <w:pPr>
              <w:ind w:left="60"/>
              <w:spacing w:after="0"/>
              <w:rPr>
                <w:sz w:val="20"/>
                <w:szCs w:val="20"/>
                <w:color w:val="auto"/>
              </w:rPr>
            </w:pPr>
            <w:r>
              <w:rPr>
                <w:rFonts w:ascii="Arial" w:cs="Arial" w:eastAsia="Arial" w:hAnsi="Arial"/>
                <w:sz w:val="14"/>
                <w:szCs w:val="14"/>
                <w:color w:val="auto"/>
              </w:rPr>
              <w:t>Items and</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6"/>
        </w:trPr>
        <w:tc>
          <w:tcPr>
            <w:tcW w:w="6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spacing w:after="0" w:line="146" w:lineRule="exact"/>
              <w:rPr>
                <w:sz w:val="20"/>
                <w:szCs w:val="20"/>
                <w:color w:val="auto"/>
              </w:rPr>
            </w:pPr>
            <w:r>
              <w:rPr>
                <w:rFonts w:ascii="Arial" w:cs="Arial" w:eastAsia="Arial" w:hAnsi="Arial"/>
                <w:sz w:val="14"/>
                <w:szCs w:val="14"/>
                <w:color w:val="auto"/>
              </w:rPr>
              <w:t>Services</w:t>
            </w:r>
          </w:p>
        </w:tc>
        <w:tc>
          <w:tcPr>
            <w:tcW w:w="920" w:type="dxa"/>
            <w:vAlign w:val="bottom"/>
            <w:gridSpan w:val="3"/>
          </w:tcPr>
          <w:p>
            <w:pPr>
              <w:jc w:val="right"/>
              <w:ind w:right="420"/>
              <w:spacing w:after="0" w:line="146" w:lineRule="exact"/>
              <w:rPr>
                <w:sz w:val="20"/>
                <w:szCs w:val="20"/>
                <w:color w:val="auto"/>
              </w:rPr>
            </w:pPr>
            <w:r>
              <w:rPr>
                <w:rFonts w:ascii="Arial" w:cs="Arial" w:eastAsia="Arial" w:hAnsi="Arial"/>
                <w:sz w:val="14"/>
                <w:szCs w:val="14"/>
                <w:color w:val="auto"/>
                <w:w w:val="89"/>
              </w:rPr>
              <w:t>Services</w:t>
            </w:r>
          </w:p>
        </w:tc>
        <w:tc>
          <w:tcPr>
            <w:tcW w:w="160" w:type="dxa"/>
            <w:vAlign w:val="bottom"/>
          </w:tcPr>
          <w:p>
            <w:pPr>
              <w:spacing w:after="0"/>
              <w:rPr>
                <w:sz w:val="14"/>
                <w:szCs w:val="14"/>
                <w:color w:val="auto"/>
              </w:rPr>
            </w:pPr>
          </w:p>
        </w:tc>
        <w:tc>
          <w:tcPr>
            <w:tcW w:w="1120" w:type="dxa"/>
            <w:vAlign w:val="bottom"/>
            <w:gridSpan w:val="3"/>
          </w:tcPr>
          <w:p>
            <w:pPr>
              <w:jc w:val="center"/>
              <w:ind w:right="500"/>
              <w:spacing w:after="0" w:line="146" w:lineRule="exact"/>
              <w:rPr>
                <w:sz w:val="20"/>
                <w:szCs w:val="20"/>
                <w:color w:val="auto"/>
              </w:rPr>
            </w:pPr>
            <w:r>
              <w:rPr>
                <w:rFonts w:ascii="Arial" w:cs="Arial" w:eastAsia="Arial" w:hAnsi="Arial"/>
                <w:sz w:val="14"/>
                <w:szCs w:val="14"/>
                <w:color w:val="auto"/>
                <w:w w:val="85"/>
              </w:rPr>
              <w:t>Services</w:t>
            </w:r>
          </w:p>
        </w:tc>
        <w:tc>
          <w:tcPr>
            <w:tcW w:w="900" w:type="dxa"/>
            <w:vAlign w:val="bottom"/>
            <w:gridSpan w:val="3"/>
          </w:tcPr>
          <w:p>
            <w:pPr>
              <w:spacing w:after="0" w:line="146" w:lineRule="exact"/>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4"/>
                <w:szCs w:val="14"/>
                <w:color w:val="auto"/>
              </w:rPr>
            </w:pPr>
          </w:p>
        </w:tc>
        <w:tc>
          <w:tcPr>
            <w:tcW w:w="920" w:type="dxa"/>
            <w:vAlign w:val="bottom"/>
            <w:gridSpan w:val="3"/>
          </w:tcPr>
          <w:p>
            <w:pPr>
              <w:jc w:val="right"/>
              <w:ind w:right="280"/>
              <w:spacing w:after="0" w:line="146" w:lineRule="exact"/>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left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79,320</w:t>
            </w: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$ 17,760</w:t>
            </w:r>
          </w:p>
        </w:tc>
        <w:tc>
          <w:tcPr>
            <w:tcW w:w="3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$ 17,022</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(5,633)</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$ 108,469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28,449</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1,892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109,661</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18,016</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17,022</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73,039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12,333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11,466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30,610</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Margins: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profit/service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N/M</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Income from operations/service revenue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N/M</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76,085</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6,627</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82,780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color w:val="auto"/>
              </w:rPr>
              <w:t>Three months ended March 31, 2011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80"/>
              <w:spacing w:after="0" w:line="131" w:lineRule="exact"/>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color w:val="auto"/>
              </w:rPr>
              <w:t>Mortgage</w:t>
            </w:r>
          </w:p>
        </w:tc>
        <w:tc>
          <w:tcPr>
            <w:tcW w:w="920" w:type="dxa"/>
            <w:vAlign w:val="bottom"/>
            <w:gridSpan w:val="3"/>
          </w:tcPr>
          <w:p>
            <w:pPr>
              <w:jc w:val="right"/>
              <w:ind w:right="360"/>
              <w:spacing w:after="0"/>
              <w:rPr>
                <w:sz w:val="20"/>
                <w:szCs w:val="20"/>
                <w:color w:val="auto"/>
              </w:rPr>
            </w:pPr>
            <w:r>
              <w:rPr>
                <w:rFonts w:ascii="Arial" w:cs="Arial" w:eastAsia="Arial" w:hAnsi="Arial"/>
                <w:sz w:val="14"/>
                <w:szCs w:val="14"/>
                <w:color w:val="auto"/>
                <w:w w:val="96"/>
              </w:rPr>
              <w:t>Financial</w:t>
            </w:r>
          </w:p>
        </w:tc>
        <w:tc>
          <w:tcPr>
            <w:tcW w:w="16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color w:val="auto"/>
                <w:w w:val="85"/>
              </w:rPr>
              <w:t>Technology</w:t>
            </w: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Items and</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6"/>
        </w:trPr>
        <w:tc>
          <w:tcPr>
            <w:tcW w:w="6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540"/>
              <w:spacing w:after="0" w:line="146" w:lineRule="exact"/>
              <w:rPr>
                <w:sz w:val="20"/>
                <w:szCs w:val="20"/>
                <w:color w:val="auto"/>
              </w:rPr>
            </w:pPr>
            <w:r>
              <w:rPr>
                <w:rFonts w:ascii="Arial" w:cs="Arial" w:eastAsia="Arial" w:hAnsi="Arial"/>
                <w:sz w:val="14"/>
                <w:szCs w:val="14"/>
                <w:color w:val="auto"/>
                <w:w w:val="96"/>
              </w:rPr>
              <w:t>Services</w:t>
            </w:r>
          </w:p>
        </w:tc>
        <w:tc>
          <w:tcPr>
            <w:tcW w:w="920" w:type="dxa"/>
            <w:vAlign w:val="bottom"/>
            <w:gridSpan w:val="3"/>
          </w:tcPr>
          <w:p>
            <w:pPr>
              <w:jc w:val="right"/>
              <w:ind w:right="380"/>
              <w:spacing w:after="0" w:line="146" w:lineRule="exact"/>
              <w:rPr>
                <w:sz w:val="20"/>
                <w:szCs w:val="20"/>
                <w:color w:val="auto"/>
              </w:rPr>
            </w:pPr>
            <w:r>
              <w:rPr>
                <w:rFonts w:ascii="Arial" w:cs="Arial" w:eastAsia="Arial" w:hAnsi="Arial"/>
                <w:sz w:val="14"/>
                <w:szCs w:val="14"/>
                <w:color w:val="auto"/>
                <w:w w:val="96"/>
              </w:rPr>
              <w:t>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85"/>
              </w:rPr>
              <w:t>Services</w:t>
            </w:r>
          </w:p>
        </w:tc>
        <w:tc>
          <w:tcPr>
            <w:tcW w:w="900" w:type="dxa"/>
            <w:vAlign w:val="bottom"/>
            <w:gridSpan w:val="3"/>
          </w:tcPr>
          <w:p>
            <w:pPr>
              <w:spacing w:after="0" w:line="146" w:lineRule="exact"/>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4"/>
                <w:szCs w:val="14"/>
                <w:color w:val="auto"/>
              </w:rPr>
            </w:pPr>
          </w:p>
        </w:tc>
        <w:tc>
          <w:tcPr>
            <w:tcW w:w="920" w:type="dxa"/>
            <w:vAlign w:val="bottom"/>
            <w:gridSpan w:val="3"/>
          </w:tcPr>
          <w:p>
            <w:pPr>
              <w:jc w:val="right"/>
              <w:ind w:right="280"/>
              <w:spacing w:after="0" w:line="146" w:lineRule="exact"/>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left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43,340</w:t>
            </w: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5"/>
              </w:rPr>
              <w:t>$ 18,920</w:t>
            </w:r>
          </w:p>
        </w:tc>
        <w:tc>
          <w:tcPr>
            <w:tcW w:w="34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$ 12,716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(3,246)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15,068</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59,707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19,493</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12,716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37,020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13,488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7,445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22,687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18,104</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18,469</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Margins: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profit/service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Income from operations/service revenue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43,810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4,951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color w:val="auto"/>
                <w:w w:val="87"/>
              </w:rPr>
              <w:t>Three Months Ended 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46"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13"/>
              <w:spacing w:after="0" w:line="146" w:lineRule="exact"/>
              <w:rPr>
                <w:sz w:val="20"/>
                <w:szCs w:val="20"/>
                <w:color w:val="auto"/>
              </w:rPr>
            </w:pPr>
            <w:r>
              <w:rPr>
                <w:rFonts w:ascii="Arial" w:cs="Arial" w:eastAsia="Arial" w:hAnsi="Arial"/>
                <w:sz w:val="14"/>
                <w:szCs w:val="14"/>
                <w:color w:val="auto"/>
                <w:w w:val="96"/>
              </w:rPr>
              <w:t>2011</w:t>
            </w:r>
          </w:p>
        </w:tc>
        <w:tc>
          <w:tcPr>
            <w:tcW w:w="520" w:type="dxa"/>
            <w:vAlign w:val="bottom"/>
          </w:tcPr>
          <w:p>
            <w:pPr>
              <w:spacing w:after="0"/>
              <w:rPr>
                <w:sz w:val="13"/>
                <w:szCs w:val="13"/>
                <w:color w:val="auto"/>
              </w:rPr>
            </w:pPr>
          </w:p>
        </w:tc>
        <w:tc>
          <w:tcPr>
            <w:tcW w:w="74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Asset management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21,141</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12,306</w:t>
            </w: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Closing and insurance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Residential property valuation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9,884</w:t>
            </w: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Default management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Origination management services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5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service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43,340</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23"/>
        </w:trPr>
        <w:tc>
          <w:tcPr>
            <w:tcW w:w="646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Asset management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13,881</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Default management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1,187</w:t>
            </w: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Closing and insurance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5640" w:type="dxa"/>
            <w:vAlign w:val="bottom"/>
          </w:tcPr>
          <w:p>
            <w:pPr>
              <w:ind w:left="60"/>
              <w:spacing w:after="0"/>
              <w:rPr>
                <w:sz w:val="20"/>
                <w:szCs w:val="20"/>
                <w:color w:val="auto"/>
              </w:rPr>
            </w:pPr>
            <w:r>
              <w:rPr>
                <w:rFonts w:ascii="Arial" w:cs="Arial" w:eastAsia="Arial" w:hAnsi="Arial"/>
                <w:sz w:val="18"/>
                <w:szCs w:val="18"/>
                <w:color w:val="auto"/>
              </w:rPr>
              <w:t>Total reimbursable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28,449</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15,068</w:t>
            </w:r>
          </w:p>
        </w:tc>
        <w:tc>
          <w:tcPr>
            <w:tcW w:w="5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640" w:type="dxa"/>
            <w:vAlign w:val="bottom"/>
          </w:tcPr>
          <w:p>
            <w:pPr>
              <w:ind w:left="6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109,661</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59,707</w:t>
            </w:r>
          </w:p>
        </w:tc>
        <w:tc>
          <w:tcPr>
            <w:tcW w:w="5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Asset management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46,976</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26,187</w:t>
            </w: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property valuation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Closing and insurance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9,115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4,751</w:t>
            </w: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Default management services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640" w:type="dxa"/>
            <w:vAlign w:val="bottom"/>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76,085</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43,810</w:t>
            </w:r>
          </w:p>
        </w:tc>
        <w:tc>
          <w:tcPr>
            <w:tcW w:w="5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Asset Management Services. </w:t>
      </w:r>
      <w:r>
        <w:rPr>
          <w:rFonts w:ascii="Arial" w:cs="Arial" w:eastAsia="Arial" w:hAnsi="Arial"/>
          <w:sz w:val="18"/>
          <w:szCs w:val="18"/>
          <w:color w:val="auto"/>
        </w:rPr>
        <w:t>The increase in asset management services reflects increased sales of REO properties, an increased number of properties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provide property preservation services and an increase in pre-foreclosure inspection services.</w:t>
      </w:r>
    </w:p>
    <w:p>
      <w:pPr>
        <w:spacing w:after="0" w:line="13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 xml:space="preserve">Closing and Insurance Services. </w:t>
      </w:r>
      <w:r>
        <w:rPr>
          <w:rFonts w:ascii="Arial" w:cs="Arial" w:eastAsia="Arial" w:hAnsi="Arial"/>
          <w:sz w:val="18"/>
          <w:szCs w:val="18"/>
          <w:color w:val="auto"/>
        </w:rPr>
        <w:t>Closing and insurance services has been the largest contributor to service revenue growth in 2012. During 2011, we</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increasing our referral capture rate, on rolling out insurance services and on expanding our title agency and other insurance services offerings. The increase in service revenue in 2012 reflects the impact of these areas of focus.</w:t>
      </w:r>
    </w:p>
    <w:p>
      <w:pPr>
        <w:spacing w:after="0" w:line="14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i w:val="1"/>
          <w:iCs w:val="1"/>
          <w:color w:val="auto"/>
        </w:rPr>
        <w:t>Residential Property Valuation</w:t>
      </w:r>
      <w:r>
        <w:rPr>
          <w:rFonts w:ascii="Arial" w:cs="Arial" w:eastAsia="Arial" w:hAnsi="Arial"/>
          <w:sz w:val="18"/>
          <w:szCs w:val="18"/>
          <w:color w:val="auto"/>
        </w:rPr>
        <w:t>. The increase was primarily a result of Ocwen’s residential loan portfolio growth and to a lesser degree results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Springhouse acquisition in April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Default Management Services. </w:t>
      </w:r>
      <w:r>
        <w:rPr>
          <w:rFonts w:ascii="Arial" w:cs="Arial" w:eastAsia="Arial" w:hAnsi="Arial"/>
          <w:sz w:val="16"/>
          <w:szCs w:val="16"/>
          <w:color w:val="auto"/>
        </w:rPr>
        <w:t>The increase was a result of our continued rollout of a national platform as well as Ocwen’s servicing portfolio growth.</w:t>
      </w:r>
    </w:p>
    <w:p>
      <w:pPr>
        <w:spacing w:after="0" w:line="194"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i w:val="1"/>
          <w:iCs w:val="1"/>
          <w:color w:val="auto"/>
        </w:rPr>
        <w:t>Origination Management Services</w:t>
      </w:r>
      <w:r>
        <w:rPr>
          <w:rFonts w:ascii="Arial" w:cs="Arial" w:eastAsia="Arial" w:hAnsi="Arial"/>
          <w:sz w:val="16"/>
          <w:szCs w:val="16"/>
          <w:color w:val="auto"/>
        </w:rPr>
        <w:t>. The increase is due to the performance of MPA and the slow but incremental roll-out of new origination services.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2012, MPA experienced a net increase of 11 members and as of March 31, 2012 had 225 members.</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Margin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 2012 and 2011:</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2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color w:val="auto"/>
                <w:w w:val="87"/>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w w:val="81"/>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gridSpan w:val="2"/>
            <w:vMerge w:val="continue"/>
          </w:tcPr>
          <w:p>
            <w:pPr>
              <w:spacing w:after="0"/>
              <w:rPr>
                <w:sz w:val="13"/>
                <w:szCs w:val="13"/>
                <w:color w:val="auto"/>
              </w:rPr>
            </w:pPr>
          </w:p>
        </w:tc>
        <w:tc>
          <w:tcPr>
            <w:tcW w:w="580" w:type="dxa"/>
            <w:vAlign w:val="bottom"/>
          </w:tcPr>
          <w:p>
            <w:pPr>
              <w:jc w:val="right"/>
              <w:ind w:right="77"/>
              <w:spacing w:after="0" w:line="146"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46" w:lineRule="exact"/>
              <w:rPr>
                <w:sz w:val="20"/>
                <w:szCs w:val="20"/>
                <w:color w:val="auto"/>
              </w:rPr>
            </w:pPr>
            <w:r>
              <w:rPr>
                <w:rFonts w:ascii="Arial" w:cs="Arial" w:eastAsia="Arial" w:hAnsi="Arial"/>
                <w:sz w:val="14"/>
                <w:szCs w:val="14"/>
                <w:color w:val="auto"/>
                <w:w w:val="96"/>
              </w:rPr>
              <w:t>2011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w w:val="86"/>
              </w:rPr>
              <w:t>/(worse)</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$13,438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26,577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13,675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580" w:type="dxa"/>
            <w:vAlign w:val="bottom"/>
          </w:tcPr>
          <w:p>
            <w:pPr>
              <w:jc w:val="right"/>
              <w:spacing w:after="0"/>
              <w:rPr>
                <w:sz w:val="20"/>
                <w:szCs w:val="20"/>
                <w:color w:val="auto"/>
              </w:rPr>
            </w:pPr>
            <w:r>
              <w:rPr>
                <w:rFonts w:ascii="Arial" w:cs="Arial" w:eastAsia="Arial" w:hAnsi="Arial"/>
                <w:sz w:val="18"/>
                <w:szCs w:val="18"/>
                <w:color w:val="auto"/>
              </w:rPr>
              <w:t>4,312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2"/>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Cost of revenue</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73,039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37,020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Cost of revenue increased due to investments in personnel and vendor costs to support the increase in Ocwen’s residential loan servicing portfolio, costs incurred in anticipation of the boarding of loans by Ocwen as well as the development of new mortgage and real estate portfolio management services.</w:t>
      </w:r>
    </w:p>
    <w:p>
      <w:pPr>
        <w:spacing w:after="0" w:line="85"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Gross profit as a percentage of service revenue declined from 52% for the three months ended March 31, 2011 to 46% for the three months ended March 31, 2012. The most significant factors impacting gross profit margins as a percent of service revenue were the mix of services provided and increased personnel and technology expenses. The increase in personnel costs in 2012 is partially in anticipation of the boarding of loans by Ocwen. The boardings are expected to occur through the second quarter 2012. In addition, we continued to invest in personnel to develop our newer services including insurance and origination services.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been able to generally maintain our margins in a period of accelerated growth, over time we will seek to reduce employee and vendor costs as a percent of service revenue principally through deployment of our next generation vendor, process and payment management technologies beginning in the second half of 2012 and continuing through 2013.</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margins can vary substantially based upon when servicing is acquired by Ocwen. Typically, compensation and benefits will increase in anticipation of an acquisition as we hire and train personnel to deliver services in advance of the actual boarding of loans. Subsequently, as new loans are boarded, for the first couple of months post boarding, we tend to deliver an elevated level of valuations and pre-foreclosure services for which we incur substantially more outside fees and services when compared to asset management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Operating Income</w:t>
      </w:r>
    </w:p>
    <w:p>
      <w:pPr>
        <w:spacing w:after="0" w:line="9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SG&amp;A increased principally due to segment growth which required an increase in leased facilities and related occupancy costs. SG&amp;A as a percentage of service revenue improved from 11% for the three months ended March 31, 2011 to 7% for the three months ended March 31, 2012 based on the relatively stable nature of some of these costs. However, income from operations as a percentage of service revenue declined from 42% for the three months ended March 31, 2011 to 39% for the three months ended March 31, 2012 due to the lower gross profit percentage discussed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w w:val="87"/>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9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line="145" w:lineRule="exact"/>
              <w:rPr>
                <w:sz w:val="20"/>
                <w:szCs w:val="20"/>
                <w:color w:val="auto"/>
              </w:rPr>
            </w:pPr>
            <w:r>
              <w:rPr>
                <w:rFonts w:ascii="Arial" w:cs="Arial" w:eastAsia="Arial" w:hAnsi="Arial"/>
                <w:sz w:val="14"/>
                <w:szCs w:val="14"/>
                <w:color w:val="auto"/>
                <w:w w:val="85"/>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line="146"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line="146" w:lineRule="exact"/>
              <w:rPr>
                <w:sz w:val="20"/>
                <w:szCs w:val="20"/>
                <w:color w:val="auto"/>
              </w:rPr>
            </w:pPr>
            <w:r>
              <w:rPr>
                <w:rFonts w:ascii="Arial" w:cs="Arial" w:eastAsia="Arial" w:hAnsi="Arial"/>
                <w:sz w:val="14"/>
                <w:szCs w:val="14"/>
                <w:color w:val="auto"/>
                <w:w w:val="96"/>
              </w:rPr>
              <w:t>2011</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line="146"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90"/>
        </w:trPr>
        <w:tc>
          <w:tcPr>
            <w:tcW w:w="6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Service Revenue:</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Asset recovery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9,150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10,904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Customer relationship management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Total service revenue</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17,760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18,920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Asset recovery management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reimbursable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Total Revenue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18,016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19,493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Asset recovery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Financial Services revenue declined in the first quarter of 2012 over the comparable 2011 period due to a decline in asset recovery management, primarily associated with one of the segment’s largest customers. The decline was primarily due to the shift of existing services to a lower cost geography with corresponding lower fees from our customers for these services and a modest decline in total placements as a result of lower credit card delinquencies. Our global delivery platform consists of highly trained specialists in various geographic regions. The use of specialists in certain countries may result in lower commission rates paid by clients but results in higher margins principally due to the lower employee cost structure. The revenue decline in asset recovery management was partially offset by growth in new asset recovery management accounts, which drove an increase in associated revenues, and growth in our customer relationship management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 revenue tends to be higher in the first quarter as borrowers utilize tax refunds to pay debts.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Margin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 2012 and 2011:</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w w:val="87"/>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w w:val="81"/>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7"/>
              <w:spacing w:after="0" w:line="146"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46" w:lineRule="exact"/>
              <w:rPr>
                <w:sz w:val="20"/>
                <w:szCs w:val="20"/>
                <w:color w:val="auto"/>
              </w:rPr>
            </w:pPr>
            <w:r>
              <w:rPr>
                <w:rFonts w:ascii="Arial" w:cs="Arial" w:eastAsia="Arial" w:hAnsi="Arial"/>
                <w:sz w:val="14"/>
                <w:szCs w:val="14"/>
                <w:color w:val="auto"/>
                <w:w w:val="96"/>
              </w:rPr>
              <w:t>2011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w w:val="86"/>
              </w:rPr>
              <w:t>/(worse)</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30"/>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Cost of revenue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12,333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13,488</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July 2011, we purchased the assembled workforce of a sub-contractor in India that performs asset recovery services. For periods prior to the acquisition, the costs paid to the sub-contractor were included in outside fees and services ($2.0 million for the three months ended March 31, 2011). Since the acquisition, the costs have been recorded according to the nature of the expenses and included in compensation and benefits and technology and communications expenses (included in cost of revenue above) or occupancy related costs and other (included in SG&amp;A below).</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 as a percentage of service revenue remained flat in 2012 when compared to the 2011 period as we have actively worked to manage our cost structure in a declining revenue environment. Throughout 2012, management will strive to execute on cost saving initiatives and focus on increasing revenue per collector.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Operating Income</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SG&amp;A decreased principally as a result of decreased depreciation and amortization (related to assets no longer utilized by this segment) and reduced legal costs (included in occupancy related costs and other). As a result, income from operations as a percentage of service revenue increased from 8% in the three months ended March 31, 2011 to 10% for the three months ended March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w w:val="86"/>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w w:val="85"/>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7"/>
              <w:spacing w:after="0" w:line="146" w:lineRule="exact"/>
              <w:rPr>
                <w:sz w:val="20"/>
                <w:szCs w:val="20"/>
                <w:color w:val="auto"/>
              </w:rPr>
            </w:pPr>
            <w:r>
              <w:rPr>
                <w:rFonts w:ascii="Arial" w:cs="Arial" w:eastAsia="Arial" w:hAnsi="Arial"/>
                <w:sz w:val="14"/>
                <w:szCs w:val="14"/>
                <w:color w:val="auto"/>
              </w:rPr>
              <w:t>2012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5"/>
              <w:spacing w:after="0" w:line="146" w:lineRule="exact"/>
              <w:rPr>
                <w:sz w:val="20"/>
                <w:szCs w:val="20"/>
                <w:color w:val="auto"/>
              </w:rPr>
            </w:pPr>
            <w:r>
              <w:rPr>
                <w:rFonts w:ascii="Arial" w:cs="Arial" w:eastAsia="Arial" w:hAnsi="Arial"/>
                <w:sz w:val="14"/>
                <w:szCs w:val="14"/>
                <w:color w:val="auto"/>
              </w:rPr>
              <w:t>2011</w:t>
            </w:r>
          </w:p>
        </w:tc>
        <w:tc>
          <w:tcPr>
            <w:tcW w:w="520" w:type="dxa"/>
            <w:vAlign w:val="bottom"/>
          </w:tcPr>
          <w:p>
            <w:pPr>
              <w:spacing w:after="0"/>
              <w:rPr>
                <w:sz w:val="13"/>
                <w:szCs w:val="13"/>
                <w:color w:val="auto"/>
              </w:rPr>
            </w:pPr>
          </w:p>
        </w:tc>
        <w:tc>
          <w:tcPr>
            <w:tcW w:w="58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w w:val="86"/>
              </w:rPr>
              <w:t>/(worse)</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REALSuite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8,156</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 infrastructure services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17,022</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12,716</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REALSuite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3,887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3,005</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 infrastructure services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20" w:type="dxa"/>
            <w:vAlign w:val="bottom"/>
          </w:tcPr>
          <w:p>
            <w:pPr>
              <w:spacing w:after="0"/>
              <w:rPr>
                <w:sz w:val="24"/>
                <w:szCs w:val="24"/>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4,951</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increase in REALSuite revenue in 2012 is primarily attributable to the growth in Ocwen’s residential loan servicing portfolio and an increase in providing flood certification services to the MPA members. We began offering flood certification services in the beginning of 2011. To a lesser extent, the increase is also driven by REALTrans and REALRemit revenue provided to our Mortgage Services segment due to its growth.</w:t>
      </w:r>
    </w:p>
    <w:p>
      <w:pPr>
        <w:spacing w:after="0" w:line="10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increase in IT infrastructure services revenue in 2012 is due to growth in both our and Ocwen’s operations. IT infrastructure services are billed on a cost plus basis. As such, the increase in cost to support headcount growth in both companies resulted in a corresponding increase in revenue in the Technology Services segment. We have been able to effectively manage expenses, however, by producing services at a lower cost per employee in 2012 compared with 2011.</w:t>
      </w:r>
    </w:p>
    <w:p>
      <w:pPr>
        <w:spacing w:after="0" w:line="8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services provided to our other segments are eliminated in consolidation but are included as revenue in Technology Services and as a component of technology and communications expense in our other segments for segment presentation purposes.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Margin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 2012 and 2011:</w:t>
      </w: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7"/>
          </w:tcPr>
          <w:p>
            <w:pPr>
              <w:jc w:val="right"/>
              <w:ind w:right="58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45"/>
        </w:trPr>
        <w:tc>
          <w:tcPr>
            <w:tcW w:w="4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93"/>
              </w:rPr>
              <w:t>% Better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gridSpan w:val="2"/>
            <w:vMerge w:val="continue"/>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78"/>
              <w:spacing w:after="0" w:line="146"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96"/>
              <w:spacing w:after="0" w:line="146" w:lineRule="exact"/>
              <w:rPr>
                <w:sz w:val="20"/>
                <w:szCs w:val="20"/>
                <w:color w:val="auto"/>
              </w:rPr>
            </w:pPr>
            <w:r>
              <w:rPr>
                <w:rFonts w:ascii="Arial" w:cs="Arial" w:eastAsia="Arial" w:hAnsi="Arial"/>
                <w:sz w:val="14"/>
                <w:szCs w:val="14"/>
                <w:color w:val="auto"/>
                <w:w w:val="89"/>
              </w:rPr>
              <w:t>2011</w:t>
            </w:r>
          </w:p>
        </w:tc>
        <w:tc>
          <w:tcPr>
            <w:tcW w:w="440" w:type="dxa"/>
            <w:vAlign w:val="bottom"/>
          </w:tcPr>
          <w:p>
            <w:pPr>
              <w:spacing w:after="0"/>
              <w:rPr>
                <w:sz w:val="13"/>
                <w:szCs w:val="13"/>
                <w:color w:val="auto"/>
              </w:rPr>
            </w:pPr>
          </w:p>
        </w:tc>
        <w:tc>
          <w:tcPr>
            <w:tcW w:w="68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w w:val="94"/>
              </w:rPr>
              <w:t>/(worse)</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11,466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Cost of revenue increased in 2012 due to the hiring of more expensive personnel to support the development of our next generation REALSuite software, our investment in the disaster recovery technology and technology and communications costs from the addition of new facilities and expansion of bandwidth at existing facilities. Vendor costs and licensing fees for software also increased in line with the growth of Ocwen and our operations. We expect cost of revenue in the Technology Services segment to increase as we continue to invest in personnel to support our development initiatives.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Outside fees and services increased in 2012 associated with the increase in providing flood certification services as described in the revenue section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Operating Income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SG&amp;A increased in 2012 as compared to 2011 primarily due to an increase in occupancy costs as well as a loss on disposal of assets. This, along with the decline in the gross profit margin, resulted in a decrease in income from operations as a percentage of service revenue from 32% for the three months ended March 31, 2011 to 22% for the three months ended March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Corporate segment includes costs related to corporate support functions such as finance, legal, human resources, compliance, internal audit, risk and quality assurance.</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Corporate costs declined in 2012 as compared to 2011 principally due to incentive compensation and equity-based compensation expense related to the departure of an Executive Officer in March 2012. Partially offsetting these decreases were increased base compensation cost from new employees and increased lease costs related to the build out of new facilities to support our growth. We reflect initial lease costs in our corporate segment until the facilities reach a certain level of occupancy by the business operations, at which time the cost is reflected in the respective business unit’s financial statements.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elimination of intercompany revenue was larger due to growth in our operations year over year. These transactions primarily consist of information technology infrastructure services as well as charges for the use of certain REALSuite applications from our Technology Service segment to our other two segments. While the expenses are recognized in the Mortgage Services and Financial Services segments above, the elimination of these expenses are reflected in Corporate Items and Eliminations.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seek to deploy excess cash generated in a disciplined manner. Principally, we will continue to reinvest excess cash in developing compelling services that we believe will generate high margins in line with our core capabilities. In addition, we may seek to acquire a limited number of complementary companies that fit our strategic objectives. Finally, given the tax inefficiency of dividends, the low returns earned on cash held and our current belief to pursue a limited number of acquisitions, we believe one of the best ways to return value to shareholders is a stock repurchase program to reduce the number of outstanding shares and to mitigate potential future dilution from the exercise of share based awards. We execute on our buyback plan when we believe the market price provides a good return on investment.</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2010, our shareholders authorized us to purchase up to 3.8 million shares of our common stock in the open market. Through March 31, 2012, we purchased 2.5 million shares of our common stock on the open market at an average price of $37.49 per share (with 0.3 million shares of common stock purchased during the three months ended March 31, 2012 at an average price of $63.25 per share), leaving 1.2 million shares still available for purchase under the program.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color w:val="auto"/>
                <w:w w:val="84"/>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260" w:type="dxa"/>
            <w:vAlign w:val="bottom"/>
            <w:vMerge w:val="restart"/>
          </w:tcPr>
          <w:p>
            <w:pPr>
              <w:spacing w:after="0"/>
              <w:rPr>
                <w:sz w:val="20"/>
                <w:szCs w:val="20"/>
                <w:color w:val="auto"/>
              </w:rPr>
            </w:pPr>
            <w:r>
              <w:rPr>
                <w:rFonts w:ascii="Arial" w:cs="Arial" w:eastAsia="Arial" w:hAnsi="Arial"/>
                <w:sz w:val="14"/>
                <w:szCs w:val="14"/>
                <w:i w:val="1"/>
                <w:iCs w:val="1"/>
                <w:color w:val="auto"/>
                <w:w w:val="92"/>
              </w:rPr>
              <w:t>(dollars in thousands)</w:t>
            </w:r>
          </w:p>
        </w:tc>
        <w:tc>
          <w:tcPr>
            <w:tcW w:w="54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Arial" w:cs="Arial" w:eastAsia="Arial" w:hAnsi="Arial"/>
                <w:sz w:val="14"/>
                <w:szCs w:val="14"/>
                <w:color w:val="auto"/>
                <w:w w:val="85"/>
              </w:rPr>
              <w:t>% Better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260" w:type="dxa"/>
            <w:vAlign w:val="bottom"/>
            <w:tcBorders>
              <w:bottom w:val="single" w:sz="8" w:color="auto"/>
            </w:tcBorders>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640" w:type="dxa"/>
            <w:vAlign w:val="bottom"/>
            <w:gridSpan w:val="2"/>
          </w:tcPr>
          <w:p>
            <w:pPr>
              <w:jc w:val="right"/>
              <w:ind w:right="95"/>
              <w:spacing w:after="0" w:line="146"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92"/>
              <w:spacing w:after="0" w:line="146" w:lineRule="exact"/>
              <w:rPr>
                <w:sz w:val="20"/>
                <w:szCs w:val="20"/>
                <w:color w:val="auto"/>
              </w:rPr>
            </w:pPr>
            <w:r>
              <w:rPr>
                <w:rFonts w:ascii="Arial" w:cs="Arial" w:eastAsia="Arial" w:hAnsi="Arial"/>
                <w:sz w:val="14"/>
                <w:szCs w:val="14"/>
                <w:color w:val="auto"/>
              </w:rPr>
              <w:t>2011</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w w:val="86"/>
              </w:rPr>
              <w:t>/(worse)</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adjusted for non-cash items</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$ 31,923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$ 21,627</w:t>
            </w: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(4,151)</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(5,028)</w:t>
            </w:r>
          </w:p>
        </w:tc>
        <w:tc>
          <w:tcPr>
            <w:tcW w:w="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(16,154)</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(2,645)</w:t>
            </w: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(17,077)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(9,764)</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line="20" w:lineRule="exact"/>
              <w:rPr>
                <w:sz w:val="1"/>
                <w:szCs w:val="1"/>
                <w:color w:val="auto"/>
              </w:rPr>
            </w:pPr>
          </w:p>
        </w:tc>
      </w:tr>
      <w:tr>
        <w:trPr>
          <w:trHeight w:val="222"/>
        </w:trPr>
        <w:tc>
          <w:tcPr>
            <w:tcW w:w="67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(5,459)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4,190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$ 26,666</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$ 26,324</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Cash flows from operating activities are generally the cash effects of transactions and events that enter into the determination of net income. In 2012, we generated $27.8 million of positive cash flow from operations, or approximately $0.26 per every dollar of service revenue compared to $16.6 million of positive cash flow from operations or approximately $0.23 per every dollar of service revenue in 2011. Cash flows from operating activities increased by $11.2 million in the three months ended March 31, 2012 compared to the three months ended March 31, 2011 primarily from the increase in net income. The improvement in cash flow from operations per service revenue dollar when compared to the first quarter of 2011 is primarily from our management of working capital levels.</w:t>
      </w:r>
    </w:p>
    <w:p>
      <w:pPr>
        <w:spacing w:after="0" w:line="1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periods of growth, operating cash flow per service revenue dollar can be negatively impacted because of the nature of some of our services. Certain services are performed immediately following or shortly after the referral, but the collection of the receivable doesn’t occur until a specific event occurs (i.e., the foreclosure is complete, the REO asset is sold, etc.). As we continue to grow, our receivables will also grow, and our cash flows from operations may be negatively impacted in the short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flows from investing activities in 2012 reflect capital expenditures related to disaster recovery and capital expenditures to support our growth. We estimate our capital expenditures for the full year 2012 to be approximately $40.0 million. Of this amount, we expect to invest a total of approximately $15 million for a new disaster recovery center.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 from financing activities in both periods primarily includes activity associated with stock option exercises, share repurchases and payments to non-controlling interests. We utilized significantly more cash in 2012 from financing activities as a result of our stock repurchase program. For the three months ended March 31, 2012 and 2011, we repurchased $16.8 million and $7.2 million, respectively, of our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March 31, 2012</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began limiting our repurchase of treasury shares in the first quarter and plan to continue this during the second quarter of 2012 in anticipation of cash needed to execute on our growth plans (see “Plans for Growth” in the overview section of this MD&amp;A). We intend to resume repurchasing our shares in the third quarter. We believe we have adequate access to both debt and equity capital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we expect to distribute $2.7 million to the Lenders One members representing non-controlling interests.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months ended March 31, 2012, there were no significant changes to our contractual obligations from those identified in our Form 10-K for the fiscal year ended December 31, 2011, other than those which occur in the normal course of business (primarily the addition of operating leases due to our growth). See also Note 15 to the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critical accounting policies are described in the MD&amp;A section in our Form 10-K for the year ended December 31, 2011. Such policies have not changed during the quarter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For the three months ended March 31, 2012, we generated $76.1 million of Mortgage Services, $0.1 million of Financial Services and $6.6 million of Technology Services segment revenue from Ocwen. Services provided to Ocwen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technologies including our REALSuite of products. We provided all services at rates we believe to be comparable to market rates.</w:t>
      </w:r>
    </w:p>
    <w:p>
      <w:pPr>
        <w:spacing w:after="0" w:line="9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the three months ended March 31, 2012 and 2011, we billed Ocwen $0.8 million and $0.4 million respectively, and Ocwen billed us $0.6 million and $0.4 million respectively for services provided under the Transition Services Agreements. These amounts are reflected as a component of SG&amp;A in the Condensed Consolidated Statements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2012, we billed Correspondent One less than $0.1 million under a services agreement (no comparative 2011 amount).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2012, we billed HLSS less than $0.1 million under a services agreement (no comparative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reflected as a component of SG&amp;A in the Condensed Consolidated Statements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Our financial market risk consists primarily of foreign currency exchange risk. We are exposed to foreign currency exchange rate risk in connection with our investment in non-U.S. dollar functional currency operations, which are very limited, to the extent that our foreign exchange positions remain un-hedged.</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90" w:lineRule="exact"/>
        <w:rPr>
          <w:rFonts w:ascii="Arial" w:cs="Arial" w:eastAsia="Arial" w:hAnsi="Arial"/>
          <w:sz w:val="18"/>
          <w:szCs w:val="18"/>
          <w:i w:val="1"/>
          <w:iCs w:val="1"/>
          <w:color w:val="auto"/>
        </w:rPr>
      </w:pPr>
    </w:p>
    <w:p>
      <w:pPr>
        <w:ind w:left="46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Our Chief Executive Officer and Chief Financial Officer have evaluated the effectiveness of our disclosure controls and procedures (as defined in 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239"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90" w:lineRule="exact"/>
        <w:rPr>
          <w:rFonts w:ascii="Arial" w:cs="Arial" w:eastAsia="Arial" w:hAnsi="Arial"/>
          <w:sz w:val="18"/>
          <w:szCs w:val="18"/>
          <w:i w:val="1"/>
          <w:iCs w:val="1"/>
          <w:color w:val="auto"/>
        </w:rPr>
      </w:pPr>
    </w:p>
    <w:p>
      <w:pPr>
        <w:ind w:left="460" w:right="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March 31, 2012, that have materially affected, or are reasonably likely to materially affect, our internal control over financial reporting.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routine litigation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purchased by 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2012:</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7"/>
              </w:rPr>
              <w:t>Total number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of shares</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purchased as</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part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7"/>
              </w:rPr>
              <w:t>Weighted</w:t>
            </w:r>
          </w:p>
        </w:tc>
        <w:tc>
          <w:tcPr>
            <w:tcW w:w="3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publicly</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82"/>
              </w:rPr>
              <w:t>average</w:t>
            </w: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announced</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under the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auto"/>
                <w:w w:val="76"/>
              </w:rPr>
              <w:t>shares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2"/>
              <w:spacing w:after="0" w:line="133" w:lineRule="exact"/>
              <w:rPr>
                <w:sz w:val="20"/>
                <w:szCs w:val="20"/>
                <w:color w:val="auto"/>
              </w:rPr>
            </w:pPr>
            <w:r>
              <w:rPr>
                <w:rFonts w:ascii="Arial" w:cs="Arial" w:eastAsia="Arial" w:hAnsi="Arial"/>
                <w:sz w:val="14"/>
                <w:szCs w:val="14"/>
                <w:color w:val="auto"/>
                <w:w w:val="85"/>
              </w:rPr>
              <w:t>price paid</w:t>
            </w:r>
          </w:p>
        </w:tc>
        <w:tc>
          <w:tcPr>
            <w:tcW w:w="3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color w:val="auto"/>
                <w:w w:val="89"/>
              </w:rPr>
              <w:t>plans</w:t>
            </w: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88"/>
              </w:rPr>
              <w:t>plans or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Period</w:t>
            </w:r>
          </w:p>
        </w:tc>
        <w:tc>
          <w:tcPr>
            <w:tcW w:w="3040" w:type="dxa"/>
            <w:vAlign w:val="bottom"/>
          </w:tcPr>
          <w:p>
            <w:pPr>
              <w:spacing w:after="0"/>
              <w:rPr>
                <w:sz w:val="15"/>
                <w:szCs w:val="15"/>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2"/>
                <w:szCs w:val="12"/>
                <w:color w:val="auto"/>
                <w:w w:val="96"/>
              </w:rPr>
              <w:t>purchased</w:t>
            </w:r>
            <w:r>
              <w:rPr>
                <w:rFonts w:ascii="Arial" w:cs="Arial" w:eastAsia="Arial" w:hAnsi="Arial"/>
                <w:sz w:val="18"/>
                <w:szCs w:val="18"/>
                <w:color w:val="auto"/>
                <w:w w:val="96"/>
                <w:vertAlign w:val="superscript"/>
              </w:rPr>
              <w:t>(1)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2"/>
              <w:spacing w:after="0"/>
              <w:rPr>
                <w:sz w:val="20"/>
                <w:szCs w:val="20"/>
                <w:color w:val="auto"/>
              </w:rPr>
            </w:pPr>
            <w:r>
              <w:rPr>
                <w:rFonts w:ascii="Arial" w:cs="Arial" w:eastAsia="Arial" w:hAnsi="Arial"/>
                <w:sz w:val="14"/>
                <w:szCs w:val="14"/>
                <w:color w:val="auto"/>
                <w:w w:val="81"/>
              </w:rPr>
              <w:t>per share</w:t>
            </w:r>
          </w:p>
        </w:tc>
        <w:tc>
          <w:tcPr>
            <w:tcW w:w="320" w:type="dxa"/>
            <w:vAlign w:val="bottom"/>
          </w:tcPr>
          <w:p>
            <w:pPr>
              <w:spacing w:after="0"/>
              <w:rPr>
                <w:sz w:val="15"/>
                <w:szCs w:val="15"/>
                <w:color w:val="auto"/>
              </w:rPr>
            </w:pPr>
          </w:p>
        </w:tc>
        <w:tc>
          <w:tcPr>
            <w:tcW w:w="1140" w:type="dxa"/>
            <w:vAlign w:val="bottom"/>
            <w:gridSpan w:val="2"/>
          </w:tcPr>
          <w:p>
            <w:pPr>
              <w:jc w:val="center"/>
              <w:ind w:right="320"/>
              <w:spacing w:after="0" w:line="162" w:lineRule="exact"/>
              <w:rPr>
                <w:sz w:val="20"/>
                <w:szCs w:val="20"/>
                <w:color w:val="auto"/>
              </w:rPr>
            </w:pPr>
            <w:r>
              <w:rPr>
                <w:rFonts w:ascii="Arial" w:cs="Arial" w:eastAsia="Arial" w:hAnsi="Arial"/>
                <w:sz w:val="12"/>
                <w:szCs w:val="12"/>
                <w:color w:val="auto"/>
                <w:w w:val="98"/>
              </w:rPr>
              <w:t>or programs</w:t>
            </w:r>
            <w:r>
              <w:rPr>
                <w:rFonts w:ascii="Arial" w:cs="Arial" w:eastAsia="Arial" w:hAnsi="Arial"/>
                <w:sz w:val="18"/>
                <w:szCs w:val="18"/>
                <w:color w:val="auto"/>
                <w:w w:val="98"/>
                <w:vertAlign w:val="superscript"/>
              </w:rPr>
              <w:t>(2)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programs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Common shares:</w:t>
            </w:r>
          </w:p>
        </w:tc>
        <w:tc>
          <w:tcPr>
            <w:tcW w:w="30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January 1 – 31, 2012</w:t>
            </w:r>
          </w:p>
        </w:tc>
        <w:tc>
          <w:tcPr>
            <w:tcW w:w="3040" w:type="dxa"/>
            <w:vAlign w:val="bottom"/>
          </w:tcPr>
          <w:p>
            <w:pPr>
              <w:spacing w:after="0"/>
              <w:rPr>
                <w:sz w:val="18"/>
                <w:szCs w:val="18"/>
                <w:color w:val="auto"/>
              </w:rPr>
            </w:pPr>
          </w:p>
        </w:tc>
        <w:tc>
          <w:tcPr>
            <w:tcW w:w="78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February 1 – 29, 2012</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March 1 – 31, 2012</w:t>
            </w:r>
          </w:p>
        </w:tc>
        <w:tc>
          <w:tcPr>
            <w:tcW w:w="30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60.45</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1,240,775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3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1,240,775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7" w:lineRule="exact"/>
        <w:rPr>
          <w:rFonts w:ascii="Arial" w:cs="Arial" w:eastAsia="Arial" w:hAnsi="Arial"/>
          <w:sz w:val="22"/>
          <w:szCs w:val="22"/>
          <w:color w:val="auto"/>
          <w:vertAlign w:val="superscript"/>
        </w:rPr>
      </w:pPr>
    </w:p>
    <w:p>
      <w:pPr>
        <w:ind w:left="460" w:hanging="452"/>
        <w:spacing w:after="0" w:line="207" w:lineRule="auto"/>
        <w:tabs>
          <w:tab w:leader="none" w:pos="46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color w:val="auto"/>
        </w:rPr>
        <w:t>In the second quarter of 2010, our shareholders authorized us to purchase up to 3.8 million shares of our common stock in the open market.</w:t>
      </w:r>
    </w:p>
    <w:p>
      <w:pPr>
        <w:spacing w:after="0" w:line="27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 xml:space="preserve">Defaults upon Senior Securities. </w:t>
      </w:r>
      <w:r>
        <w:rPr>
          <w:rFonts w:ascii="Arial" w:cs="Arial" w:eastAsia="Arial" w:hAnsi="Arial"/>
          <w:sz w:val="15"/>
          <w:szCs w:val="15"/>
          <w:color w:val="auto"/>
        </w:rPr>
        <w:t>None</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 xml:space="preserve">Mine Safety Disclosures. </w:t>
      </w:r>
      <w:r>
        <w:rPr>
          <w:rFonts w:ascii="Arial" w:cs="Arial" w:eastAsia="Arial" w:hAnsi="Arial"/>
          <w:sz w:val="15"/>
          <w:szCs w:val="15"/>
          <w:color w:val="auto"/>
        </w:rPr>
        <w:t>Not Applicable</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 xml:space="preserve">Other Information. </w:t>
      </w:r>
      <w:r>
        <w:rPr>
          <w:rFonts w:ascii="Arial" w:cs="Arial" w:eastAsia="Arial" w:hAnsi="Arial"/>
          <w:sz w:val="16"/>
          <w:szCs w:val="16"/>
          <w:color w:val="auto"/>
        </w:rPr>
        <w:t>None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4" w:lineRule="exact"/>
        <w:rPr>
          <w:sz w:val="20"/>
          <w:szCs w:val="20"/>
          <w:color w:val="auto"/>
        </w:rPr>
      </w:pPr>
    </w:p>
    <w:p>
      <w:pPr>
        <w:ind w:left="820" w:right="400" w:hanging="809"/>
        <w:spacing w:after="0" w:line="332"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Separation Agreement dated February 22, 2012 between Altisource Portfolio Solutions S.à r.l., Altisource Portfolio Solutions S.A. and Robert D. Stiles (incorporated by reference to Exhibit 10.1 to the Company’s 8-K as filed with the Commission on February 23, 2012)</w:t>
      </w:r>
    </w:p>
    <w:p>
      <w:pPr>
        <w:spacing w:after="0" w:line="31" w:lineRule="exact"/>
        <w:rPr>
          <w:sz w:val="20"/>
          <w:szCs w:val="20"/>
          <w:color w:val="auto"/>
        </w:rPr>
      </w:pPr>
    </w:p>
    <w:p>
      <w:pPr>
        <w:ind w:left="820" w:right="20" w:hanging="809"/>
        <w:spacing w:after="0" w:line="26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dated March 13, 2012 between Altisource Portfolio Solutions S.à r.l. and Michelle D. Esterman (incorporated by reference to Exhibit 10.1 to the Company’s 8-K as filed with the Commission on March 16, 2012)</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(filed herewith)</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(filed herewith)</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the Chief Executive Officer and Chief Financial Officer pursuant to Section 906 of the Sarbanes-Oxley Act of 2002 (filed herewith)</w:t>
      </w:r>
    </w:p>
    <w:p>
      <w:pPr>
        <w:spacing w:after="0" w:line="117" w:lineRule="exact"/>
        <w:rPr>
          <w:sz w:val="20"/>
          <w:szCs w:val="20"/>
          <w:color w:val="auto"/>
        </w:rPr>
      </w:pPr>
    </w:p>
    <w:p>
      <w:pPr>
        <w:ind w:left="820" w:hanging="812"/>
        <w:spacing w:after="0" w:line="25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405 of Regulation S-T, the following financial information from the Company’s Quarterly Report on Form 10-Q for the period ended March 31, 2012, is formatted in XBRL interactive data files: (i) Condensed Consolidated Balance Sheets as of March 31, 2012 and December 31, 2011; (ii) Condensed Consolidated Statements of Operations for the three and three months ended March 31, 2012 and 2011; (iii) Condensed Consolidated Statements of Equity for the three months ended March 31, 2012 and 2011; (iv) Condensed Consolidated Statements of Cash Flows for the three months ended March 31, 2012 and 2011; and (iv) Notes to Condensed Consolidated Financial Statements (As provided in Rule 406T of Regulation S-T, this information is furnished and not filed for purposes of Sections 11 and 12 of the Securities Act of 1933 and Section 18 of the Securities Act of 1934)</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700" w:type="dxa"/>
            <w:vAlign w:val="bottom"/>
            <w:gridSpan w:val="2"/>
          </w:tcPr>
          <w:p>
            <w:pPr>
              <w:jc w:val="center"/>
              <w:ind w:right="2632"/>
              <w:spacing w:after="0"/>
              <w:rPr>
                <w:sz w:val="20"/>
                <w:szCs w:val="20"/>
                <w:color w:val="auto"/>
              </w:rPr>
            </w:pPr>
            <w:r>
              <w:rPr>
                <w:rFonts w:ascii="Arial" w:cs="Arial" w:eastAsia="Arial" w:hAnsi="Arial"/>
                <w:sz w:val="18"/>
                <w:szCs w:val="18"/>
                <w:color w:val="auto"/>
                <w:w w:val="92"/>
              </w:rPr>
              <w:t>ALTISOURCE PORTFOLIO SOLUTIONS S.A.</w:t>
            </w:r>
          </w:p>
        </w:tc>
      </w:tr>
      <w:tr>
        <w:trPr>
          <w:trHeight w:val="222"/>
        </w:trPr>
        <w:tc>
          <w:tcPr>
            <w:tcW w:w="2720" w:type="dxa"/>
            <w:vAlign w:val="bottom"/>
          </w:tcPr>
          <w:p>
            <w:pPr>
              <w:spacing w:after="0"/>
              <w:rPr>
                <w:sz w:val="19"/>
                <w:szCs w:val="19"/>
                <w:color w:val="auto"/>
              </w:rPr>
            </w:pPr>
          </w:p>
        </w:tc>
        <w:tc>
          <w:tcPr>
            <w:tcW w:w="8700" w:type="dxa"/>
            <w:vAlign w:val="bottom"/>
            <w:gridSpan w:val="2"/>
          </w:tcPr>
          <w:p>
            <w:pPr>
              <w:jc w:val="center"/>
              <w:ind w:right="2612"/>
              <w:spacing w:after="0"/>
              <w:rPr>
                <w:sz w:val="20"/>
                <w:szCs w:val="20"/>
                <w:color w:val="auto"/>
              </w:rPr>
            </w:pPr>
            <w:r>
              <w:rPr>
                <w:rFonts w:ascii="Arial" w:cs="Arial" w:eastAsia="Arial" w:hAnsi="Arial"/>
                <w:sz w:val="18"/>
                <w:szCs w:val="18"/>
                <w:color w:val="auto"/>
                <w:w w:val="89"/>
              </w:rPr>
              <w:t>(Registrant)</w:t>
            </w:r>
          </w:p>
        </w:tc>
      </w:tr>
      <w:tr>
        <w:trPr>
          <w:trHeight w:val="420"/>
        </w:trPr>
        <w:tc>
          <w:tcPr>
            <w:tcW w:w="2720" w:type="dxa"/>
            <w:vAlign w:val="bottom"/>
          </w:tcPr>
          <w:p>
            <w:pPr>
              <w:spacing w:after="0"/>
              <w:rPr>
                <w:sz w:val="20"/>
                <w:szCs w:val="20"/>
                <w:color w:val="auto"/>
              </w:rPr>
            </w:pPr>
            <w:r>
              <w:rPr>
                <w:rFonts w:ascii="Arial" w:cs="Arial" w:eastAsia="Arial" w:hAnsi="Arial"/>
                <w:sz w:val="18"/>
                <w:szCs w:val="18"/>
                <w:color w:val="auto"/>
              </w:rPr>
              <w:t>Date: April 26, 2012</w:t>
            </w:r>
          </w:p>
        </w:tc>
        <w:tc>
          <w:tcPr>
            <w:tcW w:w="8700" w:type="dxa"/>
            <w:vAlign w:val="bottom"/>
            <w:gridSpan w:val="2"/>
          </w:tcPr>
          <w:p>
            <w:pPr>
              <w:ind w:left="3200"/>
              <w:spacing w:after="0"/>
              <w:rPr>
                <w:sz w:val="20"/>
                <w:szCs w:val="20"/>
                <w:color w:val="auto"/>
              </w:rPr>
            </w:pPr>
            <w:r>
              <w:rPr>
                <w:rFonts w:ascii="Arial" w:cs="Arial" w:eastAsia="Arial" w:hAnsi="Arial"/>
                <w:sz w:val="18"/>
                <w:szCs w:val="18"/>
                <w:color w:val="auto"/>
              </w:rPr>
              <w:t>By: /s/ Michelle D. Esterman</w:t>
            </w:r>
          </w:p>
        </w:tc>
      </w:tr>
      <w:tr>
        <w:trPr>
          <w:trHeight w:val="202"/>
        </w:trPr>
        <w:tc>
          <w:tcPr>
            <w:tcW w:w="2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Michelle D. Esterman</w:t>
            </w:r>
          </w:p>
        </w:tc>
      </w:tr>
      <w:tr>
        <w:trPr>
          <w:trHeight w:val="216"/>
        </w:trPr>
        <w:tc>
          <w:tcPr>
            <w:tcW w:w="2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27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(On behalf of the Registrant and as its principal financial officer)</w:t>
            </w:r>
          </w:p>
        </w:tc>
      </w:tr>
      <w:tr>
        <w:trPr>
          <w:trHeight w:val="567"/>
        </w:trPr>
        <w:tc>
          <w:tcPr>
            <w:tcW w:w="2720" w:type="dxa"/>
            <w:vAlign w:val="bottom"/>
          </w:tcPr>
          <w:p>
            <w:pPr>
              <w:spacing w:after="0"/>
              <w:rPr>
                <w:sz w:val="24"/>
                <w:szCs w:val="24"/>
                <w:color w:val="auto"/>
              </w:rPr>
            </w:pPr>
          </w:p>
        </w:tc>
        <w:tc>
          <w:tcPr>
            <w:tcW w:w="3460" w:type="dxa"/>
            <w:vAlign w:val="bottom"/>
          </w:tcPr>
          <w:p>
            <w:pPr>
              <w:jc w:val="center"/>
              <w:ind w:left="2432"/>
              <w:spacing w:after="0"/>
              <w:rPr>
                <w:sz w:val="20"/>
                <w:szCs w:val="20"/>
                <w:color w:val="auto"/>
              </w:rPr>
            </w:pPr>
            <w:r>
              <w:rPr>
                <w:rFonts w:ascii="Arial" w:cs="Arial" w:eastAsia="Arial" w:hAnsi="Arial"/>
                <w:sz w:val="18"/>
                <w:szCs w:val="18"/>
                <w:color w:val="auto"/>
                <w:w w:val="89"/>
              </w:rPr>
              <w:t>35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i w:val="1"/>
          <w:iCs w:val="1"/>
          <w:color w:val="auto"/>
        </w:rPr>
        <w:t>Exhibit 31.1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2012 of Altisource Portfolio Solutions S.A.:</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1500" w:right="20"/>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jc w:val="both"/>
        <w:ind w:left="1500" w:right="200"/>
        <w:spacing w:after="0" w:line="25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sz w:val="20"/>
          <w:szCs w:val="20"/>
          <w:color w:val="auto"/>
        </w:rPr>
      </w:pPr>
    </w:p>
    <w:p>
      <w:pPr>
        <w:ind w:left="1500" w:right="320"/>
        <w:spacing w:after="0" w:line="357" w:lineRule="auto"/>
        <w:rPr>
          <w:sz w:val="20"/>
          <w:szCs w:val="20"/>
          <w:color w:val="auto"/>
        </w:rPr>
      </w:pPr>
      <w:r>
        <w:rPr>
          <w:rFonts w:ascii="Arial" w:cs="Arial" w:eastAsia="Arial" w:hAnsi="Arial"/>
          <w:sz w:val="15"/>
          <w:szCs w:val="15"/>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140"/>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0" w:lineRule="exact"/>
        <w:rPr>
          <w:rFonts w:ascii="Arial" w:cs="Arial" w:eastAsia="Arial" w:hAnsi="Arial"/>
          <w:sz w:val="18"/>
          <w:szCs w:val="18"/>
          <w:color w:val="auto"/>
        </w:rPr>
      </w:pPr>
    </w:p>
    <w:p>
      <w:pPr>
        <w:ind w:left="1500" w:right="540" w:hanging="8"/>
        <w:spacing w:after="0" w:line="332" w:lineRule="auto"/>
        <w:tabs>
          <w:tab w:leader="none" w:pos="1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240" w:hanging="8"/>
        <w:spacing w:after="0" w:line="268" w:lineRule="auto"/>
        <w:tabs>
          <w:tab w:leader="none" w:pos="16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Date: April 26, 2012</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William B. Shepro</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William B. Shepro</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i w:val="1"/>
          <w:iCs w:val="1"/>
          <w:color w:val="auto"/>
        </w:rPr>
        <w:t>Exhibit 31.2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1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2012 of Altisource Portfolio Solutions S.A.:</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500" w:right="360" w:hanging="8"/>
        <w:spacing w:after="0" w:line="306" w:lineRule="auto"/>
        <w:tabs>
          <w:tab w:leader="none" w:pos="1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60" w:hanging="8"/>
        <w:spacing w:after="0" w:line="259" w:lineRule="auto"/>
        <w:tabs>
          <w:tab w:leader="none" w:pos="16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80" w:hanging="8"/>
        <w:spacing w:after="0" w:line="357" w:lineRule="auto"/>
        <w:tabs>
          <w:tab w:leader="none" w:pos="16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140" w:hanging="8"/>
        <w:spacing w:after="0" w:line="259" w:lineRule="auto"/>
        <w:tabs>
          <w:tab w:leader="none" w:pos="16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0" w:lineRule="exact"/>
        <w:rPr>
          <w:rFonts w:ascii="Arial" w:cs="Arial" w:eastAsia="Arial" w:hAnsi="Arial"/>
          <w:sz w:val="18"/>
          <w:szCs w:val="18"/>
          <w:color w:val="auto"/>
        </w:rPr>
      </w:pPr>
    </w:p>
    <w:p>
      <w:pPr>
        <w:ind w:left="1500" w:right="540" w:hanging="8"/>
        <w:spacing w:after="0" w:line="332" w:lineRule="auto"/>
        <w:tabs>
          <w:tab w:leader="none" w:pos="1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240" w:hanging="8"/>
        <w:spacing w:after="0" w:line="268" w:lineRule="auto"/>
        <w:tabs>
          <w:tab w:leader="none" w:pos="16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Date: April 26, 2012</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Michelle D. Esterman</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Michelle D. Esterman</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Accounting Officer)</w:t>
            </w:r>
          </w:p>
        </w:tc>
      </w:tr>
    </w:tbl>
    <w:p>
      <w:pPr>
        <w:sectPr>
          <w:pgSz w:w="11900" w:h="16838" w:orient="portrait"/>
          <w:cols w:equalWidth="0" w:num="1">
            <w:col w:w="11420"/>
          </w:cols>
          <w:pgMar w:left="240" w:top="1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i w:val="1"/>
          <w:iCs w:val="1"/>
          <w:color w:val="auto"/>
        </w:rPr>
        <w:t>Exhibit 32.1</w:t>
      </w:r>
    </w:p>
    <w:p>
      <w:pPr>
        <w:spacing w:after="0" w:line="84" w:lineRule="exact"/>
        <w:rPr>
          <w:sz w:val="20"/>
          <w:szCs w:val="20"/>
          <w:color w:val="auto"/>
        </w:rPr>
      </w:pPr>
    </w:p>
    <w:p>
      <w:pPr>
        <w:jc w:val="center"/>
        <w:ind w:left="260" w:right="2360"/>
        <w:spacing w:after="0" w:line="257"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2012</w:t>
      </w:r>
    </w:p>
    <w:p>
      <w:pPr>
        <w:spacing w:after="0" w:line="36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connection with the Quarterly Report on Form 10-Q of Altisource Portfolio Solutions S.A. for the quarterly period ending March 31, 2012, as filed with the Securities and Exchange Commission on the date hereof (the “Report”), William B. Shepro, as Chief Executive Officer of our Company, and Michelle D. Esterman, as Chief Financial Officer of our Company, each hereby certifies, pursuant to 18 U.S.C. Section 1350, that:</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By: /s/ Michelle D. Esterman</w:t>
            </w:r>
          </w:p>
        </w:tc>
      </w:tr>
      <w:tr>
        <w:trPr>
          <w:trHeight w:val="202"/>
        </w:trPr>
        <w:tc>
          <w:tcPr>
            <w:tcW w:w="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William B. Shepro</w:t>
            </w:r>
          </w:p>
        </w:tc>
        <w:tc>
          <w:tcPr>
            <w:tcW w:w="920" w:type="dxa"/>
            <w:vAlign w:val="bottom"/>
          </w:tcPr>
          <w:p>
            <w:pPr>
              <w:spacing w:after="0"/>
              <w:rPr>
                <w:sz w:val="17"/>
                <w:szCs w:val="17"/>
                <w:color w:val="auto"/>
              </w:rPr>
            </w:pPr>
          </w:p>
        </w:tc>
        <w:tc>
          <w:tcPr>
            <w:tcW w:w="49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Michelle D. Esterman</w:t>
            </w:r>
          </w:p>
        </w:tc>
      </w:tr>
      <w:tr>
        <w:trPr>
          <w:trHeight w:val="216"/>
        </w:trPr>
        <w:tc>
          <w:tcPr>
            <w:tcW w:w="3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c>
          <w:tcPr>
            <w:tcW w:w="9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9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r>
      <w:tr>
        <w:trPr>
          <w:trHeight w:val="222"/>
        </w:trPr>
        <w:tc>
          <w:tcPr>
            <w:tcW w:w="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April 26, 2012</w:t>
            </w:r>
          </w:p>
        </w:tc>
        <w:tc>
          <w:tcPr>
            <w:tcW w:w="9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3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April 26, 2012</w:t>
            </w: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2019-12-09T19:10:48Z</dcterms:created>
  <dcterms:modified xsi:type="dcterms:W3CDTF">2019-12-09T19:10:48Z</dcterms:modified>
</cp:coreProperties>
</file>