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163830</wp:posOffset>
            </wp:positionV>
            <wp:extent cx="1869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106680</wp:posOffset>
            </wp:positionV>
            <wp:extent cx="1869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(Mark One)</w:t>
      </w:r>
    </w:p>
    <w:p>
      <w:pPr>
        <w:ind w:left="1440" w:hanging="588"/>
        <w:spacing w:after="0" w:line="181" w:lineRule="auto"/>
        <w:tabs>
          <w:tab w:leader="none" w:pos="14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72" w:lineRule="exact"/>
        <w:rPr>
          <w:sz w:val="24"/>
          <w:szCs w:val="24"/>
          <w:color w:val="auto"/>
        </w:rPr>
      </w:pPr>
    </w:p>
    <w:p>
      <w:pPr>
        <w:jc w:val="center"/>
        <w:ind w:left="4520" w:right="1720" w:hanging="3627"/>
        <w:spacing w:after="0" w:line="189" w:lineRule="auto"/>
        <w:tabs>
          <w:tab w:leader="none" w:pos="1456" w:val="left"/>
        </w:tabs>
        <w:numPr>
          <w:ilvl w:val="0"/>
          <w:numId w:val="2"/>
        </w:numPr>
        <w:rPr>
          <w:rFonts w:ascii="Arial" w:cs="Arial" w:eastAsia="Arial" w:hAnsi="Arial"/>
          <w:sz w:val="43"/>
          <w:szCs w:val="43"/>
          <w:b w:val="1"/>
          <w:bCs w:val="1"/>
          <w:color w:val="auto"/>
          <w:vertAlign w:val="subscript"/>
        </w:rPr>
      </w:pPr>
      <w:r>
        <w:rPr>
          <w:rFonts w:ascii="Arial" w:cs="Arial" w:eastAsia="Arial" w:hAnsi="Arial"/>
          <w:sz w:val="16"/>
          <w:szCs w:val="16"/>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81280</wp:posOffset>
            </wp:positionV>
            <wp:extent cx="1869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ALTISOURCE PORTFOLIO SOLUTIONS S.A.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576" w:right="239" w:bottom="1440" w:gutter="0" w:footer="0" w:header="0"/>
        </w:sectPr>
      </w:pPr>
    </w:p>
    <w:p>
      <w:pPr>
        <w:spacing w:after="0" w:line="156"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Luxembourg</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98-0554932</w:t>
      </w:r>
    </w:p>
    <w:p>
      <w:pPr>
        <w:spacing w:after="0" w:line="104" w:lineRule="exact"/>
        <w:rPr>
          <w:sz w:val="24"/>
          <w:szCs w:val="24"/>
          <w:color w:val="auto"/>
        </w:rPr>
      </w:pPr>
    </w:p>
    <w:p>
      <w:pPr>
        <w:sectPr>
          <w:pgSz w:w="11900" w:h="16838" w:orient="portrait"/>
          <w:cols w:equalWidth="0" w:num="2">
            <w:col w:w="7520" w:space="720"/>
            <w:col w:w="3180"/>
          </w:cols>
          <w:pgMar w:left="240" w:top="576" w:right="239" w:bottom="1440" w:gutter="0" w:footer="0" w:header="0"/>
          <w:type w:val="continuous"/>
        </w:sectPr>
      </w:pPr>
    </w:p>
    <w:p>
      <w:pPr>
        <w:ind w:left="11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98" w:lineRule="exact"/>
        <w:rPr>
          <w:sz w:val="24"/>
          <w:szCs w:val="24"/>
          <w:color w:val="auto"/>
        </w:rPr>
      </w:pPr>
    </w:p>
    <w:p>
      <w:pPr>
        <w:sectPr>
          <w:pgSz w:w="11900" w:h="16838" w:orient="portrait"/>
          <w:cols w:equalWidth="0" w:num="2">
            <w:col w:w="6860" w:space="720"/>
            <w:col w:w="3840"/>
          </w:cols>
          <w:pgMar w:left="240" w:top="576" w:right="239" w:bottom="1440" w:gutter="0" w:footer="0" w:header="0"/>
          <w:type w:val="continuous"/>
        </w:sectPr>
      </w:pPr>
    </w:p>
    <w:p>
      <w:pPr>
        <w:ind w:left="5000"/>
        <w:spacing w:after="0"/>
        <w:rPr>
          <w:sz w:val="20"/>
          <w:szCs w:val="20"/>
          <w:color w:val="auto"/>
        </w:rPr>
      </w:pPr>
      <w:r>
        <w:rPr>
          <w:rFonts w:ascii="Arial" w:cs="Arial" w:eastAsia="Arial" w:hAnsi="Arial"/>
          <w:sz w:val="16"/>
          <w:szCs w:val="16"/>
          <w:b w:val="1"/>
          <w:bCs w:val="1"/>
          <w:color w:val="auto"/>
        </w:rPr>
        <w:t>40, avenue Monterey</w:t>
      </w:r>
    </w:p>
    <w:p>
      <w:pPr>
        <w:spacing w:after="0" w:line="23"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L-2163 Luxembourg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jc w:val="center"/>
        <w:spacing w:after="0"/>
        <w:rPr>
          <w:sz w:val="20"/>
          <w:szCs w:val="20"/>
          <w:color w:val="auto"/>
        </w:rPr>
      </w:pPr>
      <w:r>
        <w:rPr>
          <w:rFonts w:ascii="Arial" w:cs="Arial" w:eastAsia="Arial" w:hAnsi="Arial"/>
          <w:sz w:val="16"/>
          <w:szCs w:val="16"/>
          <w:b w:val="1"/>
          <w:bCs w:val="1"/>
          <w:color w:val="auto"/>
        </w:rPr>
        <w:t>(352) 24 69 79 00</w:t>
      </w:r>
    </w:p>
    <w:p>
      <w:pPr>
        <w:jc w:val="center"/>
        <w:spacing w:after="0"/>
        <w:rPr>
          <w:sz w:val="20"/>
          <w:szCs w:val="20"/>
          <w:color w:val="auto"/>
        </w:rPr>
      </w:pPr>
      <w:r>
        <w:rPr>
          <w:rFonts w:ascii="Arial" w:cs="Arial" w:eastAsia="Arial" w:hAnsi="Arial"/>
          <w:sz w:val="14"/>
          <w:szCs w:val="14"/>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90805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71"/>
        </w:trPr>
        <w:tc>
          <w:tcPr>
            <w:tcW w:w="3960" w:type="dxa"/>
            <w:vAlign w:val="bottom"/>
          </w:tcPr>
          <w:p>
            <w:pPr>
              <w:jc w:val="center"/>
              <w:ind w:left="1579"/>
              <w:spacing w:after="0"/>
              <w:rPr>
                <w:sz w:val="20"/>
                <w:szCs w:val="20"/>
                <w:color w:val="auto"/>
              </w:rPr>
            </w:pPr>
            <w:r>
              <w:rPr>
                <w:rFonts w:ascii="Arial" w:cs="Arial" w:eastAsia="Arial" w:hAnsi="Arial"/>
                <w:sz w:val="16"/>
                <w:szCs w:val="16"/>
                <w:b w:val="1"/>
                <w:bCs w:val="1"/>
                <w:color w:val="auto"/>
                <w:w w:val="88"/>
              </w:rPr>
              <w:t>Title of each class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3960" w:type="dxa"/>
            <w:vAlign w:val="bottom"/>
          </w:tcPr>
          <w:p>
            <w:pPr>
              <w:jc w:val="center"/>
              <w:ind w:left="1579"/>
              <w:spacing w:after="0"/>
              <w:rPr>
                <w:sz w:val="20"/>
                <w:szCs w:val="20"/>
                <w:color w:val="auto"/>
              </w:rPr>
            </w:pPr>
            <w:r>
              <w:rPr>
                <w:rFonts w:ascii="Arial" w:cs="Arial" w:eastAsia="Arial" w:hAnsi="Arial"/>
                <w:sz w:val="16"/>
                <w:szCs w:val="16"/>
                <w:color w:val="auto"/>
                <w:w w:val="91"/>
              </w:rPr>
              <w:t>Common Stock, $1.00 par value</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r>
        <w:trPr>
          <w:trHeight w:val="181"/>
        </w:trPr>
        <w:tc>
          <w:tcPr>
            <w:tcW w:w="3960" w:type="dxa"/>
            <w:vAlign w:val="bottom"/>
          </w:tcPr>
          <w:p>
            <w:pPr>
              <w:spacing w:after="0"/>
              <w:rPr>
                <w:sz w:val="15"/>
                <w:szCs w:val="15"/>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4"/>
                <w:szCs w:val="14"/>
                <w:color w:val="auto"/>
                <w:w w:val="93"/>
              </w:rPr>
              <w:t>Securities registered pursuant to Section 12(g) of the Act:</w:t>
            </w:r>
          </w:p>
        </w:tc>
      </w:tr>
      <w:tr>
        <w:trPr>
          <w:trHeight w:val="210"/>
        </w:trPr>
        <w:tc>
          <w:tcPr>
            <w:tcW w:w="3960" w:type="dxa"/>
            <w:vAlign w:val="bottom"/>
          </w:tcPr>
          <w:p>
            <w:pPr>
              <w:spacing w:after="0"/>
              <w:rPr>
                <w:sz w:val="18"/>
                <w:szCs w:val="18"/>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6"/>
                <w:szCs w:val="16"/>
                <w:b w:val="1"/>
                <w:bCs w:val="1"/>
                <w:color w:val="auto"/>
                <w:w w:val="89"/>
              </w:rPr>
              <w:t>None</w:t>
            </w:r>
          </w:p>
        </w:tc>
      </w:tr>
    </w:tbl>
    <w:p>
      <w:pPr>
        <w:spacing w:after="0" w:line="14" w:lineRule="exact"/>
        <w:rPr>
          <w:sz w:val="24"/>
          <w:szCs w:val="24"/>
          <w:color w:val="auto"/>
        </w:rPr>
      </w:pPr>
    </w:p>
    <w:p>
      <w:pPr>
        <w:ind w:right="374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45" w:lineRule="exact"/>
        <w:rPr>
          <w:sz w:val="24"/>
          <w:szCs w:val="24"/>
          <w:color w:val="auto"/>
        </w:rPr>
      </w:pPr>
    </w:p>
    <w:p>
      <w:pPr>
        <w:jc w:val="both"/>
        <w:ind w:right="2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46"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(as defined in Rule 12b-2 of the Exchange Act):</w:t>
      </w:r>
    </w:p>
    <w:p>
      <w:pPr>
        <w:spacing w:after="0" w:line="115" w:lineRule="exact"/>
        <w:rPr>
          <w:sz w:val="24"/>
          <w:szCs w:val="24"/>
          <w:color w:val="auto"/>
        </w:rPr>
      </w:pPr>
    </w:p>
    <w:tbl>
      <w:tblPr>
        <w:tblLayout w:type="fixed"/>
        <w:tblInd w:w="160" w:type="dxa"/>
        <w:tblCellMar>
          <w:top w:w="0" w:type="dxa"/>
          <w:left w:w="0" w:type="dxa"/>
          <w:bottom w:w="0" w:type="dxa"/>
          <w:right w:w="0" w:type="dxa"/>
        </w:tblCellMar>
      </w:tblPr>
      <w:tr>
        <w:trPr>
          <w:trHeight w:val="226"/>
        </w:trPr>
        <w:tc>
          <w:tcPr>
            <w:tcW w:w="624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3880" w:type="dxa"/>
            <w:vAlign w:val="bottom"/>
          </w:tcPr>
          <w:p>
            <w:pPr>
              <w:ind w:left="22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0"/>
        </w:trPr>
        <w:tc>
          <w:tcPr>
            <w:tcW w:w="6240" w:type="dxa"/>
            <w:vAlign w:val="bottom"/>
          </w:tcPr>
          <w:p>
            <w:pPr>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3880" w:type="dxa"/>
            <w:vAlign w:val="bottom"/>
          </w:tcPr>
          <w:p>
            <w:pPr>
              <w:ind w:left="2200"/>
              <w:spacing w:after="0"/>
              <w:rPr>
                <w:sz w:val="20"/>
                <w:szCs w:val="20"/>
                <w:color w:val="auto"/>
              </w:rPr>
            </w:pPr>
            <w:r>
              <w:rPr>
                <w:rFonts w:ascii="Arial" w:cs="Arial" w:eastAsia="Arial" w:hAnsi="Arial"/>
                <w:sz w:val="14"/>
                <w:szCs w:val="14"/>
                <w:color w:val="auto"/>
                <w:w w:val="92"/>
              </w:rPr>
              <w:t>Smaller reporting company o</w:t>
            </w:r>
          </w:p>
        </w:tc>
      </w:tr>
      <w:tr>
        <w:trPr>
          <w:trHeight w:val="270"/>
        </w:trPr>
        <w:tc>
          <w:tcPr>
            <w:tcW w:w="6240" w:type="dxa"/>
            <w:vAlign w:val="bottom"/>
          </w:tcPr>
          <w:p>
            <w:pPr>
              <w:spacing w:after="0"/>
              <w:rPr>
                <w:sz w:val="23"/>
                <w:szCs w:val="23"/>
                <w:color w:val="auto"/>
              </w:rPr>
            </w:pPr>
          </w:p>
        </w:tc>
        <w:tc>
          <w:tcPr>
            <w:tcW w:w="3880" w:type="dxa"/>
            <w:vAlign w:val="bottom"/>
          </w:tcPr>
          <w:p>
            <w:pPr>
              <w:ind w:left="2200"/>
              <w:spacing w:after="0"/>
              <w:rPr>
                <w:sz w:val="20"/>
                <w:szCs w:val="20"/>
                <w:color w:val="auto"/>
              </w:rPr>
            </w:pPr>
            <w:r>
              <w:rPr>
                <w:rFonts w:ascii="Arial" w:cs="Arial" w:eastAsia="Arial" w:hAnsi="Arial"/>
                <w:sz w:val="14"/>
                <w:szCs w:val="14"/>
                <w:color w:val="auto"/>
                <w:w w:val="93"/>
              </w:rPr>
              <w:t>Emerging growth company o</w:t>
            </w:r>
          </w:p>
        </w:tc>
      </w:tr>
    </w:tbl>
    <w:p>
      <w:pPr>
        <w:spacing w:after="0" w:line="4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b w:val="1"/>
          <w:bCs w:val="1"/>
          <w:color w:val="auto"/>
        </w:rPr>
        <w:t>o</w:t>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09"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2017 was $384,670,977 based on the closing share price as quoted on the NASDAQ Global Market on that day and the assumption that all directors and executive officers of the Company, and their families, are affiliates. This determination of affiliate status is not necessarily a conclusive determination for any other purpose.</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16, 2018, there were 17,507,617 outstanding shares of the registrant’s shares of beneficial interest (excluding 7,905,131 shares held as treasury stock).</w:t>
      </w:r>
    </w:p>
    <w:p>
      <w:pPr>
        <w:spacing w:after="0" w:line="96"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DOCUMENTS INCORPORATED BY REFERENCE</w:t>
      </w:r>
    </w:p>
    <w:p>
      <w:pPr>
        <w:spacing w:after="0" w:line="96"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Securities and Exchange Commission pursuant to Regulation 14A in connection with the registrant’s Annual Meeting of Shareholders to be held on May 15, 2018 are incorporated by reference into Part III of this Report. Such Definitive Proxy Statement will be filed with the Securities and Exchange Commission not later than 120 days after the conclusion of the registrant’s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18"/>
          </w:tcPr>
          <w:p>
            <w:pPr>
              <w:jc w:val="center"/>
              <w:ind w:right="2300"/>
              <w:spacing w:after="0"/>
              <w:rPr>
                <w:sz w:val="20"/>
                <w:szCs w:val="20"/>
                <w:color w:val="auto"/>
              </w:rPr>
            </w:pPr>
            <w:r>
              <w:rPr>
                <w:rFonts w:ascii="Arial" w:cs="Arial" w:eastAsia="Arial" w:hAnsi="Arial"/>
                <w:sz w:val="18"/>
                <w:szCs w:val="18"/>
                <w:b w:val="1"/>
                <w:bCs w:val="1"/>
                <w:color w:val="auto"/>
                <w:w w:val="99"/>
              </w:rPr>
              <w:t>ALTISOURCE PORTFOLIO SOLUTIONS S.A.</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0" w:type="dxa"/>
            <w:vAlign w:val="bottom"/>
            <w:gridSpan w:val="12"/>
          </w:tcPr>
          <w:p>
            <w:pPr>
              <w:jc w:val="center"/>
              <w:ind w:right="4180"/>
              <w:spacing w:after="0"/>
              <w:rPr>
                <w:sz w:val="20"/>
                <w:szCs w:val="20"/>
                <w:color w:val="auto"/>
              </w:rPr>
            </w:pPr>
            <w:r>
              <w:rPr>
                <w:rFonts w:ascii="Arial" w:cs="Arial" w:eastAsia="Arial" w:hAnsi="Arial"/>
                <w:sz w:val="18"/>
                <w:szCs w:val="18"/>
                <w:b w:val="1"/>
                <w:bCs w:val="1"/>
                <w:color w:val="auto"/>
              </w:rPr>
              <w:t>FORM 10-K</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100" w:type="dxa"/>
            <w:vAlign w:val="bottom"/>
            <w:gridSpan w:val="10"/>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00" w:type="dxa"/>
            <w:vAlign w:val="bottom"/>
            <w:gridSpan w:val="10"/>
            <w:vMerge w:val="continue"/>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980" w:type="dxa"/>
            <w:vAlign w:val="bottom"/>
            <w:gridSpan w:val="4"/>
          </w:tcPr>
          <w:p>
            <w:pPr>
              <w:spacing w:after="0"/>
              <w:rPr>
                <w:sz w:val="22"/>
                <w:szCs w:val="22"/>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7440" w:type="dxa"/>
            <w:vAlign w:val="bottom"/>
            <w:gridSpan w:val="22"/>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ITEM 1A.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600" w:type="dxa"/>
            <w:vAlign w:val="bottom"/>
            <w:gridSpan w:val="2"/>
          </w:tcPr>
          <w:p>
            <w:pPr>
              <w:jc w:val="center"/>
              <w:ind w:left="33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ITEM 1B.</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600" w:type="dxa"/>
            <w:vAlign w:val="bottom"/>
            <w:gridSpan w:val="2"/>
          </w:tcPr>
          <w:p>
            <w:pPr>
              <w:jc w:val="center"/>
              <w:ind w:left="33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2.</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1060" w:type="dxa"/>
            <w:vAlign w:val="bottom"/>
            <w:gridSpan w:val="2"/>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PROPERTIES</w:t>
              </w:r>
            </w:hyperlink>
          </w:p>
        </w:tc>
        <w:tc>
          <w:tcPr>
            <w:tcW w:w="1760" w:type="dxa"/>
            <w:vAlign w:val="bottom"/>
            <w:gridSpan w:val="8"/>
          </w:tcPr>
          <w:p>
            <w:pPr>
              <w:spacing w:after="0"/>
              <w:rPr>
                <w:sz w:val="21"/>
                <w:szCs w:val="21"/>
                <w:color w:val="auto"/>
              </w:rPr>
            </w:pPr>
          </w:p>
        </w:tc>
        <w:tc>
          <w:tcPr>
            <w:tcW w:w="5480" w:type="dxa"/>
            <w:vAlign w:val="bottom"/>
            <w:gridSpan w:val="13"/>
          </w:tcPr>
          <w:p>
            <w:pPr>
              <w:spacing w:after="0"/>
              <w:rPr>
                <w:sz w:val="21"/>
                <w:szCs w:val="21"/>
                <w:color w:val="auto"/>
              </w:rPr>
            </w:pPr>
          </w:p>
        </w:tc>
        <w:tc>
          <w:tcPr>
            <w:tcW w:w="600" w:type="dxa"/>
            <w:vAlign w:val="bottom"/>
            <w:gridSpan w:val="2"/>
          </w:tcPr>
          <w:p>
            <w:pPr>
              <w:jc w:val="center"/>
              <w:ind w:left="3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3.</w:t>
              </w:r>
            </w:hyperlink>
          </w:p>
        </w:tc>
        <w:tc>
          <w:tcPr>
            <w:tcW w:w="980" w:type="dxa"/>
            <w:vAlign w:val="bottom"/>
            <w:gridSpan w:val="4"/>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LEGAL PROCEEDINGS</w:t>
              </w:r>
            </w:hyperlink>
          </w:p>
        </w:tc>
        <w:tc>
          <w:tcPr>
            <w:tcW w:w="6420" w:type="dxa"/>
            <w:vAlign w:val="bottom"/>
            <w:gridSpan w:val="17"/>
          </w:tcPr>
          <w:p>
            <w:pPr>
              <w:spacing w:after="0"/>
              <w:rPr>
                <w:sz w:val="21"/>
                <w:szCs w:val="21"/>
                <w:color w:val="auto"/>
              </w:rPr>
            </w:pPr>
          </w:p>
        </w:tc>
        <w:tc>
          <w:tcPr>
            <w:tcW w:w="600" w:type="dxa"/>
            <w:vAlign w:val="bottom"/>
            <w:gridSpan w:val="2"/>
          </w:tcPr>
          <w:p>
            <w:pPr>
              <w:jc w:val="center"/>
              <w:ind w:left="3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4.</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600" w:type="dxa"/>
            <w:vAlign w:val="bottom"/>
            <w:gridSpan w:val="2"/>
          </w:tcPr>
          <w:p>
            <w:pPr>
              <w:jc w:val="center"/>
              <w:ind w:left="33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100" w:type="dxa"/>
            <w:vAlign w:val="bottom"/>
            <w:gridSpan w:val="10"/>
          </w:tcPr>
          <w:p>
            <w:pPr>
              <w:ind w:left="4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5.</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MARKET FOR REGISTRANT’S COMMON EQUITY, RELATED STOCKHOLDER MATTERS AND ISSUER</w:t>
              </w:r>
            </w:hyperlink>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00" w:type="dxa"/>
            <w:vAlign w:val="bottom"/>
            <w:tcBorders>
              <w:top w:val="single" w:sz="8" w:color="0000EE"/>
            </w:tcBorders>
            <w:gridSpan w:val="11"/>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center"/>
              <w:ind w:left="330"/>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6.</w:t>
              </w:r>
            </w:hyperlink>
          </w:p>
        </w:tc>
        <w:tc>
          <w:tcPr>
            <w:tcW w:w="980" w:type="dxa"/>
            <w:vAlign w:val="bottom"/>
            <w:gridSpan w:val="4"/>
          </w:tcPr>
          <w:p>
            <w:pPr>
              <w:spacing w:after="0"/>
              <w:rPr>
                <w:sz w:val="21"/>
                <w:szCs w:val="21"/>
                <w:color w:val="auto"/>
              </w:rPr>
            </w:pPr>
          </w:p>
        </w:tc>
        <w:tc>
          <w:tcPr>
            <w:tcW w:w="310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5200" w:type="dxa"/>
            <w:vAlign w:val="bottom"/>
            <w:gridSpan w:val="12"/>
          </w:tcPr>
          <w:p>
            <w:pPr>
              <w:spacing w:after="0"/>
              <w:rPr>
                <w:sz w:val="21"/>
                <w:szCs w:val="21"/>
                <w:color w:val="auto"/>
              </w:rPr>
            </w:pPr>
          </w:p>
        </w:tc>
        <w:tc>
          <w:tcPr>
            <w:tcW w:w="600" w:type="dxa"/>
            <w:vAlign w:val="bottom"/>
            <w:gridSpan w:val="2"/>
          </w:tcPr>
          <w:p>
            <w:pPr>
              <w:jc w:val="center"/>
              <w:ind w:left="33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ITEM 7.</w:t>
              </w:r>
            </w:hyperlink>
          </w:p>
        </w:tc>
        <w:tc>
          <w:tcPr>
            <w:tcW w:w="980" w:type="dxa"/>
            <w:vAlign w:val="bottom"/>
            <w:gridSpan w:val="4"/>
          </w:tcPr>
          <w:p>
            <w:pPr>
              <w:spacing w:after="0"/>
              <w:rPr>
                <w:sz w:val="21"/>
                <w:szCs w:val="21"/>
                <w:color w:val="auto"/>
              </w:rPr>
            </w:pPr>
          </w:p>
        </w:tc>
        <w:tc>
          <w:tcPr>
            <w:tcW w:w="77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MANAGEMENT’S DISCUSSION AND ANALYSIS OF FINANCIAL CONDITION AND RESULTS OF</w:t>
              </w:r>
            </w:hyperlink>
          </w:p>
        </w:tc>
        <w:tc>
          <w:tcPr>
            <w:tcW w:w="52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30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OPERATIONS</w:t>
              </w:r>
            </w:hyperlink>
          </w:p>
        </w:tc>
        <w:tc>
          <w:tcPr>
            <w:tcW w:w="600" w:type="dxa"/>
            <w:vAlign w:val="bottom"/>
            <w:gridSpan w:val="2"/>
          </w:tcPr>
          <w:p>
            <w:pPr>
              <w:jc w:val="center"/>
              <w:ind w:left="330"/>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ITEM 7A.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600" w:type="dxa"/>
            <w:vAlign w:val="bottom"/>
            <w:gridSpan w:val="2"/>
          </w:tcPr>
          <w:p>
            <w:pPr>
              <w:jc w:val="center"/>
              <w:ind w:left="33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59</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ITEM 8.</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2160" w:type="dxa"/>
            <w:vAlign w:val="bottom"/>
            <w:gridSpan w:val="6"/>
          </w:tcPr>
          <w:p>
            <w:pPr>
              <w:spacing w:after="0"/>
              <w:rPr>
                <w:sz w:val="21"/>
                <w:szCs w:val="21"/>
                <w:color w:val="auto"/>
              </w:rPr>
            </w:pPr>
          </w:p>
        </w:tc>
        <w:tc>
          <w:tcPr>
            <w:tcW w:w="600" w:type="dxa"/>
            <w:vAlign w:val="bottom"/>
            <w:gridSpan w:val="2"/>
          </w:tcPr>
          <w:p>
            <w:pPr>
              <w:jc w:val="center"/>
              <w:ind w:left="33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60</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102">
              <w:r>
                <w:rPr>
                  <w:rFonts w:ascii="Arial" w:cs="Arial" w:eastAsia="Arial" w:hAnsi="Arial"/>
                  <w:sz w:val="18"/>
                  <w:szCs w:val="18"/>
                  <w:color w:val="0000EE"/>
                  <w:w w:val="91"/>
                </w:rPr>
                <w:t>ITEM 9.</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CHANGES IN AND DISAGREEMENTS WITH ACCOUNTANTS ON ACCOUNTING AND FINANCIAL</w:t>
              </w:r>
            </w:hyperlink>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Borders>
              <w:top w:val="single" w:sz="8" w:color="0000EE"/>
            </w:tcBorders>
            <w:gridSpan w:val="4"/>
          </w:tcPr>
          <w:p>
            <w:pPr>
              <w:spacing w:after="0" w:line="196"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DISCLOSURE</w:t>
              </w:r>
            </w:hyperlink>
          </w:p>
        </w:tc>
        <w:tc>
          <w:tcPr>
            <w:tcW w:w="6820" w:type="dxa"/>
            <w:vAlign w:val="bottom"/>
            <w:tcBorders>
              <w:top w:val="single" w:sz="8" w:color="0000EE"/>
            </w:tcBorders>
            <w:gridSpan w:val="16"/>
          </w:tcPr>
          <w:p>
            <w:pPr>
              <w:spacing w:after="0"/>
              <w:rPr>
                <w:sz w:val="17"/>
                <w:szCs w:val="17"/>
                <w:color w:val="auto"/>
              </w:rPr>
            </w:pPr>
          </w:p>
        </w:tc>
        <w:tc>
          <w:tcPr>
            <w:tcW w:w="360" w:type="dxa"/>
            <w:vAlign w:val="bottom"/>
            <w:gridSpan w:val="3"/>
          </w:tcPr>
          <w:p>
            <w:pPr>
              <w:spacing w:after="0"/>
              <w:rPr>
                <w:sz w:val="17"/>
                <w:szCs w:val="17"/>
                <w:color w:val="auto"/>
              </w:rPr>
            </w:pPr>
          </w:p>
        </w:tc>
        <w:tc>
          <w:tcPr>
            <w:tcW w:w="600" w:type="dxa"/>
            <w:vAlign w:val="bottom"/>
            <w:gridSpan w:val="2"/>
          </w:tcPr>
          <w:p>
            <w:pPr>
              <w:jc w:val="center"/>
              <w:ind w:left="250"/>
              <w:spacing w:after="0" w:line="196"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102">
              <w:r>
                <w:rPr>
                  <w:rFonts w:ascii="Arial" w:cs="Arial" w:eastAsia="Arial" w:hAnsi="Arial"/>
                  <w:sz w:val="18"/>
                  <w:szCs w:val="18"/>
                  <w:color w:val="0000EE"/>
                  <w:w w:val="87"/>
                </w:rPr>
                <w:t>ITEM 9A.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102">
              <w:r>
                <w:rPr>
                  <w:rFonts w:ascii="Arial" w:cs="Arial" w:eastAsia="Arial" w:hAnsi="Arial"/>
                  <w:sz w:val="18"/>
                  <w:szCs w:val="18"/>
                  <w:color w:val="0000EE"/>
                  <w:w w:val="87"/>
                </w:rPr>
                <w:t>ITEM 9B.</w:t>
              </w:r>
            </w:hyperlink>
          </w:p>
        </w:tc>
        <w:tc>
          <w:tcPr>
            <w:tcW w:w="900" w:type="dxa"/>
            <w:vAlign w:val="bottom"/>
            <w:gridSpan w:val="3"/>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5700" w:type="dxa"/>
            <w:vAlign w:val="bottom"/>
            <w:gridSpan w:val="14"/>
          </w:tcPr>
          <w:p>
            <w:pPr>
              <w:spacing w:after="0"/>
              <w:rPr>
                <w:sz w:val="21"/>
                <w:szCs w:val="21"/>
                <w:color w:val="auto"/>
              </w:rPr>
            </w:pPr>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10"/>
          </w:tcPr>
          <w:p>
            <w:pPr>
              <w:ind w:left="40"/>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gridSpan w:val="8"/>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10.</w:t>
              </w:r>
            </w:hyperlink>
          </w:p>
        </w:tc>
        <w:tc>
          <w:tcPr>
            <w:tcW w:w="8300" w:type="dxa"/>
            <w:vAlign w:val="bottom"/>
            <w:gridSpan w:val="2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ITEM 11.</w:t>
              </w:r>
            </w:hyperlink>
          </w:p>
        </w:tc>
        <w:tc>
          <w:tcPr>
            <w:tcW w:w="900" w:type="dxa"/>
            <w:vAlign w:val="bottom"/>
            <w:gridSpan w:val="3"/>
          </w:tcPr>
          <w:p>
            <w:pPr>
              <w:spacing w:after="0"/>
              <w:rPr>
                <w:sz w:val="21"/>
                <w:szCs w:val="21"/>
                <w:color w:val="auto"/>
              </w:rPr>
            </w:pPr>
          </w:p>
        </w:tc>
        <w:tc>
          <w:tcPr>
            <w:tcW w:w="5800" w:type="dxa"/>
            <w:vAlign w:val="bottom"/>
            <w:gridSpan w:val="1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2500" w:type="dxa"/>
            <w:vAlign w:val="bottom"/>
            <w:gridSpan w:val="7"/>
          </w:tcPr>
          <w:p>
            <w:pPr>
              <w:spacing w:after="0"/>
              <w:rPr>
                <w:sz w:val="21"/>
                <w:szCs w:val="21"/>
                <w:color w:val="auto"/>
              </w:rPr>
            </w:pPr>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12.</w:t>
              </w:r>
            </w:hyperlink>
          </w:p>
        </w:tc>
        <w:tc>
          <w:tcPr>
            <w:tcW w:w="8300" w:type="dxa"/>
            <w:vAlign w:val="bottom"/>
            <w:gridSpan w:val="2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 AND RELATED</w:t>
              </w:r>
            </w:hyperlink>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STOCKHOLDER MATTERS</w:t>
              </w:r>
            </w:hyperlink>
          </w:p>
        </w:tc>
        <w:tc>
          <w:tcPr>
            <w:tcW w:w="280" w:type="dxa"/>
            <w:vAlign w:val="bottom"/>
            <w:gridSpan w:val="2"/>
          </w:tcPr>
          <w:p>
            <w:pPr>
              <w:spacing w:after="0"/>
              <w:rPr>
                <w:sz w:val="17"/>
                <w:szCs w:val="17"/>
                <w:color w:val="auto"/>
              </w:rPr>
            </w:pPr>
          </w:p>
        </w:tc>
        <w:tc>
          <w:tcPr>
            <w:tcW w:w="600" w:type="dxa"/>
            <w:vAlign w:val="bottom"/>
            <w:gridSpan w:val="2"/>
          </w:tcPr>
          <w:p>
            <w:pPr>
              <w:jc w:val="center"/>
              <w:ind w:left="250"/>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13.</w:t>
              </w:r>
            </w:hyperlink>
          </w:p>
        </w:tc>
        <w:tc>
          <w:tcPr>
            <w:tcW w:w="8300" w:type="dxa"/>
            <w:vAlign w:val="bottom"/>
            <w:gridSpan w:val="2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CERTAIN RELATIONSHIPS AND RELATED TRANSACTIONS, AND DIRECTOR INDEPENDENCE</w:t>
              </w:r>
            </w:hyperlink>
          </w:p>
        </w:tc>
        <w:tc>
          <w:tcPr>
            <w:tcW w:w="600" w:type="dxa"/>
            <w:vAlign w:val="bottom"/>
            <w:gridSpan w:val="2"/>
            <w:vMerge w:val="restart"/>
          </w:tcPr>
          <w:p>
            <w:pPr>
              <w:jc w:val="center"/>
              <w:ind w:left="25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14.</w:t>
              </w:r>
            </w:hyperlink>
          </w:p>
        </w:tc>
        <w:tc>
          <w:tcPr>
            <w:tcW w:w="8300" w:type="dxa"/>
            <w:vAlign w:val="bottom"/>
            <w:gridSpan w:val="2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PRINCIPAL ACCOUNTING FEES AND SERVICES</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10"/>
          </w:tcPr>
          <w:p>
            <w:pPr>
              <w:ind w:left="40"/>
              <w:spacing w:after="0"/>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IV</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15.</w:t>
              </w:r>
            </w:hyperlink>
          </w:p>
        </w:tc>
        <w:tc>
          <w:tcPr>
            <w:tcW w:w="8300" w:type="dxa"/>
            <w:vAlign w:val="bottom"/>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EXHIBITS, FINANCIAL STATEMENT SCHEDULES</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SCHEDULE II.</w:t>
              </w:r>
            </w:hyperlink>
          </w:p>
        </w:tc>
        <w:tc>
          <w:tcPr>
            <w:tcW w:w="8300" w:type="dxa"/>
            <w:vAlign w:val="bottom"/>
            <w:gridSpan w:val="2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VALUATION AND QUALIFYING ACCOUNTS</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108</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SIGNATURES</w:t>
              </w:r>
            </w:hyperlink>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center"/>
              <w:ind w:left="250"/>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109</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the “Company,” “we,” “us,” or “our” refer to Altisource Portfolio Solutions S.A., a Luxembourg société anonyme, or public limited liability company, together with its subsidiaries.</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Altisource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2017, our reportable segments are as follows: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Mortgage Market: </w:t>
      </w:r>
      <w:r>
        <w:rPr>
          <w:rFonts w:ascii="Arial" w:cs="Arial" w:eastAsia="Arial" w:hAnsi="Arial"/>
          <w:sz w:val="18"/>
          <w:szCs w:val="18"/>
          <w:color w:val="auto"/>
        </w:rPr>
        <w:t>Provides loan servicers and originators with marketplaces, services and technologies that span the mortgage lifecycle. Within the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Servicer Solutions </w:t>
      </w:r>
      <w:r>
        <w:rPr>
          <w:rFonts w:ascii="Arial" w:cs="Arial" w:eastAsia="Arial" w:hAnsi="Arial"/>
          <w:sz w:val="18"/>
          <w:szCs w:val="18"/>
          <w:color w:val="auto"/>
        </w:rPr>
        <w:t>- the solutions, services and technologies typically used or licensed primarily by residential loan servicers.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Property preservation and inspection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brokerage and auction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hanging="161"/>
        <w:spacing w:after="0" w:line="277" w:lineRule="auto"/>
        <w:tabs>
          <w:tab w:leader="none" w:pos="466"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Appraisal management services and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and commercial loan servicing technologies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53" w:right="1040" w:hanging="153"/>
        <w:spacing w:after="0" w:line="277" w:lineRule="auto"/>
        <w:tabs>
          <w:tab w:leader="none" w:pos="98" w:val="left"/>
        </w:tabs>
        <w:numPr>
          <w:ilvl w:val="0"/>
          <w:numId w:val="4"/>
        </w:numPr>
        <w:rPr>
          <w:rFonts w:ascii="Arial" w:cs="Arial" w:eastAsia="Arial" w:hAnsi="Arial"/>
          <w:sz w:val="18"/>
          <w:szCs w:val="18"/>
          <w:color w:val="auto"/>
        </w:rPr>
      </w:pPr>
      <w:r>
        <w:rPr>
          <w:rFonts w:ascii="Arial" w:cs="Arial" w:eastAsia="Arial" w:hAnsi="Arial"/>
          <w:sz w:val="18"/>
          <w:szCs w:val="18"/>
          <w:color w:val="auto"/>
        </w:rPr>
        <w:t>Vendor management, marketplace transaction management and payment management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53" w:right="560" w:hanging="153"/>
        <w:spacing w:after="0" w:line="277" w:lineRule="auto"/>
        <w:tabs>
          <w:tab w:leader="none" w:pos="9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Default services (real estate owned (“REO”), foreclosure, bankruptcy, eviction)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Mortgage charge-off collections</w:t>
      </w:r>
    </w:p>
    <w:p>
      <w:pPr>
        <w:spacing w:after="0" w:line="76" w:lineRule="exact"/>
        <w:rPr>
          <w:rFonts w:ascii="Arial" w:cs="Arial" w:eastAsia="Arial" w:hAnsi="Arial"/>
          <w:sz w:val="18"/>
          <w:szCs w:val="18"/>
          <w:color w:val="auto"/>
        </w:rPr>
      </w:pPr>
    </w:p>
    <w:p>
      <w:pPr>
        <w:ind w:left="153" w:right="1060" w:hanging="153"/>
        <w:spacing w:after="0" w:line="308" w:lineRule="auto"/>
        <w:tabs>
          <w:tab w:leader="none" w:pos="98"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Residential and commercial loan disbursement processing, risk mitigation and construction inspection services</w:t>
      </w:r>
    </w:p>
    <w:p>
      <w:pPr>
        <w:spacing w:after="0" w:line="200" w:lineRule="exact"/>
        <w:rPr>
          <w:sz w:val="20"/>
          <w:szCs w:val="20"/>
          <w:color w:val="auto"/>
        </w:rPr>
      </w:pPr>
    </w:p>
    <w:p>
      <w:pPr>
        <w:sectPr>
          <w:pgSz w:w="11900" w:h="16838" w:orient="portrait"/>
          <w:cols w:equalWidth="0" w:num="2">
            <w:col w:w="5440" w:space="267"/>
            <w:col w:w="5713"/>
          </w:cols>
          <w:pgMar w:left="240" w:top="125" w:right="239" w:bottom="1440" w:gutter="0" w:footer="0" w:header="0"/>
          <w:type w:val="continuous"/>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Origination Solutions </w:t>
      </w:r>
      <w:r>
        <w:rPr>
          <w:rFonts w:ascii="Arial" w:cs="Arial" w:eastAsia="Arial" w:hAnsi="Arial"/>
          <w:sz w:val="18"/>
          <w:szCs w:val="18"/>
          <w:color w:val="auto"/>
        </w:rPr>
        <w:t>- the solutions, services and technologies typically used or licensed by loan originators (or other similar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originating, buying and selling residential mortgages.</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hanging="161"/>
        <w:spacing w:after="0" w:line="277" w:lineRule="auto"/>
        <w:tabs>
          <w:tab w:leader="none" w:pos="466"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Appraisal management services and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Fulfillment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origination system</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13" w:hanging="113"/>
        <w:spacing w:after="0"/>
        <w:tabs>
          <w:tab w:leader="none" w:pos="113" w:val="left"/>
        </w:tabs>
        <w:numPr>
          <w:ilvl w:val="0"/>
          <w:numId w:val="6"/>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13" w:hanging="113"/>
        <w:spacing w:after="0"/>
        <w:tabs>
          <w:tab w:leader="none" w:pos="113"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Certified loan insurance and certification</w:t>
      </w:r>
    </w:p>
    <w:p>
      <w:pPr>
        <w:spacing w:after="0" w:line="88" w:lineRule="exact"/>
        <w:rPr>
          <w:rFonts w:ascii="Arial" w:cs="Arial" w:eastAsia="Arial" w:hAnsi="Arial"/>
          <w:sz w:val="17"/>
          <w:szCs w:val="17"/>
          <w:color w:val="auto"/>
        </w:rPr>
      </w:pPr>
    </w:p>
    <w:p>
      <w:pPr>
        <w:ind w:left="113" w:hanging="113"/>
        <w:spacing w:after="0"/>
        <w:tabs>
          <w:tab w:leader="none" w:pos="113" w:val="left"/>
        </w:tabs>
        <w:numPr>
          <w:ilvl w:val="0"/>
          <w:numId w:val="6"/>
        </w:numPr>
        <w:rPr>
          <w:rFonts w:ascii="Arial" w:cs="Arial" w:eastAsia="Arial" w:hAnsi="Arial"/>
          <w:sz w:val="17"/>
          <w:szCs w:val="17"/>
          <w:color w:val="auto"/>
        </w:rPr>
      </w:pPr>
      <w:r>
        <w:rPr>
          <w:rFonts w:ascii="Arial" w:cs="Arial" w:eastAsia="Arial" w:hAnsi="Arial"/>
          <w:sz w:val="17"/>
          <w:szCs w:val="17"/>
          <w:color w:val="auto"/>
        </w:rPr>
        <w:t>Vendor management oversight platform</w:t>
      </w:r>
    </w:p>
    <w:p>
      <w:pPr>
        <w:spacing w:after="0" w:line="88" w:lineRule="exact"/>
        <w:rPr>
          <w:rFonts w:ascii="Arial" w:cs="Arial" w:eastAsia="Arial" w:hAnsi="Arial"/>
          <w:sz w:val="17"/>
          <w:szCs w:val="17"/>
          <w:color w:val="auto"/>
        </w:rPr>
      </w:pPr>
    </w:p>
    <w:p>
      <w:pPr>
        <w:ind w:left="113" w:hanging="113"/>
        <w:spacing w:after="0"/>
        <w:tabs>
          <w:tab w:leader="none" w:pos="113" w:val="left"/>
        </w:tabs>
        <w:numPr>
          <w:ilvl w:val="0"/>
          <w:numId w:val="6"/>
        </w:numPr>
        <w:rPr>
          <w:rFonts w:ascii="Arial" w:cs="Arial" w:eastAsia="Arial" w:hAnsi="Arial"/>
          <w:sz w:val="16"/>
          <w:szCs w:val="16"/>
          <w:color w:val="auto"/>
        </w:rPr>
      </w:pPr>
      <w:r>
        <w:rPr>
          <w:rFonts w:ascii="Arial" w:cs="Arial" w:eastAsia="Arial" w:hAnsi="Arial"/>
          <w:sz w:val="16"/>
          <w:szCs w:val="16"/>
          <w:color w:val="auto"/>
        </w:rPr>
        <w:t>Mortgage banker cooperative management</w:t>
      </w:r>
    </w:p>
    <w:p>
      <w:pPr>
        <w:spacing w:after="0" w:line="99" w:lineRule="exact"/>
        <w:rPr>
          <w:rFonts w:ascii="Arial" w:cs="Arial" w:eastAsia="Arial" w:hAnsi="Arial"/>
          <w:sz w:val="16"/>
          <w:szCs w:val="16"/>
          <w:color w:val="auto"/>
        </w:rPr>
      </w:pPr>
    </w:p>
    <w:p>
      <w:pPr>
        <w:ind w:left="113" w:hanging="113"/>
        <w:spacing w:after="0"/>
        <w:tabs>
          <w:tab w:leader="none" w:pos="113"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 trading platform</w:t>
      </w:r>
    </w:p>
    <w:p>
      <w:pPr>
        <w:spacing w:after="0" w:line="200" w:lineRule="exact"/>
        <w:rPr>
          <w:sz w:val="20"/>
          <w:szCs w:val="20"/>
          <w:color w:val="auto"/>
        </w:rPr>
      </w:pPr>
    </w:p>
    <w:p>
      <w:pPr>
        <w:sectPr>
          <w:pgSz w:w="11900" w:h="16838" w:orient="portrait"/>
          <w:cols w:equalWidth="0" w:num="2">
            <w:col w:w="5440" w:space="267"/>
            <w:col w:w="5713"/>
          </w:cols>
          <w:pgMar w:left="240" w:top="125"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Real Estate Market: </w:t>
      </w:r>
      <w:r>
        <w:rPr>
          <w:rFonts w:ascii="Arial" w:cs="Arial" w:eastAsia="Arial" w:hAnsi="Arial"/>
          <w:sz w:val="16"/>
          <w:szCs w:val="16"/>
          <w:color w:val="auto"/>
        </w:rPr>
        <w:t>Provides real estate consumers and rental property investors with marketplaces and services that span the real estate lifecycle.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 segment, we provide:</w:t>
      </w:r>
    </w:p>
    <w:p>
      <w:pPr>
        <w:spacing w:after="0" w:line="15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Consumer Real Estate Solutions </w:t>
      </w:r>
      <w:r>
        <w:rPr>
          <w:rFonts w:ascii="Arial" w:cs="Arial" w:eastAsia="Arial" w:hAnsi="Arial"/>
          <w:sz w:val="18"/>
          <w:szCs w:val="18"/>
          <w:color w:val="auto"/>
        </w:rPr>
        <w:t>- the solutions, services and technologies typically used by home buyers and sellers to handle key aspects of buying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a residence.</w:t>
      </w:r>
    </w:p>
    <w:p>
      <w:pPr>
        <w:spacing w:after="0" w:line="170"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 doing business as Owners.com</w:t>
      </w:r>
      <w:r>
        <w:rPr>
          <w:rFonts w:ascii="Arial" w:cs="Arial" w:eastAsia="Arial" w:hAnsi="Arial"/>
          <w:sz w:val="25"/>
          <w:szCs w:val="25"/>
          <w:color w:val="auto"/>
          <w:vertAlign w:val="superscript"/>
        </w:rPr>
        <w:t>®</w:t>
      </w:r>
      <w:r>
        <w:rPr>
          <w:sz w:val="20"/>
          <w:szCs w:val="20"/>
          <w:color w:val="auto"/>
        </w:rPr>
        <w:tab/>
      </w:r>
      <w:r>
        <w:rPr>
          <w:rFonts w:ascii="Arial" w:cs="Arial" w:eastAsia="Arial" w:hAnsi="Arial"/>
          <w:sz w:val="16"/>
          <w:szCs w:val="16"/>
          <w:color w:val="auto"/>
        </w:rPr>
        <w:t>• Mortgage brokerage</w:t>
      </w:r>
    </w:p>
    <w:p>
      <w:pPr>
        <w:spacing w:after="0" w:line="12"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(agent and related services) and settlement services</w:t>
      </w:r>
      <w:r>
        <w:rPr>
          <w:sz w:val="20"/>
          <w:szCs w:val="20"/>
          <w:color w:val="auto"/>
        </w:rPr>
        <w:tab/>
      </w:r>
      <w:r>
        <w:rPr>
          <w:rFonts w:ascii="Arial" w:cs="Arial" w:eastAsia="Arial" w:hAnsi="Arial"/>
          <w:sz w:val="16"/>
          <w:szCs w:val="16"/>
          <w:color w:val="auto"/>
        </w:rPr>
        <w:t>• Homeowners insurance</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Real Estate Investor Solutions </w:t>
      </w:r>
      <w:r>
        <w:rPr>
          <w:rFonts w:ascii="Arial" w:cs="Arial" w:eastAsia="Arial" w:hAnsi="Arial"/>
          <w:sz w:val="18"/>
          <w:szCs w:val="18"/>
          <w:color w:val="auto"/>
        </w:rPr>
        <w:t>- the solutions, services and technologies used by buyers and sellers of single-family investment homes.</w:t>
      </w:r>
    </w:p>
    <w:p>
      <w:pPr>
        <w:spacing w:after="0" w:line="225"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Property preservation and inspection services</w:t>
      </w:r>
      <w:r>
        <w:rPr>
          <w:sz w:val="20"/>
          <w:szCs w:val="20"/>
          <w:color w:val="auto"/>
        </w:rPr>
        <w:tab/>
      </w:r>
      <w:r>
        <w:rPr>
          <w:rFonts w:ascii="Arial" w:cs="Arial" w:eastAsia="Arial" w:hAnsi="Arial"/>
          <w:sz w:val="16"/>
          <w:szCs w:val="16"/>
          <w:color w:val="auto"/>
        </w:rPr>
        <w:t>• Buy-renovate-lease-sell</w:t>
      </w:r>
    </w:p>
    <w:p>
      <w:pPr>
        <w:spacing w:after="0" w:line="77"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 and auction services</w:t>
      </w:r>
      <w:r>
        <w:rPr>
          <w:sz w:val="20"/>
          <w:szCs w:val="20"/>
          <w:color w:val="auto"/>
        </w:rPr>
        <w:tab/>
      </w:r>
      <w:r>
        <w:rPr>
          <w:rFonts w:ascii="Arial" w:cs="Arial" w:eastAsia="Arial" w:hAnsi="Arial"/>
          <w:sz w:val="16"/>
          <w:szCs w:val="16"/>
          <w:color w:val="auto"/>
        </w:rPr>
        <w:t>• Renovation services</w:t>
      </w:r>
    </w:p>
    <w:p>
      <w:pPr>
        <w:spacing w:after="0" w:line="77"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Data solutions</w:t>
      </w:r>
      <w:r>
        <w:rPr>
          <w:sz w:val="20"/>
          <w:szCs w:val="20"/>
          <w:color w:val="auto"/>
        </w:rPr>
        <w:tab/>
      </w:r>
      <w:r>
        <w:rPr>
          <w:rFonts w:ascii="Arial" w:cs="Arial" w:eastAsia="Arial" w:hAnsi="Arial"/>
          <w:sz w:val="16"/>
          <w:szCs w:val="16"/>
          <w:color w:val="auto"/>
        </w:rPr>
        <w:t>• Property management services</w:t>
      </w:r>
    </w:p>
    <w:p>
      <w:pPr>
        <w:spacing w:after="0" w:line="77"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(agent and related services) and settlement services</w:t>
      </w:r>
      <w:r>
        <w:rPr>
          <w:sz w:val="20"/>
          <w:szCs w:val="20"/>
          <w:color w:val="auto"/>
        </w:rPr>
        <w:tab/>
      </w:r>
      <w:r>
        <w:rPr>
          <w:rFonts w:ascii="Arial" w:cs="Arial" w:eastAsia="Arial" w:hAnsi="Arial"/>
          <w:sz w:val="16"/>
          <w:szCs w:val="16"/>
          <w:color w:val="auto"/>
        </w:rPr>
        <w:t>• Appraisal management services and broker and non-broker valuation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services</w:t>
      </w:r>
    </w:p>
    <w:p>
      <w:pPr>
        <w:spacing w:after="0" w:line="2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Other Businesses, Corporate and Eliminations</w:t>
      </w:r>
      <w:r>
        <w:rPr>
          <w:rFonts w:ascii="Arial" w:cs="Arial" w:eastAsia="Arial" w:hAnsi="Arial"/>
          <w:sz w:val="17"/>
          <w:szCs w:val="17"/>
          <w:color w:val="auto"/>
        </w:rPr>
        <w:t>: Includes certain ancillary businesses, interest expense and unallocated costs related to corporate support</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functions. The businesses in this segment include post-charge-off consumer debt collection services, customer relationship management services and information technology (“IT”) infrastructure management services. Interest expense relates to the Company’s senior secured term loan and corporate support functions include executive, finance, law, compliance, human resources, vendor management, facilities, risk management and sales and marketing costs not allocated to the business units. This segment also includes eliminations of transactions between the reportable segments.</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Lenders One is a mortgage cooperative managed, but not owned, by Altisource. Lenders One is included in revenue and reduced from net income to arrive at net income attributable to Altisource.</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Effective January 1, 2017,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new reportable segments: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 Market</w:t>
      </w:r>
      <w:r>
        <w:rPr>
          <w:rFonts w:ascii="Arial" w:cs="Arial" w:eastAsia="Arial" w:hAnsi="Arial"/>
          <w:sz w:val="17"/>
          <w:szCs w:val="17"/>
          <w:color w:val="auto"/>
        </w:rPr>
        <w:t xml:space="preserve">. In addition, we report </w:t>
      </w:r>
      <w:r>
        <w:rPr>
          <w:rFonts w:ascii="Arial" w:cs="Arial" w:eastAsia="Arial" w:hAnsi="Arial"/>
          <w:sz w:val="17"/>
          <w:szCs w:val="17"/>
          <w:i w:val="1"/>
          <w:iCs w:val="1"/>
          <w:color w:val="auto"/>
        </w:rPr>
        <w:t>Other Businesses, Corporate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Eliminations </w:t>
      </w:r>
      <w:r>
        <w:rPr>
          <w:rFonts w:ascii="Arial" w:cs="Arial" w:eastAsia="Arial" w:hAnsi="Arial"/>
          <w:sz w:val="17"/>
          <w:szCs w:val="17"/>
          <w:color w:val="auto"/>
        </w:rPr>
        <w:t>separately. Prior to the January 1, 2017 change in reportable segments, our reportable segments were</w:t>
      </w:r>
      <w:r>
        <w:rPr>
          <w:rFonts w:ascii="Arial" w:cs="Arial" w:eastAsia="Arial" w:hAnsi="Arial"/>
          <w:sz w:val="17"/>
          <w:szCs w:val="17"/>
          <w:i w:val="1"/>
          <w:iCs w:val="1"/>
          <w:color w:val="auto"/>
        </w:rPr>
        <w:t xml:space="preserve"> Mortgage Services</w:t>
      </w:r>
      <w:r>
        <w:rPr>
          <w:rFonts w:ascii="Arial" w:cs="Arial" w:eastAsia="Arial" w:hAnsi="Arial"/>
          <w:sz w:val="17"/>
          <w:szCs w:val="17"/>
          <w:color w:val="auto"/>
        </w:rPr>
        <w:t>,</w:t>
      </w:r>
      <w:r>
        <w:rPr>
          <w:rFonts w:ascii="Arial" w:cs="Arial" w:eastAsia="Arial" w:hAnsi="Arial"/>
          <w:sz w:val="17"/>
          <w:szCs w:val="17"/>
          <w:i w:val="1"/>
          <w:iCs w:val="1"/>
          <w:color w:val="auto"/>
        </w:rPr>
        <w:t xml:space="preserve"> Financial Services </w:t>
      </w:r>
      <w:r>
        <w:rPr>
          <w:rFonts w:ascii="Arial" w:cs="Arial" w:eastAsia="Arial" w:hAnsi="Arial"/>
          <w:sz w:val="17"/>
          <w:szCs w:val="17"/>
          <w:color w:val="auto"/>
        </w:rPr>
        <w:t>and</w:t>
      </w:r>
      <w:r>
        <w:rPr>
          <w:rFonts w:ascii="Arial" w:cs="Arial" w:eastAsia="Arial" w:hAnsi="Arial"/>
          <w:sz w:val="17"/>
          <w:szCs w:val="17"/>
          <w:i w:val="1"/>
          <w:iCs w:val="1"/>
          <w:color w:val="auto"/>
        </w:rPr>
        <w:t xml:space="preserve"> Technology Services</w:t>
      </w:r>
      <w:r>
        <w:rPr>
          <w:rFonts w:ascii="Arial" w:cs="Arial" w:eastAsia="Arial" w:hAnsi="Arial"/>
          <w:sz w:val="17"/>
          <w:szCs w:val="17"/>
          <w:color w:val="auto"/>
        </w:rPr>
        <w:t>. The former</w:t>
      </w:r>
      <w:r>
        <w:rPr>
          <w:rFonts w:ascii="Arial" w:cs="Arial" w:eastAsia="Arial" w:hAnsi="Arial"/>
          <w:sz w:val="17"/>
          <w:szCs w:val="17"/>
          <w:i w:val="1"/>
          <w:iCs w:val="1"/>
          <w:color w:val="auto"/>
        </w:rPr>
        <w:t xml:space="preserve"> Mortgage Services </w:t>
      </w:r>
      <w:r>
        <w:rPr>
          <w:rFonts w:ascii="Arial" w:cs="Arial" w:eastAsia="Arial" w:hAnsi="Arial"/>
          <w:sz w:val="17"/>
          <w:szCs w:val="17"/>
          <w:color w:val="auto"/>
        </w:rPr>
        <w:t>segment was separated into the</w:t>
      </w:r>
      <w:r>
        <w:rPr>
          <w:rFonts w:ascii="Arial" w:cs="Arial" w:eastAsia="Arial" w:hAnsi="Arial"/>
          <w:sz w:val="17"/>
          <w:szCs w:val="17"/>
          <w:i w:val="1"/>
          <w:iCs w:val="1"/>
          <w:color w:val="auto"/>
        </w:rPr>
        <w:t xml:space="preserve"> Mortgage 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 </w:t>
      </w:r>
      <w:r>
        <w:rPr>
          <w:rFonts w:ascii="Arial" w:cs="Arial" w:eastAsia="Arial" w:hAnsi="Arial"/>
          <w:sz w:val="17"/>
          <w:szCs w:val="17"/>
          <w:color w:val="auto"/>
        </w:rPr>
        <w:t>segments. Furthermore,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software services business units that were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and the mortgage charge-off collections business that was formerly in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are now included in the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w:t>
      </w:r>
      <w:r>
        <w:rPr>
          <w:rFonts w:ascii="Arial" w:cs="Arial" w:eastAsia="Arial" w:hAnsi="Arial"/>
          <w:sz w:val="17"/>
          <w:szCs w:val="17"/>
          <w:i w:val="1"/>
          <w:iCs w:val="1"/>
          <w:color w:val="auto"/>
        </w:rPr>
        <w:t>Other Businesses, Corporate and Eliminations</w:t>
      </w:r>
      <w:r>
        <w:rPr>
          <w:rFonts w:ascii="Arial" w:cs="Arial" w:eastAsia="Arial" w:hAnsi="Arial"/>
          <w:sz w:val="17"/>
          <w:szCs w:val="17"/>
          <w:color w:val="auto"/>
        </w:rPr>
        <w:t xml:space="preserve"> includes asset recovery management services and customer relationship management services that were formerly in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as well as IT infrastructure management services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Prior year comparable period segment disclosures have been restated to conform to the current year presentation.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71"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Generated $66.1 million of cash flows from operating activities and $110.5 million of adjusted cash flows from operating activities (this is a non-GAAP measure that is defined and reconciled to the corresponding GAAP measure on pages 29 to 31)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Ended 2017 with $154.2 million of cash, cash equivalents and marketable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Repurchased 1.6 million shares of our common stock at an average price of $23.84 per share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Repurchased $60.1 million par value of our senior secured term loan at a weighted average discount of 10.7%, recognizing a net gain of $5.6 million on the early extinguishment of debt</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Recognized a net income tax benefit of $284.1 million in the fourth quarter of 2017 relating to the merger of two of the Company’s Luxembourg subsidiaries, the impact of statutory tax rate changes in the U.S. and Luxembourg and foreign income tax reserves</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Amended our senior secured term loan to allow the Company to directly repurchase its debt in the open market and permit the internal restructuring of our Luxembourg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Solutions</w:t>
      </w:r>
    </w:p>
    <w:p>
      <w:pPr>
        <w:spacing w:after="0" w:line="171"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Selected by 9 bank and non-bank loan servicers to provide property preservation and inspection services, real estate brokerage and auction services, or title insurance and settlement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Selected as a service provider by 4 servicers in the first quarter of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Grew non-Ocwen and non-NRZ (defined below) service revenue by 9% compared to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Maintained Altisource as one of the leading REO asset managers and online auctioneers of residential real estate through its Hubzu.com platform</w:t>
      </w:r>
    </w:p>
    <w:p>
      <w:pPr>
        <w:spacing w:after="0" w:line="32"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Entered into agreements with New Residential Investment Corp. (individually, together with one or more of its subsidiaries, or one or more of its subsidiaries individually, “NRZ”) that establish Altisource as the exclusive provider of REO brokerage services for mortgage servicing rights (“MSRs”) that NRZ agreed to acquire from Ocwen (see Item 7 of Part I, “</w:t>
      </w:r>
      <w:r>
        <w:rPr>
          <w:rFonts w:ascii="Arial" w:cs="Arial" w:eastAsia="Arial" w:hAnsi="Arial"/>
          <w:sz w:val="17"/>
          <w:szCs w:val="17"/>
          <w:i w:val="1"/>
          <w:iCs w:val="1"/>
          <w:color w:val="auto"/>
        </w:rPr>
        <w:t>Ocwen Related Matters</w:t>
      </w:r>
      <w:r>
        <w:rPr>
          <w:rFonts w:ascii="Arial" w:cs="Arial" w:eastAsia="Arial" w:hAnsi="Arial"/>
          <w:sz w:val="17"/>
          <w:szCs w:val="17"/>
          <w:color w:val="auto"/>
        </w:rPr>
        <w:t>,” for a detailed description)</w:t>
      </w: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Entered into a non-binding Letter of Intent (subsequently amended) to enter into a Services Agreement with NRZ to provide fee-based services for MSRs that NRZ agreed to acquire from Ocwen (see Item 7 of Part I, “</w:t>
      </w:r>
      <w:r>
        <w:rPr>
          <w:rFonts w:ascii="Arial" w:cs="Arial" w:eastAsia="Arial" w:hAnsi="Arial"/>
          <w:sz w:val="18"/>
          <w:szCs w:val="18"/>
          <w:i w:val="1"/>
          <w:iCs w:val="1"/>
          <w:color w:val="auto"/>
        </w:rPr>
        <w:t>Ocwen Related Matters</w:t>
      </w:r>
      <w:r>
        <w:rPr>
          <w:rFonts w:ascii="Arial" w:cs="Arial" w:eastAsia="Arial" w:hAnsi="Arial"/>
          <w:sz w:val="18"/>
          <w:szCs w:val="18"/>
          <w:color w:val="auto"/>
        </w:rPr>
        <w:t>,” for a detailed description)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Solutions</w:t>
      </w:r>
    </w:p>
    <w:p>
      <w:pPr>
        <w:spacing w:after="0" w:line="171" w:lineRule="exact"/>
        <w:rPr>
          <w:sz w:val="20"/>
          <w:szCs w:val="20"/>
          <w:color w:val="auto"/>
        </w:rPr>
      </w:pPr>
    </w:p>
    <w:p>
      <w:pPr>
        <w:jc w:val="both"/>
        <w:ind w:left="66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Approved as a loan fulfillment provider for residential loan securitizations by Standard &amp; Poor’s Financial Services LLC, Moody’s Investors Service, Inc., Kroll Bond Rating Agency, Inc., DBRS, Inc. and Fitch Ratings Inc. (acceptance by Fitch as a reviewer of loans for securitizations was received in January 2018)</w:t>
      </w:r>
    </w:p>
    <w:p>
      <w:pPr>
        <w:ind w:left="660" w:hanging="328"/>
        <w:spacing w:after="0" w:line="27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Selected by 7 lenders in 2017 and early 2018 to provide platform solutions including loan fulfillment services, loan processing services, or CastleLine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certification and insurance services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Real Estate Solutions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Grew Owners.com residential purchases and sales by 713% in 2017 from 106 transactions in 2016 to 862 transactions in 2017</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Launched Owners.com Loans to broker mortgages to Owners.com home buyers to deliver an integrated solution for consumers and grow revenue per sale</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Implemented an agile operating model inspired by best-in-class Internet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Investor Solutions</w:t>
      </w:r>
    </w:p>
    <w:p>
      <w:pPr>
        <w:spacing w:after="0" w:line="171"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Purchased 257 homes and sold 158 homes in the buy-renovate-lease-sell business in 2017 compared to 119 home purchases and 14 home sales in 2016</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the inventory of homes in the buy-renovate-lease-sell business by 94% to 204 homes as of December 31, 2017 compared to December 31, 2016</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a residential rental property management vendor rating of MOR RV2 from Morningstar Credit Ratings, LLC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customers include some of the largest financial institutions in the United States, government-sponsored enterprises (“GSEs”), utility companies, commercial banks, servicers, investors, non-bank originators and correspondent lenders, mortgage bankers,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insurance companies and financial services companies. In addition, consumers are increasingly becoming customers of the Company through Owners.com, as this business continues to grow. During 2017, we entered into a strategic relationship with NRZ and were selected to provide services for large bank and non-bank loan servicers and lenders, positioning us well for 2018 and future years.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2017, Ocwen was our largest customer, accounting for 58% of our total revenue. Ocwen is a residential mortgage loan servicer for MSRs it owns, including those MSRs in which others have an economic interest, which includes NRZ, and purchases certain mortgage services and technology services from us under the terms of master services agreements and amendments thereto (collectively, the “Ocwen Services Agreements”) with terms extending through August 2025. Ocwen also purchases certain origination services from Altisource under an agreement that continues until January 2019, but which is subject to a 90 day termination right by Ocwen.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loans serviced by Ocwen when Ocwen designates us as the service provider and revenue earned directly from Ocwen. For the years ended December 31, 2017, 2016 and 2015, we generated revenue from Ocwen of $542.0 million, $561.9 million and $631.6 million, respectively. Revenue from Ocwen as a percentage of segment and consolidated revenue was as follows for the years ended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7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Real Estate Market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or the MSR owner selects Altisource as the service provider. For the years ended December 31, 2017, 2016 and 2015, we recognized revenue of $148.5 million, $188.0 million and $216.9 million, respectively, related to the portfolios serviced by Ocwen when a party other than Ocwen or the MSR owner selected Altisource as the service provider. These amounts are not included in deriving revenue from Ocwen as a percentage of revenue in the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accounts receivable from Ocwen totaled $18.9 million, $13.6 million of which was billed and $5.3 million of which was unbilled.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2017, we estimate that NRZ owned certain economic rights in, but not legal title to, approximately 78% of Ocwen’s non-GSE MSRs (the “Subject MSRs”). In July 2017, Ocwen and NRZ entered into agreements to convert NRZ’s economic rights to the Subject MSRs into fully-owned MSRs in exchange for payments from NRZ to Ocwen when such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MSRs and the right to designate the broker for REO properties in such portfolios. The Brokerage Agreement provides that Altisource is the exclusive provider of brokerage services for REO associated with the Subject MSRs, irrespective of the sub-servicer. NRZ’s brokerage subsidiary will receive a cooperative brokerage commission on the sale of certain REO properties from these portfolios subject to certain exceptions.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and NRZ also entered into a non-binding Letter of Intent (subsequently amended) to enter into a Services Agreement (the “Services LOI”), setting forth the terms pursuant to which Altisource would remain the exclusive service provider of fee-based services for the Subject MSRs through August 2025. The Services LOI was amended to continue through February 28, 2018 (with a further automatic extension through March 31, 2018 provided that the parties continue to negotiate the Services Agreement in good faith).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between Altisource and NRZ during the term of the Services LOI.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execution of the Services Agreement, we anticipate that revenue from NRZ would increase and revenue from Ocwen would decrease. As Subject MSRs continue to transfer from Ocwen to NRZ, we anticipate that NRZ will become our largest customer. Had all of the Subject MSRs been transferred to NRZ and the Brokerage Agreement and the Services Agreement with NRZ were in place as of January 1, 2017, we estimate that approximately 50% of our 2017 revenue would have been related to NRZ. There can be no assurance that the parties will reach an agreement with respect to the terms of the Services Agreement or that a Services Agreement will be entered into on a timely basis or at all.</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2017, we earned revenue from NRZ of $2.4 million following the transfer of certain of the Subject MSRs from Ocwen to NRZ (the “Transferred MSRs”) (no comparative amounts in 2016 or 2015). For the year ended December 31, 2017, we earned additional revenue of $3.9 million relating to the Transferred MSRs when a party other than NRZ selects Altisource as the service provider (no comparative amounts in 2016 or 2015).</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services are provided to customers primarily located in the United States. Financial information for our segments can be found in Note 24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enterprise sales and marketing team and business unit sales executives have extensive relationship management and industry experience. These individuals cultivate and maintain relationships throughout the industry sectors we serve. We sell our suite of services to mortgage servicers, mortgage originators, buyers and sellers of homes for personal and investment use and financial services firms.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primary sales and marketing focus areas for institutional customers are to:</w:t>
      </w:r>
    </w:p>
    <w:p>
      <w:pPr>
        <w:spacing w:after="0" w:line="171" w:lineRule="exact"/>
        <w:rPr>
          <w:sz w:val="20"/>
          <w:szCs w:val="20"/>
          <w:color w:val="auto"/>
        </w:rPr>
      </w:pPr>
    </w:p>
    <w:p>
      <w:pPr>
        <w:ind w:left="34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relationships with existing customers by cross-selling additional services and growing the volume of existing services we provide. We believe our customer relationships represent a meaningful growth opportunity for us;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new customer relationships leveraging a comprehensive suite of services, strong performance and controls. We believe there is a large opportunity to provide our services to potential customers; and</w:t>
      </w:r>
    </w:p>
    <w:p>
      <w:pPr>
        <w:jc w:val="both"/>
        <w:ind w:left="340" w:hanging="332"/>
        <w:spacing w:after="0" w:line="22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new offerings to existing customers and prospects. Some of our newer offerings include our suite of support services for FHA mortgages, Vendorly™, a SaaS-based vendor management platform, Trelix Connect™, a SaaS-based loan review system, noteXchange</w:t>
      </w:r>
      <w:r>
        <w:rPr>
          <w:rFonts w:ascii="Arial" w:cs="Arial" w:eastAsia="Arial" w:hAnsi="Arial"/>
          <w:sz w:val="25"/>
          <w:szCs w:val="25"/>
          <w:color w:val="auto"/>
          <w:vertAlign w:val="superscript"/>
        </w:rPr>
        <w:t>®</w:t>
      </w:r>
      <w:r>
        <w:rPr>
          <w:rFonts w:ascii="Arial" w:cs="Arial" w:eastAsia="Arial" w:hAnsi="Arial"/>
          <w:sz w:val="18"/>
          <w:szCs w:val="18"/>
          <w:color w:val="auto"/>
        </w:rPr>
        <w:t>, a SaaS platform to facilitate whole loan purchase and sale transactions, and residential and commercial loan disbursement processing, risk mitigation and construction inspection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primary sales and marketing focus areas for consumers are to:</w:t>
      </w:r>
    </w:p>
    <w:p>
      <w:pPr>
        <w:spacing w:after="0" w:line="171" w:lineRule="exact"/>
        <w:rPr>
          <w:sz w:val="20"/>
          <w:szCs w:val="20"/>
          <w:color w:val="auto"/>
        </w:rPr>
      </w:pPr>
    </w:p>
    <w:p>
      <w:pPr>
        <w:ind w:left="34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home buyers and sellers to Owners.com and Hubzu.com with a compelling value proposition through online marketing, search engine optimization and public relations;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local real estate agents to provide personalized service to existing and prospective customers.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highly regulated nature of the industries that we serve and the comprehensive purchasing process that our customers and prospects follow, the time and effort we spend in expanding relationships or winning new relationships is significant. For example, it can often take more than one year from the request for proposal or qualified lead stage to the selection of Altisource as a service provider. Furthermore, following the selection of Altisource, it is not unusual for it to take an additional six to twelve months or more to negotiate the services agreement(s), complete the implementation procedures and begin receiving referrals.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Data</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contractual restrictions, internal security practices, patents, trademarks and copyrights to establish and protect our trade secrets, intellectual property, software, technology and expertise. We also own or, as necessary and appropriate, have obtained licenses from third parties to intellectual property relating to our services, processes and businesses. These intellectual property rights are important factors in the success of our businesses.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we have been awarded one patent that expires in 2023, four patents that expire in 2024, eight patents that expire in 2025, two patents that expire in 2026, two patents that expire in 2029 and one patent that expires in 2030. In addition, we have registered trademarks, or recently filed applications for the registration of trademarks, in a number of jurisdictions including the United States, the European Union (“EU”), India and nine other jurisdictions. These trademarks generally can be renewed indefinitely, provided they are being used in commerce.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the measures we deem reasonable and necessary to develop and protect our patents, trademarks, copyrights, trade secrets and other intellectual property rights.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make use of data in connection with certain of our services. This data generally relates to mortgage information, real property information and consumer information. We gather this data from a variety of third party sources, including from governmental entities and, subject to licensed usage rights, we use this data in connection with the delivery of our services, including combining it with proprietary data we generate to further enhance data and metrics in connection with our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suite of services to mortgage servicers, mortgage originators, buyers and sellers of homes for personal and investment use and financial services firms. The mortgage and real estate markets are very large and are influenced by macroeconomic factors such as credit availability, interest rates, home prices, inflation, unemployment rates and consumer confidence.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markets to provide services for mortgage servicers and mortgage originators are highly competitive and generally consist of a few national companies, in-house providers and a large number of regional and local providers. We typically compete based upon product and service awareness and offerings, product and service delivery, quality and control environment, technology integration and support, price and financial strength.</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markets to provide services for buyers and sellers of homes for personal and investment use are highly competitive and generally consist of several national companies, a large number of regional and local providers and start-up companies. We typically compete based upon product and service awareness and offerings, product and service delivery, ease of transacting, price and personal service.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financial services firms, we provide collection services and customer relationship management services. The markets to provide these services are highly competitive and generally consist of several national companies, a large number of regional and local providers and in-house providers. We typically compete based upon product and service awareness and offerings, product and service delivery, quality and control environment, technology integration and support, price and financial strength.</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competitors may have greater financial resources, brand recognition, alternative or disruptive products and other competitive advantages. We cannot determine our market share with certainty, but believe for mortgage servicers and collection services for financial services firms, we have a modest share of the market, and for the others we have relatively small market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had the following number of employees: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United States</w:t>
            </w:r>
          </w:p>
        </w:tc>
        <w:tc>
          <w:tcPr>
            <w:tcW w:w="14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India</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Philippines</w:t>
            </w: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Uruguay</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Luxembourg</w:t>
            </w:r>
          </w:p>
        </w:tc>
        <w:tc>
          <w:tcPr>
            <w:tcW w:w="1240" w:type="dxa"/>
            <w:vAlign w:val="bottom"/>
          </w:tcPr>
          <w:p>
            <w:pPr>
              <w:jc w:val="right"/>
              <w:ind w:right="136"/>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Real Estate Market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Businesses, Corporate and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employees</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5,114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experienced any work stoppages and we consider our relations with employees to be good. We believe our future success will depend, in part, on our continuing ability to attract, hire and retain skilled and experienced personnel.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loan originations and certain property preservation services typically tend to be at their lowest level during the fall and winter months and at their highest level</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spring and summer months. In addition, the asset recovery management business tends to be higher in the first quarter, as borrowers may utilize tax refunds and bonuses to pay debts, and generally declines throughout the remainder of the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 and the business of our customers are subject to extensive scrutiny and regulation by federal, state and local governmental authorities including the Federal Trade Commission (“FTC”), the Consumer Financial Protection Bureau (“CFPB”), the Securities and Exchange Commission (“SEC”), the Department of Housing and Urban Development (“HUD”), various federal and state banking regulators and the state and local agencies that license or oversee certain of our auction, real estate brokerage, mortgage and debt collection services, trustee services, property management services and insurance services. We also must comply with a number of federal, state and local consumer protection laws including, among others:</w:t>
      </w:r>
    </w:p>
    <w:p>
      <w:pPr>
        <w:spacing w:after="0" w:line="11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Americans with Disabilities Act (“ADA”);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California Homeowner Bill of Rights (“CHBR”);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(“CAN-SPAM”);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Equal Credit Opportunity Act (“ECOA”);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and Accurate Credit Transactions Act (“FACTA”);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Credit Reporting Act (“FCRA”);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Debt Collection Practices Act (“FDCPA”);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Housing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Trade Commission Act (“FTC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Gramm-Leach-Bliley Act (“GLBA”);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Home Affordable Refinance Program (“HARP”);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Home Mortgage Disclosure Act (“HMDA”);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Home Ownership and Equity Protection Act (“HOEPA”);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New York Real Property Actions and Proceedings Law (“RPAPL”);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Real Estate Settlement Procedures Act (“RESPA”);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Secure and Fair Enforcement for Mortgage Licensing (“SAFE”)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Servicemembers Civil Relief Act (“SCRA”);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Telephone Consumer Protection Act (“TCPA”);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Truth in Lending Act (“TILA”);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Unfair, Deceptive or Abusive Acts and Practices statutes (“UDAAP”).</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the requirements of the Foreign Corrupt Practices Act (“FCPA”) and comparable foreign laws, due to our activities in foreign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federal and state laws regarding privacy and data security, we are also subject to data protection laws in the countries in which we operate.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anticipate that we will be subject to the European General Data Protection Regulation (“GDPR”) when it goes into effect on May 25, 2018.</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Legal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The interpretation or enforcement by regulatory authorities of applicable laws and regulations also may change over time. In addition, the creation of new regulatory authorities or changes in the regulatory authorities overseeing applicable laws and regulations may also result in changing interpretation or enforcement of such laws or regulations.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comply with applicable laws or regulations or changing interpretation of such laws or regulations could subject the Company to criminal or civil liability, significant penalties, fines, settlements, costs and consent orders affecting us or our customers that may curtail or restrict the business as it is currently conducted and could have an adverse effect on our financial condition or results of operations.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certain of our technology services are provided at the direction of, and pursuant to, the identified requirements of our customers. The failure of our customers to properly identify or account for regulatory requirements applicable to such technology services could expose us to significant penalties, fines, settlements, costs and consent orders that could have an adverse effect on our financial condition or results of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may be subject to licensing and regulation as a provider of certain services including, among others, services as a mortgage origination underwriter, mortgage broker, valuation provider, appraisal management company, asset manager, property manager, property renovator, property lessor, title insurance agent, insurance broker and underwriter, real estate broker, auctioneer, foreclosure trustee and debt collector in a number of jurisdictions. Our employees and subsidiaries may be required to be licensed by or registered with various jurisdictions for the particular type of service sold or provided and to participate in regular continuing education programs. 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any of these inquiries. In conjunction with one such inquiry and as previously disclosed, Altisource received a Notice and Opportunity to Respond and Advise (“NORA”) letter on November 10, 2016 from the CFPB indicating that the CFPB is considering a potential enforcement action against Altisource relating to an alleged violation of federal law focused on REALServicing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certain other technology services provided to Ocwen, including claims related to the features, functioning and support of such technology. The NORA process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 we believe it is premature to predict the potential outcome or to estimate any potential financial impact in connection with any potential CFPB enforcement 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information with the SEC. These filings are available to the public on the SEC’s website at </w:t>
      </w:r>
      <w:r>
        <w:rPr>
          <w:rFonts w:ascii="Arial" w:cs="Arial" w:eastAsia="Arial" w:hAnsi="Arial"/>
          <w:sz w:val="17"/>
          <w:szCs w:val="17"/>
          <w:i w:val="1"/>
          <w:iCs w:val="1"/>
          <w:u w:val="single" w:color="auto"/>
          <w:color w:val="380BB5"/>
        </w:rPr>
        <w:t>www.sec.gov</w:t>
      </w:r>
      <w:r>
        <w:rPr>
          <w:rFonts w:ascii="Arial" w:cs="Arial" w:eastAsia="Arial" w:hAnsi="Arial"/>
          <w:sz w:val="17"/>
          <w:szCs w:val="17"/>
          <w:color w:val="auto"/>
        </w:rPr>
        <w:t>. You may also read and copy any document we file at the SEC’s public reference room located at 100 F Street, N.E., Washington, DC 20549. Please call the SEC at 1-800-SEC-0330 for further information on the public reference room.</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380BB5"/>
        </w:rPr>
        <w:t>www.altisource.com</w:t>
      </w:r>
      <w:r>
        <w:rPr>
          <w:rFonts w:ascii="Arial" w:cs="Arial" w:eastAsia="Arial" w:hAnsi="Arial"/>
          <w:sz w:val="18"/>
          <w:szCs w:val="18"/>
          <w:color w:val="auto"/>
        </w:rPr>
        <w:t xml:space="preserve"> and we encourage investors to use it as a way to easily find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or other events related to such risks, or additional risks and uncertainties not presently known to us or that we currently deem immaterial, actually occur, our business, results of operations and financial condition could be adversely affected. Furthermore, the risk factors described below may not describe the full nature or scope of such risks.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economy and the housing market can affect demand for our services.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performance and growth of certain of our businesses are dependent on the volume of residential loan originations and single family residential real estate transactions in the United States. In the event of an economic slowdown, increase in interest rates or any other factor that would lead to a decrease in the volume of residential real estate transactions, our origination services, residential real estate brokerage and real estate investor solutions businesses, including our buy-renovate-lease-sell program, could be adversely affected. A strengthening economy and housing market may result in lower delinquencies, negatively impacting our default related businesses. Further, in the event that adverse economic conditions or other factors lead to a decline in levels of home ownership and a reduction in the aggregate number of United States mortgage loans outstanding, our revenues and results of operations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substantial competition.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markets for our services are very competitive. Our competitors vary in size and in the scope and breadth of the services they offer. We compete for existing and new customers against both third parties and the in-house capabilities of our customers. Some of our competitors are more established, better known and have substantial resources, and some have widely-used technology platforms which they seek to use as a competitive advantage to drive sales of other competing products and services. Some of</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competitors may have additional competitive advantages over us. In addition, we expect the markets in which we compete will continue to attract new competitors, and that our competitors will develop new products, services and technologies. These new products, services and technologies may render our existing offerings obsolete and our competitors’ offerings may gain market acceptance over our offerings. Furthermore, we may not be able to meet the terms of our customers’ service level agreements or otherwise meet our customers’ expectations. There can be no assurance we will be able to compete successfully against current or future competitors or that competitive pressures we face in the markets in which we operate will not adversely affect our business, financial condition and results of operations.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Ocwen is currently our largest customer and the loss of Ocwen as a customer or a significant reduction in the size of Ocwen could adversely affect our business and results of operations.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2017, Ocwen was our largest customer, accounting for 58% of our total revenue. Additionally, 16% of our revenue for the year ended December 31, 2017 was earned on the portfolios serviced by Ocwen, when a party other than Ocwen or the MSR owner selected Altisource as the service provider.</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While not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Ocwen has notified us, disclosed in its filings and stated in connection with resolving several state administrative actions discussed above, that it plans to transition from REALServicing to another mortgage servicing software platform. There can be no assurance that we will be able to integrate our systems and technologies with Ocwen’s new mortgage servicing platform or inter-operate with Ocwen’s new mortgage servicing platform without adversely impacting our business and results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may be other events that could cause the loss of Ocwen as a customer or reduce the size of our relationship with Ocwen, or that could otherwise adversely affect the revenues we earn from Ocwen, and adversely affect our business and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entered into the Brokerage Agreement (as amended) with NRZ’s licensed brokerage subsidiary with respect to the Subject MSRs. If the Brokerage Agreement (as amended) is terminated, our business and results of operations could be affected.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2017, we estimate that NRZ owned certain economic rights in, but not legal title to, approximately 78% of the Subject MSRs. In July 2017, Ocwen and NRZ entered into agreements to convert NRZ’s economic rights to the Subject MSRs into fully-owned MSRs in exchange for payments from NRZ to Ocwen when such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28, 2017, we entered into the Brokerage Agreement (as amended) with NRZ’s licensed brokerage subsidiary to provide real estate brokerage services for the Subject MSRs and with respect to approximately $6 billion of non-Ocwen serviced non-GSE portfolios. The Brokerage Agreement (as amended) is effective through August 31, 2025 but may be terminated early by us if we are not able to enter into a Services Agreement with NRZ during the term of the Services LOI, or by NRZ upon the occurrence of certain specified events, some of which are not subject to a cure period. Termination events include, but are not limited to, a breach of the terms of the Brokerage Agreement (as amended) (including, without limitation, the failure to meet performance standards and non-compliance with law), the failure to maintain licenses which failure materially prevents performance of the contract, regulatory allegations of non-compliance, voluntary or involuntary bankruptcy, appointment of a receiver, disclosure in a Form 10-K or Form 10-Q that there is significant uncertainty about Altisource’s ability to continue as a going concern, failure to maintain a specified level of cash and an unapproved change of control. If any one of these termination events occurs and the Brokerage Agreement (as amended) is terminated, this could have a material adverse impact on our future revenue and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negotiating a Services Agreement with NRZ to provide certain-fee based services for the Subject MSRs. If we are not able to reach an agreement with respect to the terms of the Services Agreement, our business and results of operations could be affected.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executed the Services LOI with NRZ to enter into a Services Agreement, setting forth the terms pursuant to which Altisource S.à r.l. would be the exclusive service provider of certain fee-based services with respect to the Subject MSRs through August 2025. If we are not able to reach an agreement with respect to the terms of the Services Agreement, and our role as a service provider with respect to the Subject MSRs is replaced or reduced, our revenue could be lower and our results of operations could be materially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continuing relationship with Ocwen may inhibit our ability to attract and retain other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significance of our relationship with Ocwen and the regulatory scrutiny of Ocwen, we may encounter difficulties in attracting new customers and retaining existing customers. Should these and other potential customers view Altisource as part of Ocwen or as too closely related to or dependent upon Ocwen, they may be unwilling to utilize our services and our non-Ocwen growth could be inhibited as a result and our results of operations could be adversely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key customer relationships, other than Ocwen and NRZ, the loss of which could affect our business and results of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no individual client, other than Ocwen and NRZ, represents more than 10% of our consolidated revenue, we are exposed to customer concentration. Most of our customers are not contractually obligated to continue to use our services at historical levels or at all. The loss of any of these key customers or their failure to pay us could reduce our revenue and adversely affect our results of operations.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intellectual property rights are valuable and any inability to protect them or challenges to our right to use them could reduce the value of our services or increase our costs.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patents, trademarks, trade secrets, copyrights and other intellectual property rights are important assets. The efforts we have taken to protect these proprietary rights may not be sufficient or effective in every case and in some cases we may not seek protection or to defend our rights. The unauthorized use of our intellectual property or significant impairment of our intellectual property rights could harm our business, make it more expensive to do business or hurt our ability to compete. Protecting our intellectual property rights is costly and time-consuming.</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seek to obtain patent protection for certain of our innovations, it is possible we may not be able to protect all of the innovations for which we seek protection. Changes in patent law, such as changes in the law regarding patentable subject matter, can also impact our ability to obtain patent protection for our innovations. In addition, given the costs of obtaining patent protection, we may choose not to protect certain innovations that later turn out to be important. Furthermore, there is always the possibility, despite our efforts, that the scope of the protection gained will be insufficient or an issued patent may be deemed invalid or unenforceable.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Further, as our technology solutions and services develop, we may become increasingly subject to infringement claims by others. Any claims, whether with or without merit, could:</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expensive and time-consuming to defend;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us to cease making, licensing or using technology solutions that incorporate the challenged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redesign our technology solutions, if feasible;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 management’s attention and resources;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in order to obtain the right to use necessary technologies.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protect our intellectual property rights could adversely impact our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Technology failures, defects or inadequacies, development delays or installation difficulties, acts of vandalism or the introduction of harmful code could damage our business operations and increase our costs.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Disruptions, failures, defects or inadequacies in our technology or software we acquire from third parties, delays in the development of, or installation difficulties with, our technology, or acts of vandalism, system attacks or the introduction of malicious code to our technology or software, may interrupt or delay our ability to provide services to our customers. Any sustained and repeated disruptions in these services may have an adverse impact on our and our customers’ results of operations and, in the case of acts of vandalism or introduction of harmful code, could necessitate improvements to our physical and cyber security practices that may require an investment of money, time and resources. Further, our customers may require changes and improvements to the systems we provide to them to manage the volume and complexity, laws or regulations of their businesses, which changes and improvements may be unfeasible, unsuccessful, costly or time-consuming to implement or may create disruptions in our provision of services to customers, which may have an adverse impact on our business operations or financial condition, or increase our costs. Additionally, the improper implementation or use of Altisource technology by customers could impact the operation of that technology, and potentially cause harm to our reputation, loss of customers, negative publicity or exposure to liability claims or government investigations or actions, and our results of operations could be adversely impacted.</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depend on our ability to access data from external sources to maintain and grow our businesses. If we are unable to access data from these sources or if the prices charged for these services significantly increase, the quality, pricing and availability of our products and services may be adversely affected, which could have a material adverse impact on our business, financial condition and results of operations.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rely on data from public and private sources to maintain and grow some of our businesses (such as Owners.com, Investability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RentRange</w:t>
      </w:r>
      <w:r>
        <w:rPr>
          <w:rFonts w:ascii="Arial" w:cs="Arial" w:eastAsia="Arial" w:hAnsi="Arial"/>
          <w:sz w:val="24"/>
          <w:szCs w:val="24"/>
          <w:color w:val="auto"/>
          <w:vertAlign w:val="superscript"/>
        </w:rPr>
        <w:t>®</w:t>
      </w:r>
      <w:r>
        <w:rPr>
          <w:rFonts w:ascii="Arial" w:cs="Arial" w:eastAsia="Arial" w:hAnsi="Arial"/>
          <w:sz w:val="17"/>
          <w:szCs w:val="17"/>
          <w:color w:val="auto"/>
        </w:rPr>
        <w:t>) and to maintain our databases (such as multiple listing service, or MLS data). Our data sources could cease providing or reduce the availability, type, details or other aspects of their data to us or increase the price we pay for their data. If a number of suppliers are no longer able or are unwilling to provide us with certain data, or if our sources of data become unavailable or too expensive, we may need to find alternative sources. If we are unable to identify and contract with suitable alternative data suppliers and efficiently and effectively integrate these data sources into our service offerings, we could experience service disruptions, increased costs and reduced quality of our services. New legal restrictions could limit the use or dissemination of data. Significant price increases or restrictions could have a material adverse effect on our business, results of operations or financial condition, in particular if we are unable to arrange for substitute sources of data on commercially reasonable terms or at all.</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Company’s databases containing our proprietary information, the proprietary information of third parties and personal information of our customers, vendors and employees could be breached, which could subject us to adverse publicity, investigations, costly government enforcement actions or private litigation and expenses.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our business and operation of our technology, we maintain proprietary information belonging to the Company or third parties in tangible and electronic forms and electronically receive, process, store and transmit personal information (including, but not limited to personally identifiable information) (“PI”) and confidential and sensitive business information of ourselves and of our customers, vendors and employees. We also rely extensively on the operation of technology networks and systems that are administered by third parties, including the Internet and cloud based solutions. We rely on the security of our facilities, networks, databases, systems and processes and, in certain circumstances, those of third parties, such as vendors, to protect our proprietary information and PI in our possession and information about our customers, vendors and employees. Hackers, criminals and others are constantly devising schemes to circumvent security safeguards and other large companies have suffered serious data security breaches. If our controls and those of our vendors are not effective, outdated or do not exist, unauthorized parties may gain access to our networks or databases, or those of our vendors, and they may be able to steal, publish, delete, or modify our sensitive proprietary information and sensitive third party information, including PI. In addition, employees may intentionally or inadvertently cause data or security breaches that result in unauthorized release of such PI, proprietary or confidential information. In such circumstances, our business could suffer and we could be held liable to our customers, vendors, other parties or employees,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well as be subject to notification requirements or regulatory or other actions for breaching privacy laws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 that could adversely affect our financial condition, results of operations and reputation. Furthermore, customer and governmental authorities increasingly impose more stringent security obligations on us, our services and the security of our customers’ data and PI, and impose new liabilities for data breaches, all of which could have an adverse effect on us and our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is susceptible to disruption from natural disasters or intentional acts of destruction that may render certain of our assets and business facilities unusable for an extended period of time.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physical facilities and technology infrastructure, including infrastructure provided by third parties, could be susceptible to disruption due to natural disasters or intentional acts of destruction that could impair or prevent our use of such facilities and infrastructure for an extended period of time. Current business continuity plans, back-up facilities and technology infrastructure may not be adequate or sufficient to remotely operate for an extended period of time, and current business interruption insurance may not be adequate to sufficiently compensate for any loss, in the event of a natural disaster or intentional act of destruction. Furthermore, certain of our assets, including our short-term investments in real estate, are concentrated in geographical areas that may be affected by natural disasters, which may result in limited access to those assets, significant damage to such assets or destruction of such assets. Interruptions in our operations for an extended period of time and/or damage or destruction of assets and facilities could have an adverse effect on our business, financial condition or results of operations.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long development and sales cycles for many of our services, analytics and technology solutions and if we fail to close sales after expending significant time and resources to do so, our business, financial condition and results of operations may be adversely affected.</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long development and sales cycles for many of our services, analytics and technology solutions. We may expend significant time and resources in pursuing a particular customer that does not generate revenue or pursuing a particular service or solution for our existing customers that does not generate revenue. We may encounter delays when developing new services or technology solutions. Changes in relevant regulations or industry practices may render existing solutions or ongoing development efforts obsolete or require significant modifications. We may experience difficulties in installing or integrating our technologies on platforms used by our customers. Further, defects in our technology solutions, errors or delays in the processing of electronic transactions or other difficulties could result in interruption of business operations, delay in market acceptance, additional development and remediation costs, loss of customers, negative publicity or exposure to liability claims, and our results of operations could be adversely impacted.</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Delays due to the length of our sales cycle or costs incurred that do not result in sales could have an adverse effect on our business, financial condition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failure of any of the insurance underwriting loss limitation methods we use could have adverse effects on our results.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through its subsidiary Association of Certified Mortgage Originators Risk Retention Group, Inc., provides certified loan insurance to its customers. Altisource reduces a portion of its risk of insurance loss through third party reinsurance. The incidence and severity of claims against insurance policies are inherently unpredictable. Although we attempt to manage our exposure to insurance underwriting risk through the use of disciplined underwriting controls and the purchase of third party reinsurance, the frequency and severity of claims could be greater than contemplated in our pricing and risk management methods and our controls and mitigation efforts may not be effective or sufficient.</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counterparty risk when purchasing reinsurance from third party reinsurers. The insolvency or unwillingness of any of our present or future reinsurers to make timely payments to us under the terms of our reinsurance agreements could have an adverse effect on us. Further, there is no certainty that we will be able to purchase the amount or type of reinsurance we desire in the future or that the reinsurance we desire will be available on terms we consider acceptable or with reinsurers with whom we want to do business. Any failure of our insurance underwriting loss limitation methods or similar insurance related risks described above could adversely impact our results of operations.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business and the business of our customers are subject to extensive scrutiny and regulation, and failure to comply with existing or new regulations or license requirements may adversely impact us.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and the business of our customers are subject to extensive scrutiny and regulation by federal, state and local governmental authorities including the FTC, the CFPB, the SEC, the HUD and the state and local agencies that license or oversee certain of our auction, real estate brokerage, mortgage and debt collection services, trustee services and insurance services. We also must comply with a number of federal, state and local consumer protection laws including, among others, ADA, CHBR, CAN-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SPAM, ECOA, FACTA, FCRA, FDCPA, Fair Housing Act, the FTC Act, GLBA, HARP, HMDA, HOEPA, RPAPL, RESPA, the SAFE Act, SCRA, TCPA, TILA, UDAAP and FCPA. We are also subject, or may in the future become subject, to various foreign laws and regulations as well, including those pertaining to data protection, such as the GDPR. These foreign, federal, state and local requirements can and do change as statutes and regulations are enacted, promulgated or amended. Furthermore, the interpretation or enforcement by regulatory authorities of these requirements may change over time. The creation of new regulatory authorities or changes in the regulatory authorities overseeing applicable laws and regulations may also result in changing interpretation or enforcement of such laws or regulations. We are also subject to licensing and regulation as a provider of certain services including, among others, services as a mortgage origination underwriter, valuation provider, appraisal management company, asset manager, property manager, title insurance agent, insurance broker and underwriter, real estate broker, auctioneer, foreclosure trustee and debt collector in a number of states. Our employees and subsidiaries may be required to be licensed by various state commissions for the particular type of service sold and to participate in regular continuing education programs. We incur significant ongoing costs to comply with licensing requirements and governmental regulations and to respond to government and regulatory confidential inquiries, audits, regulatory examinations and other similar matters. We also may lose or fail to maintain required licenses necessary to continue to do business in certain of our markets, which could have an adverse effect on our financial condition or results of operations.</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Participants in the industries in which we operate are subject to a high level of government and regulatory scrutiny. This scrutiny has included review by federal and state governmental authorities of all aspects of the mortgage servicing and lending industries and the debt collection industry, including an increased legislative and regulatory focus on consumer protection practices. Our and our customers’ failure to comply with applicable laws, regulations, consent orders or settlements could subject us to civil and criminal liability, loss of licensure, damage to our reputation in the industry, significant penalties, fines, settlements, adverse publicity, litigation, including class action lawsuits or administrative enforcement actions, costs and consent orders against us or our customers that may curtail or restrict our business as it is currently conducted. If governmental authorities continue to impose new or more restrictive requirements or enhanced oversight, we may be required to increase or decrease our prices and/or we may incur significant additional costs to comply with such requirements. Also, if we are unable to adapt our products and services to conform to the new laws and regulations, or if these laws and regulations have a negative impact on our clients, we may experience client losses or increased operating costs. Any of the foregoing outcomes could have an adverse effect on our financial condition or results of operations. Furthermore, even if we believe we complied with such laws and regulations, we may choose to settle enforcement actions or lawsuits in order to avoid the potentially significant costs of defending such actions or lawsuits and to further avoid the risk of increased damages if we ultimately were to receive an unfavorable outcome.</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certain of our technology and other services are provided at the direction and pursuant to the identified requirements of our customers. The failure of our customers to properly identify or account for regulatory requirements applicable to such services could expose us to significant penalties, fines, settlements, costs and consent orders that could have an adverse effect on our financial condition or results of operations.</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including as set forth in the Government Regulation section of Item 1 of Part I, “</w:t>
      </w:r>
      <w:r>
        <w:rPr>
          <w:rFonts w:ascii="Arial" w:cs="Arial" w:eastAsia="Arial" w:hAnsi="Arial"/>
          <w:sz w:val="17"/>
          <w:szCs w:val="17"/>
          <w:i w:val="1"/>
          <w:iCs w:val="1"/>
          <w:color w:val="auto"/>
        </w:rPr>
        <w:t>Business</w:t>
      </w:r>
      <w:r>
        <w:rPr>
          <w:rFonts w:ascii="Arial" w:cs="Arial" w:eastAsia="Arial" w:hAnsi="Arial"/>
          <w:sz w:val="17"/>
          <w:szCs w:val="17"/>
          <w:color w:val="auto"/>
        </w:rPr>
        <w:t>” above. Responding to such audits, examinations and inquiries will cause us to incur costs, including legal fees or other charges, which may be material in amount, and in addition, may result in management distraction or may cause us to modify or terminate certain services we currently offer. If any such audits, examinations or inquiries result in allegations or findings of non-compliance, we could incur significant penalties, fines, settlements, costs and consent orders that may curtail, restrict or otherwise have an adverse effect on our business and results of operations. Furthermore, even if we believe we complied with applicable laws and regulations, we may choose to settle such allegations with the governmental authorities in order to avoid the potentially significant costs of defending such allegations and to further avoid the risk of increased damages if we ultimately were to receive an unfavorable outcome, but such settlements may also result in further claims.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National servicing standards and federal and state government scrutiny and regulation and other requirements require very specific loan modification and foreclosure procedures among others that have further reduced the number of loans entering the foreclosure process and have negatively impacted our default services revenue and profit. It is unclear when or if volumes will increase in the future.</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customers are subject to government regulation, requiring our customers to, among other things, oversee their vendors and maintain documentation that demonstrates their oversight. If our performance does not meet such requirements, our results of operations could be adversely affected.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customers are subject to a variety of federal, state and local government regulations, including the Bank Service Company Act and those promulgated by the CFPB and others, as well as consent orders and settlements, including the National Mortgage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Settlement. The foregoing may require our customers to oversee their vendors and document the procedures performed to demonstrate that oversight. Altisource, as a vendor, is subject to oversight by our customers. If we do not meet the standards established by or imposed upon our customers or if any other oversight procedures result in a negative outcome for Altisource, we may lose customers, may no longer be granted referrals for certain services, or may have to conform our business to address these standards, negatively impacting our business and results of operations. Even if Altisource satisfies its contractual obligations to its clients, regulators may allege that products or services provided by Altisource fail to meet applicable regulatory requirements.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tax regulations, and the interpretation thereof, in the countries, states and local jurisdictions in which we operate periodically change, which may impact our results of operations associated with higher taxes.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subsidiaries provide services in the United States and several countries internationally. Those jurisdictions are subject to changing tax environments, which may result in higher operating expenses and/or taxes and which may introduce uncertainty as to the application of tax laws and regulations to our operations. We may not be able to raise our prices to customers or pass-through such taxes to our customers or vendors, which could adversely affect our results of operations. In addition, if we fail to accurately anticipate or apply tax laws and regulations to our operations, we could be subject to liabilities and penalties.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We rely on third party vendors for many aspects of our business. If our vendor oversight activities are ineffective, we fail to meet customer or regulatory requirements or we face difficulties managing our relationships with third party vendors, our results of operations could be adversely affected.</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on third party vendors to provide goods and services in relation to many aspects of our operations. Our dependence on these vendors makes our operations vulnerable to the unavailability of such third parties, the pricing and services offered by such third parties and such third parties’ failure to perform adequately under our agreements with them. In addition, where a vendor provides services that we are required to provide under a contract with a client, we are generally responsible for such performance and could be held accountable by the client for any failure of performance by our vendors. We evaluate the competency and solvency of our key third party vendors. We perform ongoing vendor oversight activities to identify potential new vendors, review vendor pricing and to identify any performance or other issues related to current vendors. If our vendor oversight activities are ineffective or if a vendor fails to provide the services that we require or expect, or fails to meet contractual requirements, such as service levels or compliance with applicable laws, the failure could negatively impact our business by adversely affecting our ability to serve our customers and/or subjecting us to litigation and regulatory risk for ineffective vendor oversight. Furthermore, the failure to obtain services at anticipated pricing could impact our cost structure and the prices of services we provide. In addition, Altisource may be required by its customers or by applicable regulations to oversee its vendors and document procedures performed to demonstrate that oversight. If we fail to meet such customer or regulatory requirements, or we face difficulties managing our relationships with third party vendors, we may lose customers or may no longer be granted referrals for certain services or could be subject to adverse regulatory action, negatively impacting our business and results of operations. Such failures could adversely affect the reliability and quality of the services we provide our customers and could adversely affect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financial institutions at which we hold cash and cash equivalents as well as escrow and trust funds fail, it could have an adverse impact on our Company.</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hold our cash and cash equivalents at various financial institutions. In addition, 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These amounts are held in escrow and trust accounts for limited periods of time and are not included in the accompanying consolidated balance sheets. We may become liable for funds owed to third parties as a result of the failure of one or more of these financial institutions, in addition to loss of our cash and cash equivalents, and there is no guarantee we would recover the funds deposited, whether through Federal Deposit Insurance Corporation coverage, private insurance or otherwise and our results of operations could be adversely impacted.</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generate significant cash from our operations that is deposited into our operating accounts at banks and also, in connection with debt collections (in our Other Businesses, Corporate and Eliminations segment) and real estate transactions (Mortgage Market and Real Estate Market segments), in escrow and trust accounts, which exposes us to risk of loss due to fraudulent or inadvertent misappropriation of cash.</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hold our cash and cash equivalents at various financial institutions. In addition, we hold customers’ assets in escrow and trust accounts at various financial institutions pending completion of certain real estate activities. These cash balances expose us to purposeful misappropriation of cash by employees or others and unintentional mistakes resulting in a loss of cash which may not be recoverable. In addition, we may become liable for funds owed to third parties as a result of such purposeful misappropriation of cash by employees or others and unintentional mistakes resulting in a loss of cash held in escrow and trust accounts, and there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no guarantee we would recover the lost funds from the party or parties involved in a fraudulent or inadvertent misappropriation of cash and our results of operations could be adversely impacted.</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primary source of liquidity is cash flows from operations. We seek to deploy cash generated in a disciplined manner, including to repurchase and repay our senior secured term loan and, from time to time, repurchase shares of our common stock. We may not continue to deploy cash as we have in the past.</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we have historically used cash from operations to repurchase and repay our senior secured term loan and repurchase shares of our common stock, there is no guarantee that we will continue to do so or that we will do so at attractive prices. Furthermore, there is no guarantee that cash from operations will be available for repurchasing our senior secured term loan and repurchasing shares of our common stock. Also, we may not repurchase our senior secured term loan and common stock at the same levels as in the past. In addition, while the Company has not historically declared dividends, the Company may decide in the future to declare a dividend rather than, or in addition to, repurchasing our senior secured term loan and/or repurchasing shares of our common stock. If we continue such repurchases or declare a dividend, we may not have sufficient cash for other opportunities that may arise.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subject to claims of legal violations or wrongful conduct which may cause us to pay unexpected litigation costs, damages or indemnifications, or modify our products or processes.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may be subject to costly and time-consuming regulatory or legal proceedings that claim legal violations or wrongful conduct. These proceedings may involve regulators, clients, our clients’ customers, vendors, competitors and/or other large groups of plaintiffs and, if resulting in findings of violations, could result in substantial damages or indemnification obligations. Additionally, we may be forced to settle some claims and change existing company practices, services and processes that are currently revenue generating. This could lead to unexpected costs or a loss of revenue and our results of operations could be adversely impacted. Furthermore, even if we believe we have no liability for the alleged regulatory or legal violations or wrongful conduct, we may choose to settle such regulatory or legal proceedings in order to avoid the potentially significant costs of defending such allegations and to further avoid the risk of increased damages if we ultimately were to receive an unfavorable outcome.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senior secured term loan makes us more sensitive to the effects of economic change; our level of debt and provisions in our senior secured term loan agreement could limit our ability to react to changes in the economy or our industry.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senior secured term loan makes us more vulnerable to changes in our results of operations because a portion of our cash flows from operations is dedicated to servicing our debt and is not available for other purposes. Our senior secured term loan is secured by virtually all of our assets and from time to time trades at a substantial discount to face value. Our ability to raise additional debt is largely limited and in many circumstances would be subject to lender approval and would require modification of our current senior secured term loan agreement. Additionally, increases in interest rates will negatively impact our cash flows as the interest rate on our debt is variable. The provisions of our senior secured term loan agreement could have other negative consequences to us including the following:</w:t>
      </w:r>
    </w:p>
    <w:p>
      <w:pPr>
        <w:spacing w:after="0" w:line="13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limiting our ability to borrow money for our working capital, capital expenditures and debt service requirements or other general corporate purposes;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use a portion of our excess cash flow, as defined in the debt agreement, to repay debt in the event our debt to EBITDA ratios, as defined in the debt agreement, exceed certain thresholds;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our business.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make payments on our indebtedness depends, in part, on our ability to generate cash in the future. If we do not generate sufficient cash flows and do not have sufficient cash on hand to meet our debt service and working capital requirements, we may need to seek additional financing, raise equity or sell assets. This may make it more difficult for us to obtain financing on terms that are acceptable to us, or at all. Without any such financing or equity issuance, we could be forced to sell assets to make up for any shortfall in our payment obligations under unfavorable circumstances. If necessary, we may not be able to sell assets quickly enough or for sufficient amounts to enable us to meet our obligations. Failure to meet our debt service requirements could result in an event of default under our senior secured term loan agreement which, if not cured or waived, could result in the holders of the defaulted debt causing all outstanding amounts with respect to that debt to be immediately due and payable.</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our senior secured term loan agreement contains covenants that limit our flexibility in planning for, or reacting to changes in, our business and our industry, including limitations on incurring additional indebtedness, making investments, granting liens and merging or consolidating with other companies. Complying with these covenants may impair our ability to finance our future operations or capital needs or to engage in other favorable business activities.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comply with the covenants or terms contained in our senior secured term loan agreement, including as a result of events beyond our control, could result in an event of default which could adversely affect our operating results and our financial condition.</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senior secured term loan agreement requires us to comply with various operational, reporting and other covenants or terms including, among other things, limiting us from engaging in certain types of transactions. If there were an event of default under our senior secured term loan agreement that was not cured or waived, the holders of the defaulted debt could cause all amounts outstanding with respect to that debt to be immediately due and payable. There can be no assurance that our assets or cash flows would be sufficient to fully repay borrowings under our outstanding senior secured term loan, either upon maturity or if accelerated, upon an event of default or that we would be able to refinance or restructure the payments on the senior secured term loan.</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maintain certain debt to EBITDA ratios contained in our senior secured term loan agreement could result in required payments to the lenders of a percentage of our excess cash flows, which could adversely affect our ability to use our excess cash flows for other purposes.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senior secured term loan agreement requires us to distribute to our lenders 50% of our consolidated excess cash flows, as defined in the senior secured term loan agreement, if our net debt to EBITDA ratio, as defined in the senior secured term loan agreement, exceeds 3.50 to 1.00 and 25% of our consolidated excess cash flows if our net debt to EBITDA ratio is 3.50 to 1.00 or less, but greater than 3.00 to 1.00. If we were required to distribute a portion of our excess cash flows to our lenders, we may be limited in our ability to support our business, grow our business through acquisitions or investments in technology and we may be limited in our ability to repurchase our common stock. There can be no assurance that we will maintain debt to EBITDA ratios at levels that will not require us to distribute a portion of our excess cash flows to lenders.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proper and effective internal controls, our ability to prepare accurate and timely financial statements could be impaired, which could adversely affect investor confidence in our reported financial information.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discover areas of our internal controls that need improvement. We cannot be certain that we will be successful in implementing or maintaining adequate internal control over our financial reporting and financial processes. The existence of material weaknesses in our internal control over financial reporting could materially adversely affect our ability to comply with applicable financial reporting requirements.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significant investments in goodwill and intangible assets recorded as a result of prior acquisitions and an impairment of these assets would require a write-down that would reduce our net income.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and intangible assets are assessed for impairment annually or sooner if circumstances indicate a possible impairment. Factors that could lead to impairment of goodwill and intangible assets include significant under-performance relative to historical or projected future operating results, a significant decline in our stock price and market capitalization and negative industry or economic trends, among other indications of impairment. In the event that the recorded values of goodwill and intangible assets are impaired, any such impairment would be charged to earnings in the period of impairment. In the event of significant volatility in the capital markets or a worsening of current economic conditions, we may be required to record an impairment charge, which would negatively impact our results of operations. Possible future impairment of goodwill and intangible assets may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ability to grow is affected by our ability to execute on our strategic businesses, retain and expand our existing customer relationships and our ability to attract new customers.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retain existing customers and expand those relationships and attract new customers is subject to a number of risks including the risk that we do not:</w:t>
      </w:r>
    </w:p>
    <w:p>
      <w:pPr>
        <w:spacing w:after="0" w:line="11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execute on our strategic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or improve the quality and compliance of services we provide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 or exceed the expectations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leverage our existing customer relationships to sell additional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our efforts to execute on our strategic businesses, retain and expand our customer relationships and attract new customers do not prove effective, it could have an adverse effect on our business and results of operations and our ability to maintain and grow our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expand existing relationships and attract new customers is also affected by broader economic factors and the strength of the overall housing market, which can reduce demand for our services and increase competition for each customer’s business, and our results of operations could be adversely impacted. See “The economy and the housing market can affect demand for our services.”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If we do not adapt our services to changes in technology or in the marketplace, changing requirements of governmental authorities, GSEs and clients or if our ongoing efforts to upgrade our technology and particularly our efforts to complete development of our technology are not successful, we could lose customers and have difficulty attracting new customers for our services, which could have an adverse effect on our business and results of operations.</w:t>
      </w:r>
    </w:p>
    <w:p>
      <w:pPr>
        <w:spacing w:after="0" w:line="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markets for our services are characterized by constant technological change, our customers’ and competitors’ frequent introduction of new services and evolving industry standards and government regulation. We are currently in the process of, and from time to time will be, developing and introducing new technologies and improvements to existing technologies. Our future success will be significantly affected by our ability to complete our current efforts and in the future enhance, primarily through use of automation, econometrics and behavioral science principles, our services and develop and introduce new services that address the increasingly sophisticated needs of our customers and their customers. These initiatives carry the risks associated with any new service development effort, including cost overruns, delays in delivery and performance effectiveness. There can be no assurance that we will be successful in developing, marketing and selling new and improved technologies and services. In addition, we may experience difficulties that could delay or prevent the successful development, introduction and marketing of these services. Our services and their enhancements may also not adequately meet the demands of the marketplace or governmental authorities and achieve market acceptance. Finally, certain prices that we can charge may be dictated by GSEs and/or our large clients and we may not be able to reduce our vendor costs in order to maintain our profitability for those services. Any of these results could have a negative impact on our financial condition and results of operations and our ability to maintain and grow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meet our growth objectives is dependent on the timing and market acceptance of our new service offerings.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ability to grow may be adversely affected by difficulties or delays in service development or the inability to gain market acceptance of new services to existing and new customers. There are no guarantees that new services will prove to be commercially successful and our results of operations could be adversely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of our businesses are dependent on outsourcing.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continued growth at historical rates for some of our businesses is dependent on industry participants accepting of outsourcing. Organizations may elect to perform such services themselves or may be prevented from outsourcing services. A significant change in our customers’ preference or ability to outsource could have an adverse effect on our continued growth and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to accelerate growth initiatives involve potential risks.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strategy has included the acquisition of complementary businesses from time to time. During 2016, we acquired Granite Loan Management of Delaware, LLC (“Granite”). During 2015, we acquired CastleLine Holdings, LLC and its subsidiaries (“CastleLine”) and GoldenGator, LLC (doing business as RentRange) (“RentRange”), REIsmart, LLC (doing business as Investability) (“Investability”) and Onit Solutions, LLC, a support company for RentRange and Investability (collectively “RentRange and Investability”). During 2014, we acquired certain assets and assumed certain liabilities of Mortgage Builder Software, Inc. (“Mortgage Builder”) and acquired certain assets and assumed certain liabilities of Owners Advantage, LLC (“Owners”).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future, we may consider acquisitions of other businesses that could complement our business, offer us greater access in our current markets or offer us greater access and expertise in other asset types and markets that are related to ours but we do not currently serve. Our ability to pursue additional acquisitions in the future is dependent on our access to sufficient capital (equity and/or debt) to fund the acquisition and subsequent integration. We may not be able to secure adequate capital as needed on terms that are acceptable to us, or at all, and our ability to secure such capital through debt financing is limited by our senior secured term loan agreement.</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When we acquire new businesses, we may face a number of integration risks, including a loss of focus on our daily operations, the need for additional management, constraints on operating resources, constraints on financial resources from integration and system conversion costs and the inability to maintain key pre-acquisition relationships with customers, suppliers and employees. In addition, any acquisition may result in the incurrence of additional amortization expense of related intangible assets, which could reduce our profitability. Our failure to effectively pursue or integrate acquisitions, and such acquisitions themselves, may have an adverse effect on our financial condition or results of operations.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subject us to additional risks which could have an adverse effect on our results of operations.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India, the Philippines and Uruguay. As of December 31, 2017, 5,930 of our employees were based in India, the Philippines and Uruguay. These countries are subject to relatively higher degrees of political and social instability and may lack the infrastructure to withstand political unrest or natural disasters. The occurrence of natural disasters or political or economic instability in these countries could interfere with work performed by these labor sources, or could result in our having to replace or reduce these labor sources. Such disruptions could decrease efficiency, increase our costs and have an adverse effect on our financial condition or results of operations.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the practice of utilizing labor based in foreign countries has come under increased scrutiny in the United States. Governmental authorities could seek to impose financial costs or restrictions on foreign companies providing services to customers in the United States. Governmental authorities may attempt to prohibit or otherwise discourage our United States-based customers from sourcing services from foreign companies and, as a result, some of our customers may require us to use labor based in the United States or cease doing business with Altisource. In addition, some of our customers may require us to use labor based in the United States for other reasons. To the extent that we are required to use labor based in the United States, we may not be able to pass on the increased costs of higher-priced United States-based labor to our customers, which ultimately could have an adverse effect on our results of operations.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financial condition or results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may also reduce the savings achievable through this strategy and could have an adverse effect on our financial condition or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Altisource is a Luxembourg company and it may be difficult to obtain and enforce judgments against it or its directors and executive officers.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Altisource is a public limited liability company organized under the laws of, and headquartered in,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owned outside of the United States. It may be difficult for investors to obtain and enforce, in the United States, judgments obtained in United States courts against Altisource or its directors based on the civil liability provisions of the United States securities laws or to enforce, in Luxembourg, judgments obtained in other jurisdictions including the United States.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 significant challenge of the Luxembourg tax regime or of its interpretation by the Luxembourg tax authorities or others could adversely affect our results of operations.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received and historically operated under a tax ruling from the Luxembourg tax authorities, which would have expired in 2019 unless extended or renewed. In connection with an internal reorganization by the Company during 2017, the Company no longer operates under the tax ruling. The European Commission (“EC”) has initiated investigations into several EU member states, including Luxembourg, to determine whether these EU member states have provided tax advantages to companies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 Such a development could have an adverse effect on our financial condition and results of operations.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the fourth quarter of 2017, the United States amended its tax code which resulted in the reduction of the United States corporate tax rate. This tax code amendment will likely change our consolidated effective income tax rate, including compared to our competitors, and could adversely affect our results of operations.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significant change in the United States tax code that resulted in the reduction of the United States corporate tax rate could reduce the effective tax rate of some of our competitors. A reduction in the effective tax rate of some of our competitors may put us at a competitive disadvantage. Such disadvantage and potential loss of customers could have an adverse effect on our financial condition and results of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effective income tax rate for financial reporting purposes may change periodically due to the creation and our ability to utilize net operating loss and tax credit carryforwards, changes in enacted tax rates and fluctuations in the mix of income earned from our domestic and international operations, and could adversely affect our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depends on our directors, executive officers and other key personnel.</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is dependent on the efforts and abilities of our directors, executive officers and other key employees, many of whom have significant experience in the real estate and mortgage, financial services and technology industries. In particular, we are dependent on the services of our Board of Directors and key executives at our corporate headquarters and personnel at each of our segments. The loss of the services of any of these directors, executives or key personnel, for any reason, could have an adverse effect upon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attract, motivate and retain skilled employees may adversely impact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labor intensive and places significant importance on our ability to recruit, engage, train and retain skilled employees. Additionally, demand for qualified technical and software professionals conversant in certain technologies may exceed supply as new and additional skills are required to keep pace with evolving computer technology. Our ability to recruit and train employees is critical to achieving our growth objective. Our inability to attract and retain skilled employees or an increase in wages or other costs of attracting, training or retaining skilled employees could have an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We could have conflicts of interest with Ocwen, Front Yard Residential Corporation (formerly Altisource Residential Corporation) (“RESI”), Altisource Asset Management Corporation (“AAMC”) and certain members of our management, which may be resolved in a manner adverse to us.</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significant business relationships with and provide services to Ocwen and RESI. We also provide certain services to AAMC. Our largest shareholder, William C. Erbey, owns or controls common stock in each of Altisource, Ocwen, RESI and AAMC, RESI’s external manager. As of December 31, 2017, based on public filings, Mr. Erbey reported beneficially owning or controlling approximately 34% of the common stock of Altisource, approximately 15% of the common stock of Ocwen, less than 5% of the common stock of RESI and approximately 46% of the common stock of AAMC. In addition, based on public filings through February 16, 2018, Mr. Erbey reported beneficially owning or controlling approximately 34% of the common stock of Altisource, approximately 8% of the common stock of Ocwen, less than 5% of the common stock of RESI and approximately 46% of the common stock of AAMC. Certain members of our management and independent members of our Board of Directors have equity interests in Ocwen, RESI and/or AAMC. Such ownership interests could create, or appear to create, potential conflicts of interest with respect to matters potentially or actually involving or affecting us and Ocwen, RESI and AAMC, as the case may be.</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we have practices designed to manage potential conflicts with respect to our dealings with Ocwen, RESI and AAMC, where necessary, including a management review process of the terms of material transactions with these companies and review and approval of such transactions by our Audit Committee, which is comprised of independent directors. There can be no assurance that we will always be able to implement such measures or that such measures will be effective, that we will be able to manage or resolve all potential conflicts with these companies, and, even if we do, that the resolution will be no less favorable to us than if we were dealing with a third party that has none of the connections we have with these companies.</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A summary of our principal leased office space as of December 31, 2017 and the segments primarily occupying each location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Other Businesses,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Mortgage Market</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Real Estate Market</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Luxembourg</w:t>
            </w:r>
          </w:p>
        </w:tc>
        <w:tc>
          <w:tcPr>
            <w:tcW w:w="50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X</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0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United States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50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Atlanta, GA</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Boston, MA</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Denver, CO</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Endicott, NY</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Fort Washington, PA</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Irvine, CA</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Los Angeles, CA</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Plano, 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Sacramento, CA</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Southfield, MI</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St. Louis, MO</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Tempe, AZ</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Montevideo, Uruguay</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Pasay City, Philippines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X</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0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India</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0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Bangalore</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Mumbai</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X</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X</w:t>
            </w:r>
          </w:p>
        </w:tc>
        <w:tc>
          <w:tcPr>
            <w:tcW w:w="0" w:type="dxa"/>
            <w:vAlign w:val="bottom"/>
          </w:tcPr>
          <w:p>
            <w:pPr>
              <w:spacing w:after="0"/>
              <w:rPr>
                <w:sz w:val="1"/>
                <w:szCs w:val="1"/>
                <w:color w:val="auto"/>
              </w:rPr>
            </w:pPr>
          </w:p>
        </w:tc>
      </w:tr>
      <w:tr>
        <w:trPr>
          <w:trHeight w:val="41"/>
        </w:trPr>
        <w:tc>
          <w:tcPr>
            <w:tcW w:w="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0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do not own any office facilities. We consider these facilities to be suitable and currently adequate for the management and operations of our businesses.</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Altisource received a NORA letter on November 10, 2016 from the CFPB indicating that the CFPB is considering a potential enforcement action against Altisource relating to an alleged violation of federal law focused on REALServicing and certain other technology services provided to Ocwen, including claims related to the features, functioning and support of such technology. The NORA process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it is premature to predict the potential outcome or to estimate any potential financial impact in connection with any potential CFPB enforcement action.</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businesses are also subject to extensive regulation which may result in regulatory proceedings or actions against us. For further information,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 and Note 23 to the consolidated financial statements.</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“ASPS.” The following table sets forth the high and low close of day sales prices for our common stock, for the periods indicated, as reported by the NASDAQ Global Select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648"/>
              <w:spacing w:after="0"/>
              <w:rPr>
                <w:sz w:val="20"/>
                <w:szCs w:val="20"/>
                <w:color w:val="auto"/>
              </w:rPr>
            </w:pPr>
            <w:r>
              <w:rPr>
                <w:rFonts w:ascii="Arial" w:cs="Arial" w:eastAsia="Arial" w:hAnsi="Arial"/>
                <w:sz w:val="14"/>
                <w:szCs w:val="14"/>
                <w:b w:val="1"/>
                <w:bCs w:val="1"/>
                <w:color w:val="auto"/>
              </w:rPr>
              <w:t>2017</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22"/>
                <w:szCs w:val="22"/>
                <w:color w:val="auto"/>
              </w:rPr>
            </w:pPr>
          </w:p>
        </w:tc>
        <w:tc>
          <w:tcPr>
            <w:tcW w:w="14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Low</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High</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36.85</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45.02</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27.65</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29.48</w:t>
            </w:r>
          </w:p>
        </w:tc>
      </w:tr>
      <w:tr>
        <w:trPr>
          <w:trHeight w:val="642"/>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9"/>
              </w:rPr>
              <w:t>2016</w:t>
            </w:r>
          </w:p>
        </w:tc>
        <w:tc>
          <w:tcPr>
            <w:tcW w:w="1380" w:type="dxa"/>
            <w:vAlign w:val="bottom"/>
            <w:tcBorders>
              <w:bottom w:val="single" w:sz="8" w:color="auto"/>
            </w:tcBorders>
          </w:tcPr>
          <w:p>
            <w:pPr>
              <w:spacing w:after="0"/>
              <w:rPr>
                <w:sz w:val="24"/>
                <w:szCs w:val="24"/>
                <w:color w:val="auto"/>
              </w:rPr>
            </w:pP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High</w:t>
            </w:r>
          </w:p>
        </w:tc>
      </w:tr>
      <w:tr>
        <w:trPr>
          <w:trHeight w:val="270"/>
        </w:trPr>
        <w:tc>
          <w:tcPr>
            <w:tcW w:w="75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6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35.69</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31.29</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32.91</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holders of record of our common stock as of February 16, 2018 was 76. The number of beneficial shareholders is substantially greater than the number of holders as a large portion of our common stock is held through brokerage firms.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historically declared or paid cash dividends on our common stock, but may declare dividends in the future. Under Luxembourg law, shareholders need to approve certain dividends. Such approval typically occurs during a company’s annual meeting of shareholders. Luxembourg law imposes limits on our ability to pay dividends based on annual net income and net income carried forward, less any amounts placed in reserve. The provisions of our senior secured term loan agreement, as amended, limit our ability to pay dividends.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 500 Index and the NASDAQ Composite Index for the five year period ending on December 31, 2017. The graph assumes an investment of $100 at the beginning of this period.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866130" cy="3087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613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12/31/12</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6/30/13</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12/31/13</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6/30/14</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12/31/14</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6/30/15</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12/31/15</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6/30/16</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12/31/16</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6/30/17</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12/31/17</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Altisource</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  100.00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108.83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183.07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132.23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39.00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35.53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32.09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32.13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30.69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25.18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32.31</w:t>
            </w: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112.63</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129.60</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137.45</w:t>
            </w:r>
          </w:p>
        </w:tc>
        <w:tc>
          <w:tcPr>
            <w:tcW w:w="1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144.36</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144.66</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143.31</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147.17</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156.98</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169.92</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187.47</w:t>
            </w:r>
          </w:p>
        </w:tc>
      </w:tr>
      <w:tr>
        <w:trPr>
          <w:trHeight w:val="33"/>
        </w:trPr>
        <w:tc>
          <w:tcPr>
            <w:tcW w:w="1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NASDAQ</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06"/>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Composite Index</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112.71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138.32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145.99</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156.85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165.15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165.84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160.38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178.28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203.36</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228.63</w:t>
            </w:r>
          </w:p>
        </w:tc>
      </w:tr>
      <w:tr>
        <w:trPr>
          <w:trHeight w:val="33"/>
        </w:trPr>
        <w:tc>
          <w:tcPr>
            <w:tcW w:w="15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2018 annual meeting of shareholders to be filed pursuant to Regulation 14A under the Securities Exchange Act of 1934.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17, 2017, our shareholders approved the renewal of the share repurchase program previously approved by the shareholders on May 18, 2016, which replaced the previous share repurchase program. We are authorized to purchase up to 4.6 million shares of our common stock, based on a limit of 25% of the outstanding shares of common stock on the date of approval, at a minimum price of $1.00 per share and a maximum price of $500.00 per share, for a period of five years from the date of approval. As of December 31, 2017, approximately 3.4 million shares of common stock remain available for repurchase under the program. We purchased 1.6 million shares of common stock at an average price of $23.84 per share during the year ended December 31, 2017, 1.4 million shares at an average price of $26.81 per share during the year ended December 31, 2016 and 2.1 million shares at an average price of $27.60 per share during the year ended December 31, 2015. Luxembourg law limits share repurchases to the balance of Altisource Portfolio Solutions S.A. (unconsolidated parent company) retained earnings, less the value of shares repurchased. As of December 31, 2017, we can repurchase up to approximately $178 million of our common stock under Luxembourg law. Our senior secured term loan limits the amount we can spend on share repurchases, which was approximately $446 million as of December 31, 2017, and may prevent repurchases in certain circumstances.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the repurchases of our equity securities during the three months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3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purchased </w:t>
            </w:r>
            <w:r>
              <w:rPr>
                <w:rFonts w:ascii="Arial" w:cs="Arial" w:eastAsia="Arial" w:hAnsi="Arial"/>
                <w:sz w:val="8"/>
                <w:szCs w:val="8"/>
                <w:b w:val="1"/>
                <w:bCs w:val="1"/>
                <w:color w:val="auto"/>
                <w:w w:val="92"/>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70"/>
        </w:trPr>
        <w:tc>
          <w:tcPr>
            <w:tcW w:w="3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October 1 – 31, 2017</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53,662</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53,662</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3,892,883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November 1 – 30, 2017</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213,257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213,257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3,679,626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December 1 – 31, 2017</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256,675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256,675</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3,422,951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523,594</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523,594</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3,422,951</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w w:val="95"/>
              </w:rPr>
              <w:t>______________________________________</w:t>
            </w: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80" w:hanging="258"/>
        <w:spacing w:after="0" w:line="216" w:lineRule="auto"/>
        <w:tabs>
          <w:tab w:leader="none" w:pos="2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 addition to the repurchases included in the table above, 2,905 common shares were withheld from employees to satisfy tax withholding obligations that arose from the vesting of restricted shares.</w:t>
      </w:r>
    </w:p>
    <w:p>
      <w:pPr>
        <w:spacing w:after="0" w:line="1" w:lineRule="exact"/>
        <w:rPr>
          <w:rFonts w:ascii="Arial" w:cs="Arial" w:eastAsia="Arial" w:hAnsi="Arial"/>
          <w:sz w:val="25"/>
          <w:szCs w:val="25"/>
          <w:color w:val="auto"/>
          <w:vertAlign w:val="superscript"/>
        </w:rPr>
      </w:pPr>
    </w:p>
    <w:p>
      <w:pPr>
        <w:jc w:val="both"/>
        <w:ind w:left="280" w:hanging="258"/>
        <w:spacing w:after="0" w:line="221" w:lineRule="auto"/>
        <w:tabs>
          <w:tab w:leader="none" w:pos="2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On May 17, 2017, our shareholders approved the renewal of the share repurchase program originally approved by the shareholders on May 18, 2016, which replaced the previous share repurchase program and authorizes us to purchase up to 4.6 million shares of our common stock in the open market, subject to certain parameters.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as of and for the years ended December 31, 2017, 2016, 2015, 2014 and 2013 has been derived from our audited consolidated financial statements. The historical results presented below may not be indicative of our future performance.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our consolidated financial statements and notes thereto in Item 8 of Part II,</w:t>
      </w:r>
      <w:r>
        <w:rPr>
          <w:rFonts w:ascii="Arial" w:cs="Arial" w:eastAsia="Arial" w:hAnsi="Arial"/>
          <w:sz w:val="18"/>
          <w:szCs w:val="18"/>
          <w:i w:val="1"/>
          <w:iCs w:val="1"/>
          <w:color w:val="auto"/>
        </w:rPr>
        <w:t xml:space="preserve"> “Financial Statements and Supplementary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22"/>
                <w:szCs w:val="22"/>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997,303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1,051,466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1,078,916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768,357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699,865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690,045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687,327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707,180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492,480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275,877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192,642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214,155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220,868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201,733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113,810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insurance recovery</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Impairment losses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71,785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Change in the fair value of Equator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Earn Out</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49,706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79,077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170,454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162,067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44,321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147,265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142,333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276,256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133,793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30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308,891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28,693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134,484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129,973</w:t>
            </w:r>
          </w:p>
        </w:tc>
      </w:tr>
      <w:tr>
        <w:trPr>
          <w:trHeight w:val="257"/>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w:t>
            </w:r>
          </w:p>
        </w:tc>
      </w:tr>
      <w:tr>
        <w:trPr>
          <w:trHeight w:val="257"/>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19,504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21,625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23,072</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23,634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25,053</w:t>
            </w:r>
          </w:p>
        </w:tc>
      </w:tr>
      <w:tr>
        <w:trPr>
          <w:trHeight w:val="257"/>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30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shares (at December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18,774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19,021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20,279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22,629</w:t>
            </w:r>
          </w:p>
        </w:tc>
      </w:tr>
      <w:tr>
        <w:trPr>
          <w:trHeight w:val="257"/>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 included above: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42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666,800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502,087</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ind w:left="42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38,610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19,983</w:t>
            </w: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42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ind w:left="42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773</w:t>
            </w:r>
          </w:p>
        </w:tc>
      </w:tr>
      <w:tr>
        <w:trPr>
          <w:trHeight w:val="270"/>
        </w:trPr>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Non-GAAP Financial Measures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6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net income attributable to Altisource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52,306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143,475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169,141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156,458</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Adjusted diluted earnings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6.25</w:t>
            </w:r>
          </w:p>
        </w:tc>
      </w:tr>
      <w:tr>
        <w:trPr>
          <w:trHeight w:val="251"/>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219,732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205,137</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98"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298"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130,324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Available for sale securities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49,153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45,754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104,787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Premises and equipment, net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73,273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103,473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119,121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127,759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87,252</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99,414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120,065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155,432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197,003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245,246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276,162</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721,798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723,365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Long-term debt, net (including current portion)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409,281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473,545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528,178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580,515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388,569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738,679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565,624</w:t>
            </w:r>
          </w:p>
        </w:tc>
      </w:tr>
      <w:tr>
        <w:trPr>
          <w:trHeight w:val="61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493"/>
              <w:spacing w:after="0"/>
              <w:rPr>
                <w:sz w:val="20"/>
                <w:szCs w:val="20"/>
                <w:color w:val="auto"/>
              </w:rPr>
            </w:pPr>
            <w:r>
              <w:rPr>
                <w:rFonts w:ascii="Arial" w:cs="Arial" w:eastAsia="Arial" w:hAnsi="Arial"/>
                <w:sz w:val="14"/>
                <w:szCs w:val="14"/>
                <w:b w:val="1"/>
                <w:bCs w:val="1"/>
                <w:color w:val="auto"/>
                <w:w w:val="91"/>
              </w:rPr>
              <w:t>For the 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83"/>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195,352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185,474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Additions to premises and equipment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23,269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36,188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64,846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34,134</w:t>
            </w:r>
          </w:p>
        </w:tc>
      </w:tr>
      <w:tr>
        <w:trPr>
          <w:trHeight w:val="27"/>
        </w:trPr>
        <w:tc>
          <w:tcPr>
            <w:tcW w:w="4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4700" w:type="dxa"/>
            <w:vAlign w:val="bottom"/>
            <w:gridSpan w:val="2"/>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Non-GAAP Financial Measures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139,843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195,352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185,474</w:t>
            </w:r>
          </w:p>
        </w:tc>
      </w:tr>
      <w:tr>
        <w:trPr>
          <w:trHeight w:val="229"/>
        </w:trPr>
        <w:tc>
          <w:tcPr>
            <w:tcW w:w="4700" w:type="dxa"/>
            <w:vAlign w:val="bottom"/>
            <w:gridSpan w:val="2"/>
          </w:tcPr>
          <w:p>
            <w:pPr>
              <w:ind w:left="180"/>
              <w:spacing w:after="0"/>
              <w:rPr>
                <w:sz w:val="20"/>
                <w:szCs w:val="20"/>
                <w:color w:val="auto"/>
              </w:rPr>
            </w:pPr>
            <w:r>
              <w:rPr>
                <w:rFonts w:ascii="Arial" w:cs="Arial" w:eastAsia="Arial" w:hAnsi="Arial"/>
                <w:sz w:val="18"/>
                <w:szCs w:val="18"/>
                <w:color w:val="auto"/>
                <w:w w:val="96"/>
              </w:rPr>
              <w:t>Adjusted cash flows from operating activities less additions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to premises and equipment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99,948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116,574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159,164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132,647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151,340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40" w:lineRule="exact"/>
        <w:rPr>
          <w:sz w:val="20"/>
          <w:szCs w:val="20"/>
          <w:color w:val="auto"/>
        </w:rPr>
      </w:pPr>
    </w:p>
    <w:p>
      <w:pPr>
        <w:jc w:val="both"/>
        <w:ind w:left="260" w:hanging="252"/>
        <w:spacing w:after="0" w:line="270" w:lineRule="auto"/>
        <w:tabs>
          <w:tab w:leader="none" w:pos="26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 xml:space="preserve">Through January 16, 2015, William C. Erbey served as our Chairman as well as the Executive Chairman of Ocwen and Chairman of each of Home Loan Servicing Solutions, Ltd. (“HLSS”), RESI and AAMC. Effective January 16, 2015, Mr. Erbey stepped down as the Executive Chairman of Ocwen and Chairman of each of Altisource, HLSS, RESI and AAMC and is no longer a member of the Board of Directors of any of these companies. Consequently, as of January 16, 2015, these companies are no longer related parties of Altisource, as defined by Financial Accounting Standards Board’s Accounting Standards Codification (“ASC”) Topic 850, </w:t>
      </w:r>
      <w:r>
        <w:rPr>
          <w:rFonts w:ascii="Arial" w:cs="Arial" w:eastAsia="Arial" w:hAnsi="Arial"/>
          <w:sz w:val="16"/>
          <w:szCs w:val="16"/>
          <w:i w:val="1"/>
          <w:iCs w:val="1"/>
          <w:color w:val="auto"/>
        </w:rPr>
        <w:t>Related Party Disclosures</w:t>
      </w:r>
      <w:r>
        <w:rPr>
          <w:rFonts w:ascii="Arial" w:cs="Arial" w:eastAsia="Arial" w:hAnsi="Arial"/>
          <w:sz w:val="16"/>
          <w:szCs w:val="16"/>
          <w:color w:val="auto"/>
        </w:rPr>
        <w:t>. The disclosures in the table above are limited to the periods that each of Ocwen, HLSS, RESI and AAMC were related parties of Altisource and are not reflective of current activities with these former related parties. See Note 4 to the consolidated financial statements for more details and financial information for the period from January 1, 2015 to January 16, 2015.</w:t>
      </w:r>
    </w:p>
    <w:p>
      <w:pPr>
        <w:ind w:left="260" w:hanging="252"/>
        <w:spacing w:after="0" w:line="180" w:lineRule="auto"/>
        <w:tabs>
          <w:tab w:leader="none" w:pos="2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These are non-GAAP measures that are defined and reconciled to the corresponding GAAP measures on pages 29 to 31.</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Significant events affecting our historical earnings trends from 2015 through 2017, including acquisitions, are described in Item 7 of Part II,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net income attributable to Altisource, adjusted diluted earnings per share, adjusted earnings before interest, taxes depreciation and amortization (“Adjusted EBITDA”), adjusted effective income tax rate, adjusted cash flows from operating activities and adjusted cash flows from operating activities less additions to premises and equipment, which are presented elsewhere in this Annual Report on Form 10-K, are non-GAAP measures used by management, existing shareholders, potential shareholders and other users of our financial information to measure Altisource’s performance and do not purport to be alternatives to net income attributable to Altisource, diluted earnings per share, the effective income tax rate and cash flows from operating activities as measures of Altisource’s performance. We believe these measures are useful to management, existing shareholders, potential shareholders and other users of our financial information in evaluating operating profitability and cash flow generation more on the basis of continuing cost and cash flows as they exclude amortization expense related to acquisitions that occurred in prior periods and/or depreciation expense, financing expense and income taxes, as well as the effect of more significant non-recurring items from earnings and cash flows from operating activities. We believe these measures are also useful in evaluating the effectiveness of our operations and underlying business trends in a manner that is consistent with management’s evaluation of business performance. Furthermore, we believe the exclusion of more significant non-recurring items enables comparability to prior period performance and trend analysis.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management’s intent to provide non-GAAP financial information to enhance the understanding of Altisource’s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The non-GAAP financial information presented may be determined or calculated differently by other companies. The non-GAAP financial information should not be unduly relied upon.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Adjusted net income attributable to Altisource is calculated by adding intangible asset amortization expense (net of tax), litigation settlement loss, net of insurance recovery (net of tax), and impairment losses (net of tax) and adding or deducting certain income tax related items relating to the Luxembourg subsidiary merger, other income tax rate changes in Luxembourg and the United States and an increase in foreign income tax reserves (and related interest), and deducting gains associated with reductions of the Equator, LLC (“Equator”) related contingent consideration (“Equator Earn Out”) (net of tax) from net income attributable to Altisource. Adjusted diluted earnings per share is calculated by dividing net income attributable to Altisource plus intangible asset amortization expense (net of tax), net litigation settlement loss (net of tax), and impairment losses (net of tax) and adding or deducting certain income tax related items described above and deducting gains associated with reductions of the Equator Earn Out (net of tax), by the weighted average number of diluted shares. Adjusted EBITDA is calculated by deducting income tax benefit from, or adding the income tax provision to, interest expense (net of interest income), depreciation and amortization, the net litigation settlement loss and impairment losses and deducting gains associated with reductions of the Equator Earn Out from, net income attributable to Altisource. The adjusted effective income tax rate is calculated by adding or deducting the net impact of the certain income tax related items described above from the income tax benefit and dividing the resulting adjusted income tax provision by income before income taxes and non-controlling interests. Adjusted cash flows from operating activities is calculated by adding the cash payment related to the net litigation settlement loss and the increase in short-term investments in real estate to cash flows from operating activities. Adjusted cash flows from operating activities less additions to premises and equipment is calculated by adding the cash payment related to the net litigation settlement loss and the increase in short-term investments in real estate to, and deducting additions to premises and equipment from, cash flows from operating activities.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non-GAAP measures to the corresponding GAAP measures are set forth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22"/>
                <w:szCs w:val="22"/>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3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308,891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134,484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129,973</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Certain income tax related items,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Impairment loss, net of tax</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70,630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34,884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Equator Earn Out,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(35,303)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52,306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90,095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143,475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169,141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156,458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Intangible asset amortization expense, net of tax, per diluted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Certain income tax related items,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 net of tax, per diluted share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Impairment loss, net of tax, per diluted share</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Equator Earn Out, net of tax, per diluted share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diluted earnings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Calculation of the impact of intangible asset amortization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35,367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47,576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41,135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37,680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28,176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intangible asset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37"/>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Intangible asset amortization expense, net of tax</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27,523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36,819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 expense,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per diluted share</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Certain income tax related items, net resulting from:</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Luxembourg subsidiaries merger,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(300,908)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tax rate changes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Foreign income tax reserves</w:t>
            </w: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Certain income tax related items,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Diluted share count</w:t>
            </w: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18,692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23,634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Certain income tax related items, net, per diluted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Calculation of the impact of net litigation settlement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net of tax</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Tax benefit from net litigation settlement loss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Diluted share count</w:t>
            </w: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18,692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23,634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Net litigation settlement loss, net of tax, per diluted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41"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541"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40" w:type="dxa"/>
            <w:vAlign w:val="bottom"/>
          </w:tcPr>
          <w:p>
            <w:pPr>
              <w:spacing w:after="0"/>
              <w:rPr>
                <w:sz w:val="22"/>
                <w:szCs w:val="22"/>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4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impairment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280"/>
              <w:spacing w:after="0"/>
              <w:rPr>
                <w:sz w:val="20"/>
                <w:szCs w:val="20"/>
                <w:color w:val="auto"/>
              </w:rPr>
            </w:pPr>
            <w:r>
              <w:rPr>
                <w:rFonts w:ascii="Arial" w:cs="Arial" w:eastAsia="Arial" w:hAnsi="Arial"/>
                <w:sz w:val="18"/>
                <w:szCs w:val="18"/>
                <w:color w:val="auto"/>
              </w:rPr>
              <w:t>Impairment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71,785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37,473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impairment loss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8"/>
                <w:szCs w:val="18"/>
                <w:color w:val="auto"/>
              </w:rPr>
              <w:t>Impairment loss, net of tax</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70,630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34,884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 net of tax, per diluted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gain on Equator Earn Out,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280"/>
              <w:spacing w:after="0"/>
              <w:rPr>
                <w:sz w:val="20"/>
                <w:szCs w:val="20"/>
                <w:color w:val="auto"/>
              </w:rPr>
            </w:pPr>
            <w:r>
              <w:rPr>
                <w:rFonts w:ascii="Arial" w:cs="Arial" w:eastAsia="Arial" w:hAnsi="Arial"/>
                <w:sz w:val="18"/>
                <w:szCs w:val="18"/>
                <w:color w:val="auto"/>
              </w:rPr>
              <w:t>Gain on Equator Earn Out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w w:val="98"/>
              </w:rPr>
              <w:t>(37,924)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provision from the gain on Equator Earn Out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8"/>
                <w:szCs w:val="18"/>
                <w:color w:val="auto"/>
              </w:rPr>
              <w:t>Gain on Equator Earn Out, net of tax</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(35,303)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on Equator Earn Out, net of tax, per diluted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308,891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28,693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134,484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129,973</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80"/>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(276,256)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 of 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21,983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24,321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19,392</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36,447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36,788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36,470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29,046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19,056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47,576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37,680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28,176</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80"/>
              <w:spacing w:after="0"/>
              <w:rPr>
                <w:sz w:val="20"/>
                <w:szCs w:val="20"/>
                <w:color w:val="auto"/>
              </w:rPr>
            </w:pPr>
            <w:r>
              <w:rPr>
                <w:rFonts w:ascii="Arial" w:cs="Arial" w:eastAsia="Arial" w:hAnsi="Arial"/>
                <w:sz w:val="18"/>
                <w:szCs w:val="18"/>
                <w:color w:val="auto"/>
              </w:rPr>
              <w:t>Net litigation settlement loss</w:t>
            </w:r>
          </w:p>
        </w:tc>
        <w:tc>
          <w:tcPr>
            <w:tcW w:w="2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71,785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37,473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80"/>
              <w:spacing w:after="0"/>
              <w:rPr>
                <w:sz w:val="20"/>
                <w:szCs w:val="20"/>
                <w:color w:val="auto"/>
              </w:rPr>
            </w:pPr>
            <w:r>
              <w:rPr>
                <w:rFonts w:ascii="Arial" w:cs="Arial" w:eastAsia="Arial" w:hAnsi="Arial"/>
                <w:sz w:val="18"/>
                <w:szCs w:val="18"/>
                <w:color w:val="auto"/>
              </w:rPr>
              <w:t>Gain on Equator Earn Out</w:t>
            </w:r>
          </w:p>
        </w:tc>
        <w:tc>
          <w:tcPr>
            <w:tcW w:w="2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w w:val="98"/>
              </w:rPr>
              <w:t>(37,924)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126,432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178,313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219,732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2"/>
              </w:rPr>
              <w:t>234,197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205,137</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276,256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w w:val="98"/>
              </w:rPr>
              <w:t>(10,178)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Certain income tax related items, net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(284,108)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Income tax provision before certain income tax related</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w w:val="98"/>
              </w:rPr>
              <w:t>(10,178)</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77"/>
        </w:trPr>
        <w:tc>
          <w:tcPr>
            <w:tcW w:w="4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items, net</w:t>
            </w:r>
          </w:p>
        </w:tc>
        <w:tc>
          <w:tcPr>
            <w:tcW w:w="2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35,375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44,321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53,060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147,265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142,333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effective income tax rate</w:t>
            </w: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126,818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195,352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197,493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185,474</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80"/>
              <w:spacing w:after="0"/>
              <w:rPr>
                <w:sz w:val="20"/>
                <w:szCs w:val="20"/>
                <w:color w:val="auto"/>
              </w:rPr>
            </w:pPr>
            <w:r>
              <w:rPr>
                <w:rFonts w:ascii="Arial" w:cs="Arial" w:eastAsia="Arial" w:hAnsi="Arial"/>
                <w:sz w:val="18"/>
                <w:szCs w:val="18"/>
                <w:color w:val="auto"/>
              </w:rPr>
              <w:t>Net litigation settlement loss payment</w:t>
            </w:r>
          </w:p>
        </w:tc>
        <w:tc>
          <w:tcPr>
            <w:tcW w:w="24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short-term investments in real estate</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Adjusted cash flows from operating activities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110,462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139,843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195,352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2"/>
              </w:rPr>
              <w:t>197,493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185,474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Additions to premises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(64,846)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(34,134)</w:t>
            </w:r>
          </w:p>
        </w:tc>
        <w:tc>
          <w:tcPr>
            <w:tcW w:w="0" w:type="dxa"/>
            <w:vAlign w:val="bottom"/>
          </w:tcPr>
          <w:p>
            <w:pPr>
              <w:spacing w:after="0"/>
              <w:rPr>
                <w:sz w:val="1"/>
                <w:szCs w:val="1"/>
                <w:color w:val="auto"/>
              </w:rPr>
            </w:pPr>
          </w:p>
        </w:tc>
      </w:tr>
      <w:tr>
        <w:trPr>
          <w:trHeight w:val="277"/>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Adjusted cash flows from operating activities less additions to</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99,948</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116,574</w:t>
            </w:r>
          </w:p>
        </w:tc>
        <w:tc>
          <w:tcPr>
            <w:tcW w:w="12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159,164</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2"/>
              </w:rPr>
              <w:t>132,647</w:t>
            </w:r>
          </w:p>
        </w:tc>
        <w:tc>
          <w:tcPr>
            <w:tcW w:w="12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151,340</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below, provides a description of recent developments we believe are important in understanding our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strategic initiatives.</w:t>
      </w:r>
    </w:p>
    <w:p>
      <w:pPr>
        <w:spacing w:after="0" w:line="1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37, provides an analysis of our consolidated results of operations for the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43, provides an analysis of each business segment for the three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as well as Other Businesses, Corporate and Eliminations. In addition, we discuss significant transactions, events and trends that may affect the comparability of the results being analyzed.</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52, provides an analysis of our cash flows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We also discuss restrictions on cash movements, future commitments and capital resources.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Critical Accounting Policies, Estimates and Recent Accounting Pronouncements. </w:t>
      </w:r>
      <w:r>
        <w:rPr>
          <w:rFonts w:ascii="Arial" w:cs="Arial" w:eastAsia="Arial" w:hAnsi="Arial"/>
          <w:sz w:val="17"/>
          <w:szCs w:val="17"/>
          <w:color w:val="auto"/>
        </w:rPr>
        <w:t>This section, beginning on page 55, identifies those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This section, beginning on page 58, provides a discussion of off-balance sheet arrangements to the extent they exist. In addition,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tabular discussion of contractual obligations, discuss any significant commitments or contingencies and customer concentration.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Effective January 1, 2017,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new reportable segments: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 Market</w:t>
      </w:r>
      <w:r>
        <w:rPr>
          <w:rFonts w:ascii="Arial" w:cs="Arial" w:eastAsia="Arial" w:hAnsi="Arial"/>
          <w:sz w:val="17"/>
          <w:szCs w:val="17"/>
          <w:color w:val="auto"/>
        </w:rPr>
        <w:t xml:space="preserve">. In addition, we report </w:t>
      </w:r>
      <w:r>
        <w:rPr>
          <w:rFonts w:ascii="Arial" w:cs="Arial" w:eastAsia="Arial" w:hAnsi="Arial"/>
          <w:sz w:val="17"/>
          <w:szCs w:val="17"/>
          <w:i w:val="1"/>
          <w:iCs w:val="1"/>
          <w:color w:val="auto"/>
        </w:rPr>
        <w:t>Other Businesses, Corporate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Eliminations </w:t>
      </w:r>
      <w:r>
        <w:rPr>
          <w:rFonts w:ascii="Arial" w:cs="Arial" w:eastAsia="Arial" w:hAnsi="Arial"/>
          <w:sz w:val="17"/>
          <w:szCs w:val="17"/>
          <w:color w:val="auto"/>
        </w:rPr>
        <w:t>separately. Prior to the January 1, 2017 change in reportable segments, our reportable segments were</w:t>
      </w:r>
      <w:r>
        <w:rPr>
          <w:rFonts w:ascii="Arial" w:cs="Arial" w:eastAsia="Arial" w:hAnsi="Arial"/>
          <w:sz w:val="17"/>
          <w:szCs w:val="17"/>
          <w:i w:val="1"/>
          <w:iCs w:val="1"/>
          <w:color w:val="auto"/>
        </w:rPr>
        <w:t xml:space="preserve"> Mortgage Services, Financial Services </w:t>
      </w:r>
      <w:r>
        <w:rPr>
          <w:rFonts w:ascii="Arial" w:cs="Arial" w:eastAsia="Arial" w:hAnsi="Arial"/>
          <w:sz w:val="17"/>
          <w:szCs w:val="17"/>
          <w:color w:val="auto"/>
        </w:rPr>
        <w:t>and</w:t>
      </w:r>
      <w:r>
        <w:rPr>
          <w:rFonts w:ascii="Arial" w:cs="Arial" w:eastAsia="Arial" w:hAnsi="Arial"/>
          <w:sz w:val="17"/>
          <w:szCs w:val="17"/>
          <w:i w:val="1"/>
          <w:iCs w:val="1"/>
          <w:color w:val="auto"/>
        </w:rPr>
        <w:t xml:space="preserve"> Technology Services</w:t>
      </w:r>
      <w:r>
        <w:rPr>
          <w:rFonts w:ascii="Arial" w:cs="Arial" w:eastAsia="Arial" w:hAnsi="Arial"/>
          <w:sz w:val="17"/>
          <w:szCs w:val="17"/>
          <w:color w:val="auto"/>
        </w:rPr>
        <w:t>. Prior year comparable period segment disclosures have been restated to conform to the current year presentation.</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segment provides loan servicers and originators with marketplaces, services and technologies that span the mortgage lifecycle. The </w:t>
      </w:r>
      <w:r>
        <w:rPr>
          <w:rFonts w:ascii="Arial" w:cs="Arial" w:eastAsia="Arial" w:hAnsi="Arial"/>
          <w:sz w:val="16"/>
          <w:szCs w:val="16"/>
          <w:i w:val="1"/>
          <w:iCs w:val="1"/>
          <w:color w:val="auto"/>
        </w:rPr>
        <w:t xml:space="preserve">Real Estate Market </w:t>
      </w:r>
      <w:r>
        <w:rPr>
          <w:rFonts w:ascii="Arial" w:cs="Arial" w:eastAsia="Arial" w:hAnsi="Arial"/>
          <w:sz w:val="16"/>
          <w:szCs w:val="16"/>
          <w:color w:val="auto"/>
        </w:rPr>
        <w:t>segment provides real estate consumers and rental property investors with marketplaces and services that span the real estate lifecycle.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 the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segment includes businesses that provide post-charge-off consumer debt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also includes interest expense and costs related to corporate support functions including executive, finance, law, compliance, human resources, vendor management, facilities, risk management, and sales and marketing costs not allocated to the business units, as well as eliminations between the reportable segments. In addition, the </w:t>
      </w:r>
      <w:r>
        <w:rPr>
          <w:rFonts w:ascii="Arial" w:cs="Arial" w:eastAsia="Arial" w:hAnsi="Arial"/>
          <w:sz w:val="16"/>
          <w:szCs w:val="16"/>
          <w:i w:val="1"/>
          <w:iCs w:val="1"/>
          <w:color w:val="auto"/>
        </w:rPr>
        <w:t>Other Businesses,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Corporate and Eliminations </w:t>
      </w:r>
      <w:r>
        <w:rPr>
          <w:rFonts w:ascii="Arial" w:cs="Arial" w:eastAsia="Arial" w:hAnsi="Arial"/>
          <w:sz w:val="16"/>
          <w:szCs w:val="16"/>
          <w:color w:val="auto"/>
        </w:rPr>
        <w:t>segment includes the cost of certain facilities not allocated to the business units.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Lenders One. Lenders One is a mortgage cooperative managed, but not owned, by Altisource. Lenders One is included in revenue and reduced from net income to arrive at net income attributable to Altisource.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Businesses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focused on becoming one of the premier providers of mortgage and real estate marketplaces and related services to a broad and diversified customer base. Within the mortgage and real estate market segments, we facilitate transactions and provide products, solutions and services related to home sales, home purchases, home rentals, home maintenance, mortgage originations and mortgage servicing.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strategic businesses provides Altisource the potential to grow and diversify our customer and revenue base. We believe these businesses operate in very large markets and directly leverage our core competencies and distinct competitive advantages. A further description of our four strategic businesses follows.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this business, we provide a suite of services and technologies to meet the evolving and growing needs of loan servicers. We are focused on growing referrals from our existing customer base, expanding the service and proprietary technology offerings to our customer base, and attracting new customers to our offerings. We have a customer base that includes Ocwen, a GSE, NRZ, several large bank and non-bank servicers and asset managers. We believe we are one of only a few providers with a broad suite of servicer solutions, nationwide coverage and demonstrated scalability. Further, we believe we are well positioned to gain market share as existing customers and prospects consolidate to larger, full-service providers and outsource services that have historically been performed in-house.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Solutions: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Through this business, we provide a suite of services and technologies to meet the evolving and growing needs of loan originators and correspondents. We are focused on growing referrals from our existing customer base, expanding the service and proprietary technology offerings to our customer base, and attracting new customers to our offerings. We have a customer base that includes the Lenders One cooperative mortgage bankers, the Mortgage Builder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loan origination system customers and mid-size and larger bank and non-bank loan originators. We believe our suite of services and technologies positions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Real Estate Solutions: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this business, we provide real estate buyers and sellers with a technology enabled real estate brokerage and the integrated services to support them in buying and selling a home. Our offerings include local real estate agent services and loan brokerage as well as closing and title services. We are focused on continuing to develop this business by capitalizing on Altisource’s experience in online real estate marketing and loan origination services, as well as on recently developed agile execution competencies.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Investor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this business, we provide a suite of services and technologies to support buyers and sellers of single-family investment homes, including our purchase, renovation, leasing and sale of short-term investments in real estate. We are focused on growing referrals from our existing customer base, expanding the service and proprietary technology offerings to our customer base, and attracting new customers to our offerings. We have a customer base that includes RESI and other institutional and smaller single-family rental investors. The single-family rental market is large, geographically distributed and has fragmented ownership. We believe our acquisition, renovation, property management, leasing and disposition platform provides a strong value proposition for institutional and retail investors and positions us well for growth.</w:t>
      </w:r>
    </w:p>
    <w:p>
      <w:pPr>
        <w:spacing w:after="0" w:line="139" w:lineRule="exact"/>
        <w:rPr>
          <w:sz w:val="20"/>
          <w:szCs w:val="20"/>
          <w:color w:val="auto"/>
        </w:rPr>
      </w:pPr>
    </w:p>
    <w:p>
      <w:pPr>
        <w:ind w:right="1540"/>
        <w:spacing w:after="0" w:line="438" w:lineRule="auto"/>
        <w:rPr>
          <w:sz w:val="20"/>
          <w:szCs w:val="20"/>
          <w:color w:val="auto"/>
        </w:rPr>
      </w:pPr>
      <w:r>
        <w:rPr>
          <w:rFonts w:ascii="Arial" w:cs="Arial" w:eastAsia="Arial" w:hAnsi="Arial"/>
          <w:sz w:val="18"/>
          <w:szCs w:val="18"/>
          <w:color w:val="auto"/>
        </w:rPr>
        <w:t xml:space="preserve">There can be no assurance that growth from some or all of our strategic businesses will be successful or our operations will be profitable. </w:t>
      </w:r>
      <w:r>
        <w:rPr>
          <w:rFonts w:ascii="Arial" w:cs="Arial" w:eastAsia="Arial" w:hAnsi="Arial"/>
          <w:sz w:val="18"/>
          <w:szCs w:val="18"/>
          <w:b w:val="1"/>
          <w:bCs w:val="1"/>
          <w:color w:val="auto"/>
        </w:rPr>
        <w:t>Share Repurchase Program</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17, 2017, our shareholders approved the renewal of the share repurchase program previously approved by the shareholders on May 18, 2016, which replaced the previous share repurchase program. We are authorized to purchase up to 4.6 million shares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of our common stock, based on a limit of 25% of the outstanding shares of common stock on the date of approval, at a minimum price of $1.00 per share and a maximum price of $500.00 per share, for a period of five years from the date of approval. As of December 31, 2017, approximately 3.4 million shares of common stock remain available for repurchase under the program. We purchased 1.6 million shares of common stock at an average price of $23.84 per share during the year ended December 31, 2017, 1.4 million shares at an average price of $26.81 per share during the year ended December 31, 2016 and 2.1 million shares at an average price of $27.60 per share during the year ended December 31, 2015. Luxembourg law limits share repurchases to the balance of Altisource Portfolio Solutions S.A. (unconsolidated parent company) retained earnings, less the value of shares repurchased. As of December 31, 2017, we can repurchase up to approximately $178 million of our common stock under Luxembourg law. Our senior secured term loan limits the amount we can spend on share repurchases, which was approximately $446 million as of December 31, 2017, and may prevent repurchases in certain circumstances.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2017, Ocwen was our largest customer, accounting for 58% of our total revenue. Additionally, 16% of our revenue for the year ended December 31, 2017 was earned on the portfolios serviced by Ocwen, when a party other than Ocwen or the MSR owner selected Altisource as the service provider.</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2017, we estimate that NRZ owned certain economic rights in, but not legal title to, approximately 78% of the Subject MSRs. In July 2017, Ocwen and NRZ entered into agreements to convert NRZ’s economic rights to the Subject MSRs into fully-owned MSRs in exchange for payments from NRZ to Ocwen when such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28, 2017, Altisource, through its licensed subsidiaries, entered into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MSRs and the right to designate the broker for REO properties in such portfolios. The Brokerage Agreement provides that Altisource is the exclusive provider of brokerage services for REO associated with the Subject MSRs, irrespective of the sub-servicer. NRZ’s brokerage subsidiary will receive a cooperative brokerage commission on the sale of certain REO properties from these portfolios subject to certain exceptions.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and NRZ also entered into the Services LOI to enter into a Services Agreement, setting forth the terms pursuant to which Altisource would remain the exclusive service provider of fee-based services for the Subject MSRs through August 2025. The Services LOI was amended to continue through February 28, 2018 (with a further automatic extension through March 31, 2018 provided that the parties continue to negotiate the Services Agreement in good faith).</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between Altisource and NRZ during the term of the Services LOI.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execution of the Services Agreement, we anticipate that revenue from NRZ would increase and revenue from Ocwen would decrease. As Subject MSRs continue to transfer from Ocwen to NRZ, we anticipate that NRZ will become our largest customer. Had all of the Subject MSRs been transferred to NRZ and the Brokerage Agreement and the Services Agreement with NRZ were in place as of January 1, 2017, we estimate that approximately 50% of our 2017 revenue would have been related to NRZ. There can be no assurance that the parties will reach an agreement with respect to the terms of the Services Agreement or that a Services Agreement will be entered into on a timely basis or at all.</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2017, Ocwen disclosed that on April 20, 2017, the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83" w:lineRule="exact"/>
        <w:rPr>
          <w:sz w:val="20"/>
          <w:szCs w:val="20"/>
          <w:color w:val="auto"/>
        </w:rPr>
      </w:pPr>
    </w:p>
    <w:p>
      <w:pPr>
        <w:ind w:left="560" w:hanging="32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ind w:left="560" w:hanging="32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560" w:hanging="32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560" w:hanging="322"/>
        <w:spacing w:after="0" w:line="261"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has notified us, disclosed in its filings and stated in connection with resolving several state administrative actions discussed above, that it plans to transition from REALServicing to another mortgage servicing software platform. We anticipate that such a transition could be a multi-year project and Altisource would support Ocwen through such a transition. We do not anticipate that a servicing technology transition would impact the other services we provide to Ocwen. For the years ended December 31, 2017, 2016 and 2015, service revenue from REALServicing was $26.4 million, $29.8 million and $50.3 million, respectively. We estimate, with respect to income before income tax, that the REALServicing business currently operates at approximately break-even.</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the outcome of these matters or the amount of any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portfolio.</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our Servicer Solutions, Origination Solutions, Consumer Real Estate Solutions and Real Estate Investor Solutions businesses are focused on diversifying and growing our revenue and customer base and we have a sales and marketing strategy to support these businesses.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5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(including those MSRs owned by NRZ and subserviced by Ocwen) was approximately 1.3 million, 1.5 million and 2.0 million for the years ended December 31, 2017, 2016 and 2015, respectively. The average number of delinquent non-GSE loans serviced by Ocwen on REALServicing was approximately 199 thousand, 219 thousand and 279 thousand for the years ended December 31, 2017, 2016 and 2015, respectively.</w:t>
      </w:r>
    </w:p>
    <w:p>
      <w:pPr>
        <w:spacing w:after="0" w:line="2"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effective income tax rates for the years ended December 31, 2017, 2016 and 2015 were (780.9)%, 29.2% and 15.6%, respectively. The Company’s effective income tax rate for the year ended December 31, 2017 was impacted by three significant items. 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 net operating loss (“NOL”) of $1.3 billion and a deferred tax asset, net of valuation allowance, of $300.9 million as of December 31, 2017. The NOL has a 17 year life. This deferred tax asset was partially offset by the impact of other changes in U.S. and Luxembourg income tax rates of $6.3 million and an increase in certain foreign income tax reserves (and related interest) of $10.5 million. Excluding these three items, the Company’s adjusted effective income tax rate would have been 22.2% (see non-GAAP measures defined and reconciled on pages 29 to 31). Other than the three items discussed above, the variability in the effective income tax rate is primarily from changes in the mix of taxable income across the jurisdictions in which we operate.</w:t>
      </w:r>
    </w:p>
    <w:p>
      <w:pPr>
        <w:spacing w:after="0" w:line="7"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2017, we repurchased portions of our senior secured term loan with an aggregate par value of $60.1 million at a weighted average discount of 10.7%, recognizing a net gain of $5.6 million on the early extinguishment of debt. During 2016, we repurchased portions of our senior secured term loan with an aggregate par value of $51.0 million at a weighted average discount of 13.2%, recognizing a net gain of $5.5 million on the early extinguishment of debt. During 2015, we repurchased portions of our senior secured term loan with an aggregate par value of $49.0 million at a weighted average discount of 10.3%, recognizing a net gain of $3.8 million on the early extinguishment of debt.</w:t>
      </w:r>
    </w:p>
    <w:p>
      <w:pPr>
        <w:spacing w:after="0" w:line="1"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fourth quarter of 2016, we recorded a litigation settlement loss of $28.0 million, net of a $4.0 million insurance recovery, related to an agreed settlement of a class action lawsuit (no comparative amounts in 2017 and 2015).</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year ended December 31, 2016, we purchased 4.1 million shares of RESI common stock for $48.2 million. During the years ended December 31, 2017 and 2016, we earned dividends of $2.5 million and $2.3 million related to this investment (no comparative amount in 2015). In addition, during the year ended December 31, 2016, we incurred expenses of $3.4 million related to this investment (no comparative amounts in 2017 and 2015).</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fourth quarter of 2015, we recorded non-cash impairment losses of $71.8 million in our Mortgage Market and Other Businesses, Corporate and Eliminations segments primarily driven by our projected technology services revenue from Ocwen and investment in technologies provided to Ocwen (no comparative amounts in 2017 and 2016).</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July 29, 2016, we acquired certain assets and assumed certain liabilities of Granite for $9.5 million.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October 9, 2015, we acquired RentRange and Investability for $24.8 million composed of $17.5 million in cash at closing and 247 thousand shares of restricted common stock of the Company with a value of $7.3 million as of the closing date.</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July 17, 2015, we acquired CastleLine for $33.4 million. The purchase consideration was composed of $12.3 million of cash at closing, $10.5 million of cash payable to the seller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2015, we paid the former owners of Equator $0.5 million to extinguish any liability for the Equator Earn Out. In connection with this settlement, we reduced the liability for the Equator Earn Out to $0 and recognized a $7.6 million increase in earnings (no comparative amounts in 2017 and 2016).</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2015, we recognized a loss on the sale of equity securities of HLSS, net of dividends received, of $1.9 million.</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March 31, 2015, we terminated the Data Access and Services Agreement with Ocwen (“Data Access Agreement”) (no comparative amounts in 2017 and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a discussion of our consolidated results of operations for the years ended December 31, 2017, 2016 and 2015.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results of operations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14"/>
                <w:szCs w:val="1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 Increase</w:t>
            </w:r>
          </w:p>
        </w:tc>
        <w:tc>
          <w:tcPr>
            <w:tcW w:w="300" w:type="dxa"/>
            <w:vAlign w:val="bottom"/>
          </w:tcPr>
          <w:p>
            <w:pPr>
              <w:spacing w:after="0"/>
              <w:rPr>
                <w:sz w:val="14"/>
                <w:szCs w:val="14"/>
                <w:color w:val="auto"/>
              </w:rPr>
            </w:pPr>
          </w:p>
        </w:tc>
        <w:tc>
          <w:tcPr>
            <w:tcW w:w="100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260" w:type="dxa"/>
            <w:vAlign w:val="bottom"/>
          </w:tcPr>
          <w:p>
            <w:pPr>
              <w:spacing w:after="0"/>
              <w:rPr>
                <w:sz w:val="14"/>
                <w:szCs w:val="14"/>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(decrease)</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Mortgage Market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754,058</w:t>
            </w:r>
          </w:p>
        </w:tc>
        <w:tc>
          <w:tcPr>
            <w:tcW w:w="1420" w:type="dxa"/>
            <w:vAlign w:val="bottom"/>
            <w:gridSpan w:val="2"/>
          </w:tcPr>
          <w:p>
            <w:pPr>
              <w:jc w:val="right"/>
              <w:ind w:right="7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774,514</w:t>
            </w:r>
          </w:p>
        </w:tc>
        <w:tc>
          <w:tcPr>
            <w:tcW w:w="1420" w:type="dxa"/>
            <w:vAlign w:val="bottom"/>
            <w:gridSpan w:val="2"/>
          </w:tcPr>
          <w:p>
            <w:pPr>
              <w:jc w:val="right"/>
              <w:ind w:right="7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781,984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Market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86,821</w:t>
            </w:r>
          </w:p>
        </w:tc>
        <w:tc>
          <w:tcPr>
            <w:tcW w:w="14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84,805</w:t>
            </w:r>
          </w:p>
        </w:tc>
        <w:tc>
          <w:tcPr>
            <w:tcW w:w="142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46,963</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Other Businesses, Corporate and Eliminations</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58,682</w:t>
            </w:r>
          </w:p>
        </w:tc>
        <w:tc>
          <w:tcPr>
            <w:tcW w:w="1420" w:type="dxa"/>
            <w:vAlign w:val="bottom"/>
            <w:gridSpan w:val="2"/>
          </w:tcPr>
          <w:p>
            <w:pPr>
              <w:jc w:val="right"/>
              <w:ind w:right="7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83,280</w:t>
            </w:r>
          </w:p>
        </w:tc>
        <w:tc>
          <w:tcPr>
            <w:tcW w:w="1420" w:type="dxa"/>
            <w:vAlign w:val="bottom"/>
            <w:gridSpan w:val="2"/>
          </w:tcPr>
          <w:p>
            <w:pPr>
              <w:jc w:val="right"/>
              <w:ind w:right="77"/>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111,973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899,561</w:t>
            </w:r>
          </w:p>
        </w:tc>
        <w:tc>
          <w:tcPr>
            <w:tcW w:w="14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942,599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940,920</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39,912</w:t>
            </w:r>
          </w:p>
        </w:tc>
        <w:tc>
          <w:tcPr>
            <w:tcW w:w="1420" w:type="dxa"/>
            <w:vAlign w:val="bottom"/>
            <w:gridSpan w:val="2"/>
          </w:tcPr>
          <w:p>
            <w:pPr>
              <w:jc w:val="right"/>
              <w:ind w:right="7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52,011</w:t>
            </w:r>
          </w:p>
        </w:tc>
        <w:tc>
          <w:tcPr>
            <w:tcW w:w="1420" w:type="dxa"/>
            <w:vAlign w:val="bottom"/>
            <w:gridSpan w:val="2"/>
          </w:tcPr>
          <w:p>
            <w:pPr>
              <w:jc w:val="right"/>
              <w:ind w:right="7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107,344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2,740</w:t>
            </w:r>
          </w:p>
        </w:tc>
        <w:tc>
          <w:tcPr>
            <w:tcW w:w="14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2,693</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942,213</w:t>
            </w:r>
          </w:p>
        </w:tc>
        <w:tc>
          <w:tcPr>
            <w:tcW w:w="1420" w:type="dxa"/>
            <w:vAlign w:val="bottom"/>
            <w:gridSpan w:val="2"/>
          </w:tcPr>
          <w:p>
            <w:pPr>
              <w:jc w:val="right"/>
              <w:ind w:right="7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997,303</w:t>
            </w:r>
          </w:p>
        </w:tc>
        <w:tc>
          <w:tcPr>
            <w:tcW w:w="1420" w:type="dxa"/>
            <w:vAlign w:val="bottom"/>
            <w:gridSpan w:val="2"/>
          </w:tcPr>
          <w:p>
            <w:pPr>
              <w:jc w:val="right"/>
              <w:ind w:right="7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1,051,466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699,865</w:t>
            </w:r>
          </w:p>
        </w:tc>
        <w:tc>
          <w:tcPr>
            <w:tcW w:w="14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690,045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687,327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242,348</w:t>
            </w:r>
          </w:p>
        </w:tc>
        <w:tc>
          <w:tcPr>
            <w:tcW w:w="1420" w:type="dxa"/>
            <w:vAlign w:val="bottom"/>
            <w:gridSpan w:val="2"/>
          </w:tcPr>
          <w:p>
            <w:pPr>
              <w:jc w:val="right"/>
              <w:ind w:right="7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307,258</w:t>
            </w:r>
          </w:p>
        </w:tc>
        <w:tc>
          <w:tcPr>
            <w:tcW w:w="1420" w:type="dxa"/>
            <w:vAlign w:val="bottom"/>
            <w:gridSpan w:val="2"/>
          </w:tcPr>
          <w:p>
            <w:pPr>
              <w:jc w:val="right"/>
              <w:ind w:right="7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364,139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192,642</w:t>
            </w:r>
          </w:p>
        </w:tc>
        <w:tc>
          <w:tcPr>
            <w:tcW w:w="14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214,155</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29"/>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Litigation settlement loss, net of $4,000</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0"/>
              <w:spacing w:after="0"/>
              <w:rPr>
                <w:sz w:val="20"/>
                <w:szCs w:val="20"/>
                <w:color w:val="auto"/>
              </w:rPr>
            </w:pPr>
            <w:r>
              <w:rPr>
                <w:rFonts w:ascii="Arial" w:cs="Arial" w:eastAsia="Arial" w:hAnsi="Arial"/>
                <w:sz w:val="18"/>
                <w:szCs w:val="18"/>
                <w:color w:val="auto"/>
              </w:rPr>
              <w:t>insurance recovery</w:t>
            </w:r>
          </w:p>
        </w:tc>
        <w:tc>
          <w:tcPr>
            <w:tcW w:w="30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0"/>
                <w:szCs w:val="20"/>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7"/>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49,706</w:t>
            </w:r>
          </w:p>
        </w:tc>
        <w:tc>
          <w:tcPr>
            <w:tcW w:w="14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65,103</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79,077</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(22,253)</w:t>
            </w:r>
          </w:p>
        </w:tc>
        <w:tc>
          <w:tcPr>
            <w:tcW w:w="14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(24,412)</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7,922</w:t>
            </w:r>
          </w:p>
        </w:tc>
        <w:tc>
          <w:tcPr>
            <w:tcW w:w="1420" w:type="dxa"/>
            <w:vAlign w:val="bottom"/>
            <w:gridSpan w:val="2"/>
          </w:tcPr>
          <w:p>
            <w:pPr>
              <w:jc w:val="right"/>
              <w:ind w:right="13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3,630</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(14,331)</w:t>
            </w:r>
          </w:p>
        </w:tc>
        <w:tc>
          <w:tcPr>
            <w:tcW w:w="14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(20,782)</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(26,017)</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Income before income taxes and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35,375</w:t>
            </w:r>
          </w:p>
        </w:tc>
        <w:tc>
          <w:tcPr>
            <w:tcW w:w="14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44,321</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Income tax benefit (provision)</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276,256</w:t>
            </w:r>
          </w:p>
        </w:tc>
        <w:tc>
          <w:tcPr>
            <w:tcW w:w="100" w:type="dxa"/>
            <w:vAlign w:val="bottom"/>
          </w:tcPr>
          <w:p>
            <w:pPr>
              <w:spacing w:after="0"/>
              <w:rPr>
                <w:sz w:val="21"/>
                <w:szCs w:val="21"/>
                <w:color w:val="auto"/>
              </w:rPr>
            </w:pP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(12,935)</w:t>
            </w:r>
          </w:p>
        </w:tc>
        <w:tc>
          <w:tcPr>
            <w:tcW w:w="1420" w:type="dxa"/>
            <w:vAlign w:val="bottom"/>
            <w:gridSpan w:val="2"/>
          </w:tcPr>
          <w:p>
            <w:pPr>
              <w:jc w:val="right"/>
              <w:ind w:right="137"/>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311,631</w:t>
            </w:r>
          </w:p>
        </w:tc>
        <w:tc>
          <w:tcPr>
            <w:tcW w:w="100" w:type="dxa"/>
            <w:vAlign w:val="bottom"/>
          </w:tcPr>
          <w:p>
            <w:pPr>
              <w:spacing w:after="0"/>
              <w:rPr>
                <w:sz w:val="21"/>
                <w:szCs w:val="21"/>
                <w:color w:val="auto"/>
              </w:rPr>
            </w:pP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31,386</w:t>
            </w:r>
          </w:p>
        </w:tc>
        <w:tc>
          <w:tcPr>
            <w:tcW w:w="1420" w:type="dxa"/>
            <w:vAlign w:val="bottom"/>
            <w:gridSpan w:val="2"/>
          </w:tcPr>
          <w:p>
            <w:pPr>
              <w:jc w:val="right"/>
              <w:ind w:right="7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44,800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(2,740)</w:t>
            </w:r>
          </w:p>
        </w:tc>
        <w:tc>
          <w:tcPr>
            <w:tcW w:w="14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(2,693)</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308,891</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28,693</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41,598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gridSpan w:val="2"/>
          </w:tcPr>
          <w:p>
            <w:pPr>
              <w:ind w:left="76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1.53</w:t>
            </w:r>
          </w:p>
        </w:tc>
        <w:tc>
          <w:tcPr>
            <w:tcW w:w="1420" w:type="dxa"/>
            <w:vAlign w:val="bottom"/>
            <w:tcBorders>
              <w:bottom w:val="single" w:sz="8" w:color="CCEEFF"/>
            </w:tcBorders>
            <w:gridSpan w:val="2"/>
          </w:tcPr>
          <w:p>
            <w:pPr>
              <w:jc w:val="right"/>
              <w:ind w:right="7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51"/>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1.46</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18,183</w:t>
            </w:r>
          </w:p>
        </w:tc>
        <w:tc>
          <w:tcPr>
            <w:tcW w:w="142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18,696</w:t>
            </w:r>
          </w:p>
        </w:tc>
        <w:tc>
          <w:tcPr>
            <w:tcW w:w="1420" w:type="dxa"/>
            <w:vAlign w:val="bottom"/>
            <w:tcBorders>
              <w:bottom w:val="single" w:sz="8" w:color="CCEEFF"/>
            </w:tcBorders>
            <w:gridSpan w:val="2"/>
          </w:tcPr>
          <w:p>
            <w:pPr>
              <w:jc w:val="right"/>
              <w:ind w:right="7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19,504</w:t>
            </w:r>
          </w:p>
        </w:tc>
        <w:tc>
          <w:tcPr>
            <w:tcW w:w="0" w:type="dxa"/>
            <w:vAlign w:val="bottom"/>
          </w:tcPr>
          <w:p>
            <w:pPr>
              <w:spacing w:after="0"/>
              <w:rPr>
                <w:sz w:val="1"/>
                <w:szCs w:val="1"/>
                <w:color w:val="auto"/>
              </w:rPr>
            </w:pPr>
          </w:p>
        </w:tc>
      </w:tr>
      <w:tr>
        <w:trPr>
          <w:trHeight w:val="251"/>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18,692</w:t>
            </w:r>
          </w:p>
        </w:tc>
        <w:tc>
          <w:tcPr>
            <w:tcW w:w="14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19,612</w:t>
            </w:r>
          </w:p>
        </w:tc>
        <w:tc>
          <w:tcPr>
            <w:tcW w:w="14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28"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528"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Financial Measures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Adjusted net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52,306</w:t>
            </w:r>
          </w:p>
        </w:tc>
        <w:tc>
          <w:tcPr>
            <w:tcW w:w="146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90,095</w:t>
            </w:r>
          </w:p>
        </w:tc>
        <w:tc>
          <w:tcPr>
            <w:tcW w:w="144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143,475</w:t>
            </w:r>
          </w:p>
        </w:tc>
        <w:tc>
          <w:tcPr>
            <w:tcW w:w="0" w:type="dxa"/>
            <w:vAlign w:val="bottom"/>
          </w:tcPr>
          <w:p>
            <w:pPr>
              <w:spacing w:after="0"/>
              <w:rPr>
                <w:sz w:val="1"/>
                <w:szCs w:val="1"/>
                <w:color w:val="auto"/>
              </w:rPr>
            </w:pPr>
          </w:p>
        </w:tc>
      </w:tr>
      <w:tr>
        <w:trPr>
          <w:trHeight w:val="251"/>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diluted earnings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126,432</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178,313</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219,732</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25" w:lineRule="auto"/>
        <w:tabs>
          <w:tab w:leader="none" w:pos="2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These are non-GAAP measures that are defined and reconciled to the corresponding GAAP measures on pages 29 to 31.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recognized service revenue of $899.6 million, $942.6 million and $940.9 million for the years ended December 31, 2017, 2016 and 2015, respectively. The decrease in service revenue for the year ended December 31, 2017 was primarily due to lower service revenue in our IT infrastructure services and customer relationship management businesses in the Other Businesses, Corporate and Eliminations segment and, in the Mortgage Market segment, a reduction in the size of Ocwen’s portfolio and number of delinquent loans in its portfolio resulting from loan repayments, loan modifications, short sales, REO sales and other forms of resolution. IT infrastructure services revenue declined from the transition of resources supporting Ocwen’s technology infrastructure to Ocwen. Beginning in the fourth quarter of 2015 and continuing through 2017, we transitioned resources supporting Ocwen’s technology infrastructure from Altisource to Ocwen. The decrease in the customer relationship management service revenue was primarily due to severed client relationships with certain non-profitable clients and a reduction in volume from the transition of services from one customer to another. The declines in the Mortgage Market segment were partially offset by growth in property preservation and inspection business from Ocwen as well as non-Ocwen customers and the impact of the 2015 change in the billing model for preservation services on new Ocwen REO referrals that resulted in certain services that were historically reimbursable expenses revenue becoming service revenue. Furthermore, Mortgage Market service revenue from loan disbursement processing services increased from the full year impact of the Granite acquisition in July 2016. Service revenue in the Real Estate Market was lower as a result of RESI’s smaller portfolio of non-performing loans and REO, which was largely offset by increased service revenue from home sales in the buy-renovate-lease-sell business, which began operations in the second half of 2016, and an increase in the renovation management business.</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increase in service revenue in 2016 compared to 2015 was primarily driven by revenue growth in the Real Estate Market, primarily due to growth in the volume of homes sold and the percentage of homes sold through auction on Hubzu and increased volumes of higher value property preservation referrals. The increase in service revenue in the Mortgage Market was driven by the change in the billing model for new Ocwen REO referrals in the Servicer Solutions business and revenue growth in the Origination Solutions business from new customers and volume growth with existing customers. However, these increases were more than offset by lower rates charged to Ocwen for certain software services. Also, service revenue was lower in the Other Businesses, Corporate and Eliminations segment, primarily due to lower customer relationship management revenue as we severed relationships with and reduced the volume of services provided to certain clients that were not profitable to us, and we experienced a reduction in volume from the transition of services from one customer to another. IT infrastructure services also declined due to the transition of resources supporting Ocwen’s technology infrastructure to Ocwen. During the fourth quarter of 2015, we began transitioning resources supporting Ocwen’s technology infrastructure to Ocwen as a part of the previously announced separation of technology infrastructure.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reimbursable expense revenue of $39.9 million, $52.0 million and $107.3 million for the years ended December 31, 2017, 2016 and 2015, respectively. The decreases in reimbursable expenses revenue were primarily due to a reduction in the size of Ocwen’s portfolio and number of delinquent loans in its portfolio resulting from loan repayments, loan modifications, short sales, REO sales and other forms of resolution and a change in 2015 in the billing model for preservation services on new Ocwen REO referrals described above, which impacted reimbursable expense revenue in the Mortgage Market.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loan originations and certain property preservation services typically tend to be at their lowest level during the fall and winter months and at their highest level during the spring and summer months. In addition, revenue in the asset recovery management business tends to be higher in the first quarter, as borrowers may utilize tax refunds and bonuses to pay debts, and generally declines throughout the rest of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240,487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264,796</w:t>
            </w:r>
          </w:p>
        </w:tc>
        <w:tc>
          <w:tcPr>
            <w:tcW w:w="13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261,839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325,459</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301,116</w:t>
            </w:r>
          </w:p>
        </w:tc>
        <w:tc>
          <w:tcPr>
            <w:tcW w:w="1360" w:type="dxa"/>
            <w:vAlign w:val="bottom"/>
            <w:gridSpan w:val="2"/>
          </w:tcPr>
          <w:p>
            <w:pPr>
              <w:jc w:val="right"/>
              <w:ind w:right="3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248,278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24,398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39,912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52,011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107,344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42,340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44,295</w:t>
            </w:r>
          </w:p>
        </w:tc>
        <w:tc>
          <w:tcPr>
            <w:tcW w:w="13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43,177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27,269</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26,787</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699,865</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690,045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687,327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cost of revenue of $699.9 million, $690.0 million and $687.3 million for the years ended December 31, 2017, 2016 and 2015, respectively. The increase in cost of revenue in 2017 compared to 2016 was primarily driven by higher outside fees and services and cost of real estate sold, partially offset by decreases in compensation and benefits and reimbursable expenses. Outside fees and services increased in the Mortgage Market due to growth in referrals of certain higher cost property preservation services in the Servicer Solutions business and the change in the billing model discussed in the revenue section above, partially offset by lower costs related to RESI’s smaller portfolio of non-performing loans and REO in the Real Estate Investor Solutions business. The decrease in reimbursable expenses in the Mortgage Market was primarily due to fewer REO properties under the prior billing model discussed in the revenue section above. The increases in cost of real estate sold were the result of properties sold in connection with our buy-renovate-lease-sell program, which began operations in the second half of 2016.</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Compensation and benefits declined in the Mortgage Market segment as we reduced headcount in certain of the Servicer Solutions businesses from the decline in Ocwen’s portfolio discussed in the revenue section above as well as from the implementation of efficiency initiatives. In the Other Businesses, Corporate and Eliminations segment, compensation and benefits decreased in connection with the transition of resources supporting Ocwen’s technology infrastructure to Ocwen and lower headcount levels in our customer relationship management business, consistent with the decline in service revenues. In the Real Estate Market, compensation and benefits increased in the Consumer Real Estate Solutions business to support growth of this business, partially offset by lower headcount levels in the Real Estate Investor Solutions business driven by lower customer volumes in certain business units.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cost of revenue in 2016 compared to 2015 was primarily attributable to higher outside fees and services, largely offset by decreases in reimbursable expenses in the Mortgage Market. Outside fees and services increased and reimbursable expenses declined primarily due to higher volumes of property preservation referrals and the change in billing model discussed in the revenue section above. In addition, the increase in outside fees and services was partially offset by the March 31, 2015 termination of the Data Access Agreement.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$242.3 million, representing 27% of service revenue, for the year ended December 31, 2017 compared to $307.3 million, representing 33% of service revenue, for the year ended December 31, 2016 and $364.1 million, representing 39% of service revenue, for the year ended December 31, 2015.</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Gross profit as a percentage of service revenue decreased in 2017 compared to 2016 primarily due to revenue mix and investments in our growth businesses. Revenue mix changed from growth in the lower margin property preservation services, buy-renovate-lease-sell and renovation management businesses and declines in other higher margin businesses.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as a percentage of service revenue decreased in 2016 compared to 2015 primarily due to higher growth in the lower margin property preservation services, higher compensation and benefits in the Real Estate Market to support our growth initiatives and reductions in volumes and prices in certain technology businesses in the Mortgage Market which exceeded the decline in costs. These decreases were partially offset by the March 31, 2015 termination of the Data Access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administration expenses (“SG&amp;A”) include payroll for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58,157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55,577</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54,897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13,421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23,284</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23,183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36,371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39,917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35,367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47,576</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41,135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10,001</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16,171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27,847</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27,499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23,977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24,456</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192,642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214,155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SG&amp;A of $192.6 million, $214.2 million and $220.9 million for the years ended December 31, 2017, 2016 and 2015, respectively. The decrease in SG&amp;A in 2017 compared to 2016 was primarily due to lower amortization of intangible assets driven by an increase in total projected revenue to be generated by the Homeward Residential, Inc. (“Homeward”) and Residential Capital, LLC (“ResCap”) portfolios over the lives of these portfolios (revenue-based amortization) and lower marketing costs, driven by initial non-recurring Owners.com market launch costs incurred during 2016 and the reduction in Owners.com recurring marketing spend as the business unit focuses on improving the lead to closing conversion rate. In addition, legal costs in professional services were lower in connection with the resolution of, and reduction in activities related to, several litigation and regulatory matters. These decreases were partially offset by an increase in Other, primarily due to facility closures, litigation related costs, an increase in bad debt expense and a $3.0 million favorable loss accrual adjustment in Other in 2016.</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SG&amp;A in 2016 compared to 2015 was primarily due to a decrease in Other driven by an estimated loss recorded in the fourth quarter of 2015 in connection with an anticipated payment to Ocwen for obtaining a release of liability for Altisource related to Ocwen’s settlement of a particular case and lower bad debt expense in 2016. The decrease was partially offset by higher amortization of intangible assets from increased revenues from the Homeward and ResCap portfolios (revenue-based amortization).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operating expenses include the litigation settlement loss, net of insurance recovery for the year ended December 31, 2016 and impairment losses and changes in the fair value of the Equator Earn Out for the year ended December 31, 2015 (no comparative amounts in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insurance recovery</w:t>
            </w:r>
          </w:p>
        </w:tc>
        <w:tc>
          <w:tcPr>
            <w:tcW w:w="320" w:type="dxa"/>
            <w:vAlign w:val="bottom"/>
            <w:tcBorders>
              <w:bottom w:val="single" w:sz="8" w:color="CCEEFF"/>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28,000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shd w:val="clear" w:color="auto" w:fill="CCEEFF"/>
              </w:rPr>
              <w:t>N/M</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21"/>
                <w:szCs w:val="21"/>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64,194</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the year ended December 31, 2016, other operating expenses of $28.0 million included a litigation settlement loss, which consists of a legal settlement accrual of $28.0 million, net of a $4.0 million insurance recovery. The litigation settlement loss related to the agreed settlement of the putative class action litigation designated </w:t>
      </w:r>
      <w:r>
        <w:rPr>
          <w:rFonts w:ascii="Arial" w:cs="Arial" w:eastAsia="Arial" w:hAnsi="Arial"/>
          <w:sz w:val="18"/>
          <w:szCs w:val="18"/>
          <w:i w:val="1"/>
          <w:iCs w:val="1"/>
          <w:color w:val="auto"/>
        </w:rPr>
        <w:t>In re: Altisource Portfolio Solutions, S.A. Securities Litigation</w:t>
      </w:r>
      <w:r>
        <w:rPr>
          <w:rFonts w:ascii="Arial" w:cs="Arial" w:eastAsia="Arial" w:hAnsi="Arial"/>
          <w:sz w:val="18"/>
          <w:szCs w:val="18"/>
          <w:color w:val="auto"/>
        </w:rPr>
        <w:t xml:space="preserve"> in the United States District Court for the Southern District of Florida. Altisource Portfolio Solutions S.A. and the officer and director defendants denied all claims of wrongdoing or liability. The settlement loss was recorded in 2016 and paid in 2017.</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2015, other operating expenses of $64.2 million included impairment losses and changes in the fair value of the Equator Earn Out. The non-cash impairment losses of $71.8 million were primarily driven by the Company’s projected technology revenue from Ocwen and investment in technologies provided to Ocwen. These losses are composed of $55.7 million impairment of goodwill, $11.9 million impairment of intangible assets from the 2013 Homeward and ResCap fee-</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business acquisitions and $4.1 million impairment of software assets included in premises and equipment. These impairment losses were attributable to our Mortgage Market and Other Businesses, Corporate and Eliminations segments.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a gain on the change in the fair value of the Equator Earn Out of $7.6 million in 2015 in our Mortgage Market segment. The liability for contingent consideration was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Income from operations decreased to $49.7 million, representing 6% of service revenue, for the year ended December 31, 2017 compared to $65.1 million, representing 7% of service revenue, for the year ended December 31, 2016. The decrease was primarily due to 2017 revenue mix changes and investments in our growth businesses, partially offset by the 2016 litigation settlement loss of $28.0 million and the decrease in SG&amp;A, as discussed above.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decreased to $65.1 million, representing 7% of service revenue, for the year ended December 31, 2016 compared to $79.1 million, representing 8% of service revenue, for the year ended December 31, 2015. The decrease was primarily due to a lower gross profit margin in 2016, the litigation settlement loss, net of insurance recovery, and the 2015 Equator Earn Out gain, partially offset by the 2015 impairment losses and lower SG&amp;A in 2016, as discussed above.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Mortgage Market is our largest and highest margin segment and Ocwen is our largest customer in this segment, declines in service revenue from Ocwen and the changes in mix of revenue from Ocwen have had a negative impact on our operating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income (expense), net principally includes interest expense and other non-operating gains and losses. Other income (expense), net was $(14.3) million, $(20.8) million and $(26.0) million for the years ended December 31, 2017, 2016 and 2015, respectively. The decrease in other income (expense), net in 2017 was primarily due to lower interest expense and higher other income. Interest expense was $(22.3) million in 2017 compared to $(24.4) million in 2016, driven by the repurchase of portions of our senior secured term loan, partially offset by an increase in the senior secured term loan interest rate from 4.50% as of December 31, 2016 to 5.07% as of December 31, 2017. During 2017, we repurchased portions of our senior secured term loan with an aggregate par value of $60.1 million at a weighted average discount of 10.7%, recognizing a net gain of $5.6 million on the early extinguishment of debt in other income. During 2016, we repurchased portions of our senior secured term loan with an aggregate par value of $51.0 million at a weighted average discount of 13.2%, recognizing a net gain of $5.5 million on the early extinguishment of debt in other income. Also, during 2017 and 2016, we earned dividends of $2.5 million and $2.3 million, respectively, related to our investment in RESI and in 2016 we incurred expenses of $3.4 million related to this investment (no comparative amount in 2017).</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decrease in other income (expense), net in 2016 was primarily due to lower interest expense and higher other income. Interest expense was $(24.4) million in 2016 compared to $(28.2) million in 2015, driven by the repurchase of portions of our senior secured term loan. During 2016, we repurchased portions of our senior secured term loan with an aggregate par value of $51.0 million at a weighted average discount of 13.2%, recognizing a net gain of $5.5 million on the early extinguishment of debt in other income. During 2015, we repurchased portions of our senior secured term loan with an aggregate par value of $49.0 million at a weighted average discount of 10.3%, recognizing a net gain of $3.8 million on the early extinguishment of debt in other income. Also, during 2016, we earned dividends of $2.3 million and incurred expenses of $(3.4) million related to our investment in RESI (no comparative amounts in 2015). During March 2015, we purchased 1.6 million shares of HLSS common stock in the open market for $30.0 million. During 2015, we received liquidating dividends and other dividends from HLSS totaling $20.4 million and sold all of our 1.6 million shares of HLSS common stock in the open market for $7.7 million. As a result of these transactions, we recognized a net loss of $(1.9) million for the year ended December 31, 2015 in connection with our investment in HLSS (no comparative amount in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an income tax benefit (provision) of $276.3 million, $(12.9) million and $(8.3) million for the years ended December 31, 2017, 2016 and 2015, respectively, and our effective income tax rates for the years ended December 31, 2017, 2016 and 2015 were (780.9)%, 29.2% and 15.6%, respectively. 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an NOL of $1.3 billion and a deferred tax</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asset, net of valuation allowance, of $300.9 million as of December 31, 2017. The NOL has a 17 year life. This deferred tax asset was partially offset by the impact of other changes in U.S. and Luxembourg income tax rates of $6.3 million and an increase in certain foreign income tax reserves (and related interest) of $10.5 million. Excluding these three items, the Company’s adjusted effective income tax rate would have been 22.2% (see non-GAAP measures defined and reconciled on pages 29 to 31). Our effective tax rate differs from the Luxembourg statutory tax rate of 27.1% for the year ended December 31, 2017 and 29.2% for the years ended December 31, 2016 and 2015, primarily due to the effect of the three significant items discussed above, certain deductions in Luxembourg and the mix of income and losses with varying tax rates in multiple taxing jurisdictions. The higher effective income tax rate for the year ended December 31, 2016 compared to the year ended December 31, 2015 was primarily the result of lower pretax income, including the impact of the litigation settlement loss, net of insurance recovery, which changed the mix of taxable income across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reportable segments changed as a result of a change in the way our chief operating decision maker manages our businesses, allocates resources and evaluates performance, and the related changes in our internal organization. See Item 1 of Part I, “</w:t>
      </w:r>
      <w:r>
        <w:rPr>
          <w:rFonts w:ascii="Arial" w:cs="Arial" w:eastAsia="Arial" w:hAnsi="Arial"/>
          <w:sz w:val="18"/>
          <w:szCs w:val="18"/>
          <w:i w:val="1"/>
          <w:iCs w:val="1"/>
          <w:color w:val="auto"/>
        </w:rPr>
        <w:t>Reportable Segments</w:t>
      </w:r>
      <w:r>
        <w:rPr>
          <w:rFonts w:ascii="Arial" w:cs="Arial" w:eastAsia="Arial" w:hAnsi="Arial"/>
          <w:sz w:val="18"/>
          <w:szCs w:val="18"/>
          <w:color w:val="auto"/>
        </w:rPr>
        <w:t>,” for additional information regarding changes in our reportable segments. Prior year comparable period segment disclosures have been restated to conform to the current year presentation.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 2017</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Mortgage Market</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Corporate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4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6"/>
                <w:szCs w:val="16"/>
                <w:color w:val="auto"/>
              </w:rPr>
            </w:pPr>
          </w:p>
        </w:tc>
        <w:tc>
          <w:tcPr>
            <w:tcW w:w="1120" w:type="dxa"/>
            <w:vAlign w:val="bottom"/>
          </w:tcPr>
          <w:p>
            <w:pPr>
              <w:jc w:val="right"/>
              <w:ind w:right="253"/>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754,058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86,821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58,682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899,561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39,912</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793,684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89,787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58,742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942,213</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545,507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96,967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57,391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699,865</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248,177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242,348</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114,215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18,718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59,709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192,642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(25,898)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(58,358)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49,706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(14,331)</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134,034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(25,902)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(72,757)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40"/>
              <w:spacing w:after="0"/>
              <w:rPr>
                <w:sz w:val="20"/>
                <w:szCs w:val="20"/>
                <w:color w:val="auto"/>
              </w:rPr>
            </w:pPr>
            <w:r>
              <w:rPr>
                <w:rFonts w:ascii="Arial" w:cs="Arial" w:eastAsia="Arial" w:hAnsi="Arial"/>
                <w:sz w:val="18"/>
                <w:szCs w:val="18"/>
                <w:color w:val="auto"/>
              </w:rPr>
              <w:t>Margins:</w:t>
            </w: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 (loss)/service revenue</w:t>
            </w:r>
          </w:p>
        </w:tc>
        <w:tc>
          <w:tcPr>
            <w:tcW w:w="2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w:t>
            </w:r>
          </w:p>
        </w:tc>
        <w:tc>
          <w:tcPr>
            <w:tcW w:w="15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440" w:type="dxa"/>
            <w:vAlign w:val="bottom"/>
          </w:tcPr>
          <w:p>
            <w:pPr>
              <w:jc w:val="right"/>
              <w:ind w:right="430"/>
              <w:spacing w:after="0"/>
              <w:rPr>
                <w:sz w:val="20"/>
                <w:szCs w:val="20"/>
                <w:color w:val="auto"/>
              </w:rPr>
            </w:pPr>
            <w:r>
              <w:rPr>
                <w:rFonts w:ascii="Arial" w:cs="Arial" w:eastAsia="Arial" w:hAnsi="Arial"/>
                <w:sz w:val="18"/>
                <w:szCs w:val="18"/>
                <w:color w:val="auto"/>
              </w:rPr>
              <w:t>18%</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(30)%</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(99)%</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 ended December 31, 2016</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200" w:type="dxa"/>
            <w:vAlign w:val="bottom"/>
          </w:tcPr>
          <w:p>
            <w:pPr>
              <w:spacing w:after="0"/>
              <w:rPr>
                <w:sz w:val="13"/>
                <w:szCs w:val="13"/>
                <w:color w:val="auto"/>
              </w:rPr>
            </w:pPr>
          </w:p>
        </w:tc>
        <w:tc>
          <w:tcPr>
            <w:tcW w:w="11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4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20" w:type="dxa"/>
            <w:vAlign w:val="bottom"/>
          </w:tcPr>
          <w:p>
            <w:pPr>
              <w:jc w:val="right"/>
              <w:ind w:right="253"/>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774,514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84,805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83,280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942,599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52,011</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827,324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86,590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83,389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997,303</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546,540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64,566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78,939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121,508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69,356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214,155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 insurance recovery</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159,276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(92,906)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65,103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(20,931)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159,430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(113,837)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Margins: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Gross profit/service revenue</w:t>
            </w:r>
          </w:p>
        </w:tc>
        <w:tc>
          <w:tcPr>
            <w:tcW w:w="2440" w:type="dxa"/>
            <w:vAlign w:val="bottom"/>
          </w:tcPr>
          <w:p>
            <w:pPr>
              <w:jc w:val="right"/>
              <w:ind w:right="450"/>
              <w:spacing w:after="0"/>
              <w:rPr>
                <w:sz w:val="20"/>
                <w:szCs w:val="20"/>
                <w:color w:val="auto"/>
              </w:rPr>
            </w:pPr>
            <w:r>
              <w:rPr>
                <w:rFonts w:ascii="Arial" w:cs="Arial" w:eastAsia="Arial" w:hAnsi="Arial"/>
                <w:sz w:val="18"/>
                <w:szCs w:val="18"/>
                <w:color w:val="auto"/>
              </w:rPr>
              <w:t>36%</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26 %</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5 %</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w:t>
            </w:r>
          </w:p>
        </w:tc>
        <w:tc>
          <w:tcPr>
            <w:tcW w:w="14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6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46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 2015</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180" w:type="dxa"/>
            <w:vAlign w:val="bottom"/>
          </w:tcPr>
          <w:p>
            <w:pPr>
              <w:spacing w:after="0"/>
              <w:rPr>
                <w:sz w:val="13"/>
                <w:szCs w:val="13"/>
                <w:color w:val="auto"/>
              </w:rPr>
            </w:pPr>
          </w:p>
        </w:tc>
        <w:tc>
          <w:tcPr>
            <w:tcW w:w="11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5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Mortgage Market</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Real Estate Market</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Corporate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60" w:type="dxa"/>
            <w:vAlign w:val="bottom"/>
            <w:gridSpan w:val="2"/>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Eliminations</w:t>
            </w:r>
          </w:p>
        </w:tc>
        <w:tc>
          <w:tcPr>
            <w:tcW w:w="180" w:type="dxa"/>
            <w:vAlign w:val="bottom"/>
          </w:tcPr>
          <w:p>
            <w:pPr>
              <w:spacing w:after="0"/>
              <w:rPr>
                <w:sz w:val="16"/>
                <w:szCs w:val="16"/>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6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781,984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46,963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111,973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940,920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99,988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107,344</w:t>
            </w:r>
          </w:p>
        </w:tc>
        <w:tc>
          <w:tcPr>
            <w:tcW w:w="0" w:type="dxa"/>
            <w:vAlign w:val="bottom"/>
          </w:tcPr>
          <w:p>
            <w:pPr>
              <w:spacing w:after="0"/>
              <w:rPr>
                <w:sz w:val="1"/>
                <w:szCs w:val="1"/>
                <w:color w:val="auto"/>
              </w:rPr>
            </w:pPr>
          </w:p>
        </w:tc>
      </w:tr>
      <w:tr>
        <w:trPr>
          <w:trHeight w:val="243"/>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885,174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112,093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1,051,466</w:t>
            </w:r>
          </w:p>
        </w:tc>
        <w:tc>
          <w:tcPr>
            <w:tcW w:w="0" w:type="dxa"/>
            <w:vAlign w:val="bottom"/>
          </w:tcPr>
          <w:p>
            <w:pPr>
              <w:spacing w:after="0"/>
              <w:rPr>
                <w:sz w:val="1"/>
                <w:szCs w:val="1"/>
                <w:color w:val="auto"/>
              </w:rPr>
            </w:pP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552,676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38,541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96,110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687,327</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332,498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364,139</w:t>
            </w:r>
          </w:p>
        </w:tc>
        <w:tc>
          <w:tcPr>
            <w:tcW w:w="0" w:type="dxa"/>
            <w:vAlign w:val="bottom"/>
          </w:tcPr>
          <w:p>
            <w:pPr>
              <w:spacing w:after="0"/>
              <w:rPr>
                <w:sz w:val="1"/>
                <w:szCs w:val="1"/>
                <w:color w:val="auto"/>
              </w:rPr>
            </w:pP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132,334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7,514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81,020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7,639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79,077</w:t>
            </w:r>
          </w:p>
        </w:tc>
        <w:tc>
          <w:tcPr>
            <w:tcW w:w="0" w:type="dxa"/>
            <w:vAlign w:val="bottom"/>
          </w:tcPr>
          <w:p>
            <w:pPr>
              <w:spacing w:after="0"/>
              <w:rPr>
                <w:sz w:val="1"/>
                <w:szCs w:val="1"/>
                <w:color w:val="auto"/>
              </w:rPr>
            </w:pP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(26,640)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(26,017)</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7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144,230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8,146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(99,316)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0"/>
              <w:spacing w:after="0"/>
              <w:rPr>
                <w:sz w:val="20"/>
                <w:szCs w:val="20"/>
                <w:color w:val="auto"/>
              </w:rPr>
            </w:pPr>
            <w:r>
              <w:rPr>
                <w:rFonts w:ascii="Arial" w:cs="Arial" w:eastAsia="Arial" w:hAnsi="Arial"/>
                <w:sz w:val="18"/>
                <w:szCs w:val="18"/>
                <w:color w:val="auto"/>
              </w:rPr>
              <w:t>Margins:</w:t>
            </w:r>
          </w:p>
        </w:tc>
        <w:tc>
          <w:tcPr>
            <w:tcW w:w="2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43%</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w:t>
            </w:r>
          </w:p>
        </w:tc>
        <w:tc>
          <w:tcPr>
            <w:tcW w:w="1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14 %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460" w:type="dxa"/>
            <w:vAlign w:val="bottom"/>
          </w:tcPr>
          <w:p>
            <w:pPr>
              <w:jc w:val="right"/>
              <w:ind w:right="450"/>
              <w:spacing w:after="0"/>
              <w:rPr>
                <w:sz w:val="20"/>
                <w:szCs w:val="20"/>
                <w:color w:val="auto"/>
              </w:rPr>
            </w:pPr>
            <w:r>
              <w:rPr>
                <w:rFonts w:ascii="Arial" w:cs="Arial" w:eastAsia="Arial" w:hAnsi="Arial"/>
                <w:sz w:val="18"/>
                <w:szCs w:val="18"/>
                <w:color w:val="auto"/>
              </w:rPr>
              <w:t>18%</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17%</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(65)%</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704,848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722,734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739,991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49,210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51,780</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754,058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774,514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781,984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Servicer Solutions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36,636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49,838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99,832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Origination Solutions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36,886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50,117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99,988</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2,740</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793,684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827,324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885,174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service revenue of $754.1 million for the year ended December 31, 2017, a 3% decrease compared to the year ended December 31, 2016. The decrease in service revenue was primarily a result of the reduction in the size of Ocwen’s portfolio and number of delinquent loans in its portfolio resulting from loan repayments, loan modifications, short sales, REO sales and other forms of resolution in the Servicer Solutions business. This decline was partially offset by growth in the Servicer Solutions business in referrals of certain higher fee property preservation services, growth in non-Ocwen service revenues from new and existing customers and increases in loan disbursement processing services in connection with the Granite acquisition in July 2016. In addition, an increase in service revenue and a decrease in reimbursable expenses in the Servicer Solutions business was also the result of an early 2015 change in the billing model for preservation services on new Ocwen REO referrals that resulted in certain services that were historically reimbursable expenses revenue becoming service revenue.</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service revenue of $774.5 million for the year ended December 31, 2016, a 1% decrease compared to the year ended December 31, 2015. The decrease in service revenue was primarily a result of the reduction in the size of Ocwen’s portfolio and number of delinquent loans in its portfolio resulting from loan repayments, loan modifications, short sales, REO sales and other forms of resolution and lower rates charged to Ocwen for certain software services in the Servicer Solutions business. This decline was partially offset by an increase in service revenue and a decrease in reimbursable expenses in the Servicer Solutions business as a result of an early 2015 change in the billing model for preservation services on new Ocwen REO referrals that resulted in certain services that were historically reimbursable expenses revenue becoming service revenue, as described above, and revenue growth in the Origination Solutions business from new customers and volume growth with existing customers.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reimbursable expense revenue of $36.9 million, $50.1 million and $100.0 million for the years ended December 31, 2017, 2016 and 2015, respectively. The decreases in reimbursable expenses revenue were primarily due to a reduction in the size of Ocwen’s portfolio and number of delinquent loans in its portfolio resulting from loan repayments, loan modifications, short sales, REO sales and other forms of resolution and a change in 2015 in the billing model for preservation services on new Ocwen REO referrals described above.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Market businesses are impacted by seasonality. Revenues from property sales, loan originations and certain property preservation services are generally lowest during the fall and winter months and highest during the spring and summer months.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163,370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177,473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177,091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295,533</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272,124</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227,281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36,886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50,117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99,988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30,467</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30,017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32,271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19,251</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16,809</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16,045</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545,507</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546,540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552,676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for the year ended December 31, 2017 of $545.5 million decreased by less than 1% compared to the year ended December 31, 2016. Compensation and benefits declined in certain of the Servicer Solutions businesses as we reduced headcount in certain businesses from the decline in Ocwen’s portfolio discussed in the revenue section above as well as the implementation of efficiency initiatives. In addition, reimbursable expenses decreased primarily as a result of the change in the billing model discussed in the revenue section above. These declines were largely offset by increases in outside fees and services, primarily due to growth in referrals of certain higher cost property preservation services and the change in the billing model in the Servicer Solutions business, consistent with the growth in service revenue discussed in the revenue section above.</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 for the year ended December 31, 2016 of $546.5 million decreased by 1% compared to the year ended December 31, 2015, primarily due to a decrease in reimbursable expenses, primarily as a result of the change in billing model discussed in the revenue section above, and the March 31, 2015 termination of the Data Access Agreement. These decreases were largely offset by an increase in outside fees and services, due to an increase in the average costs related to higher value property preservation referrals and the change in billing model discussed in the revenue section above.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decreased to $248.2 million, representing 33% of service revenue, for the year ended December 31, 2017 compared to $280.8 million, representing 36% of service revenue, for the year ended December 31, 2016 and $332.5 million representing 43% of service revenue, for the year ended December 31, 2015. Gross profit as a percentage of service revenue decreased in 2017 compared to 2016, primarily due to revenue mix from growth in the lower margin property preservation services and declines in other higher margin businesses. Gross profit as a percentage of service revenue decreased in 2016 compared to 2015, primarily due to a change in revenue mix, as a higher percentage of revenue in 2016 was from lower margin property preservation services, partially offset by the March 31, 2015 termination of the Data Access Agreement. Our margins can vary substantially depending upon service revenue mix.</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23,089</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22,087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8,101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23,275</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21,316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32,715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44,597</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38,624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4,030</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8,925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14,296</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19,249</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114,215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121,508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132,334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year ended December 31, 2017 of $114.2 million decreased by 6% compared to the year ended December 31, 2016. The decrease in SG&amp;A was primarily driven by lower amortization of intangible assets, as a result of an increase in total projected revenue to be generated by the Homeward and ResCap portfolios over the lives of these portfolios (revenue-based amortization). In addition, legal costs in professional services were lower in connection with the resolution of, and reduction in activities related</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several litigation and regulatory matters. The decrease in SG&amp;A was partially offset by a $3.0 million favorable loss accrual adjustment in Other in 2016 and higher bad debt expense in 2017.</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SG&amp;A for the year ended December 31, 2016 of $121.5 million decreased by 8% compared to the year ended December 31, 2015 primarily driven by a decrease in other SG&amp;A and higher marketing costs in 2015, partially offset by increases in compensation and benefits and amortization of intangible assets. The decrease in other SG&amp;A was primarily due to a favorable loss accrual adjustment during the first quarter of 2016 that was accrued in the fourth quarter of 2015, when Altisource recorded an estimated loss in connection with an anticipated payment to Ocwen for obtaining a release of liability for Altisource related to Ocwen’s settlement of a particular case, and lower bad debt expense from improved collections. The decrease in marketing costs in 2016 was primarily due to higher spending in 2015 to drive increased Hubzu website traffic and volumes. These decreases were partially offset by higher compensation and benefits due to growth of the sales and marketing organizations to support our revenue and customer diversification initiatives and higher headcount to support certain of our growth initiatives and an increase in amortization of intangible assets due to higher revenues from the Homeward and ResCap portfolios compared to projections (revenue-based amortization).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include impairment losses and changes in the fair value of the Equator Earn Out.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9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 Increase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(decrease)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64,146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900" w:type="dxa"/>
            <w:vAlign w:val="bottom"/>
          </w:tcPr>
          <w:p>
            <w:pPr>
              <w:spacing w:after="0"/>
              <w:rPr>
                <w:sz w:val="21"/>
                <w:szCs w:val="21"/>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operating expenses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56,555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operating expenses in 2015 included non-cash impairment losses of $64.1 million, partially offset by a gain on the change in fair value of the Equator Earn Out of $7.6 million. The impairment loss was primarily driven by the Company’s projected technology revenue from Ocwen and investment in technologies provided to Ocwen. The liability for contingent consideration related to the acquisition of Equator was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decreased to $134.0 million, representing 18% of service revenue, for the year ended December 31, 2017 compared to $159.3 million, representing 21% of service revenue, for the year ended December 31, 2016. Income from operations increased to $159.3 million, representing 21% of service revenue, for the year ended December 31, 2016 compared to $143.6 million, representing 18% of service revenue, for the year ended December 31, 2015. Operating income as a percentage of service revenue decreased in 2017 compared to 2016, primarily as a result of lower gross profit margins from revenue mix changes, partially offset by lower SG&amp;A, as discussed above. Operating income as a percentage of service revenue increased in 2016 compared to 2015, primarily due to the other operating expenses recorded in 2015 and lower SG&amp;A, partially offset by lower gross profit margins from revenue mix changes, as discussed above.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Mortgage Market is our largest and highest margin segment and Ocwen is our largest customer in this segment, declines in service revenue from Ocwen and the changes in mix of revenue from Ocwen have had a negative impact on our operating income.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Consumer Real Estate Solutions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4,713</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1,106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82,108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83,699</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44,501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86,821</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84,805</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46,963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2,966</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2,966</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89,787</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86,590</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54,199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service revenue of $86.8 million for the year ended December 31, 2017, a 2% increase compared to the year ended December 31, 2016. The increase in service revenue was primarily due to growth in the Consumer Real Estate Solutions business from higher transaction volumes. Significant growth in home sales revenue in our buy-renovate-lease-sell program in the Real Estate Investor Solutions business, which began operations in the second half of 2016, was largely offset by RESI’s lower property preservation referrals and REO sales in the Real Estate Investor Solutions business as RESI continues its transition from buying non-performing loans to directly acquiring rental homes.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service revenue of $84.8 million for the year ended December 31, 2016, an 81% increase compared to the year ended December 31, 2015. The increase in service revenue was primarily due to growth in the percentage of RESI homes sold through auction on Hubzu, increased volumes of higher value RESI property preservation referrals and increased property management fees from the RESI portfolio.</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Real Estate Market businesses are impacted by seasonality. Revenues from property sales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35,642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29,625</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26,642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26,167</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18,460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24,398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2,966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5,208</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741</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96,967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64,566</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38,541</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 of revenue for the year ended December 31, 2017 of $97.0 million increased by 50% compared to the year ended December 31, 2016. The increase in cost of revenue was primarily due to growth in the buy-renovate-lease-sell business in the Real Estate Investor Solutions business. Compensation and benefits increased in the Consumer Real Estate Solutions business to support growth of this business, partially offset by lower compensation and benefits in the Real Estate Investor Solutions business as this business transitions from supporting non-performing loans and REO to supporting real estate investors through our buy-renovate-lease-sell business and other rental and renovation services.</w:t>
      </w:r>
    </w:p>
    <w:p>
      <w:pPr>
        <w:sectPr>
          <w:pgSz w:w="11900" w:h="16838" w:orient="portrait"/>
          <w:cols w:equalWidth="0" w:num="1">
            <w:col w:w="11420"/>
          </w:cols>
          <w:pgMar w:left="240" w:top="125"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year ended December 31, 2016 of $64.6 million increased by 68% compared to the year ended December 31, 2015, primarily due to increases in compensation and benefits and outside fees and services. Compensation and benefits increased from our investments to support service revenue growth, as discussed above, and certain of our growth initiatives. Higher outside fees and services were driven by increased volumes of higher value RESI property preservation referrals.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decreased to a loss of $7.2 million, representing (8)% of service revenue, for the year ended December 31, 2017 compared to gross profit of $22.0 million, representing 26% of service revenue, for the year ended December 31, 2016. Gross profit increased to $22.0 million, representing 26% of service revenue, for the year ended December 31, 2016 compared to $15.7 million, representing 33% of service revenue, for the year ended December 31, 2015. The declines in 2017 were primarily the result of revenue mix from growth of the lower margin buy-renovate-lease-sell program and lower brokerage commissions from fewer higher margin REO sales. Gross profit as a percentage of service revenue declined in 2016, primarily due to increased volumes of lower margin property preservation services and higher compensation and benefits, partially offset by increased volumes of higher margin RESI homes sold through auction on Hubzu. Our margins can vary substantially depending upon service revenue mix.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3,387</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1,073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1,694</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3,043</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843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1"/>
                <w:szCs w:val="21"/>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7,020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16,424</w:t>
            </w:r>
          </w:p>
        </w:tc>
        <w:tc>
          <w:tcPr>
            <w:tcW w:w="120" w:type="dxa"/>
            <w:vAlign w:val="bottom"/>
          </w:tcPr>
          <w:p>
            <w:pPr>
              <w:spacing w:after="0"/>
              <w:rPr>
                <w:sz w:val="21"/>
                <w:szCs w:val="21"/>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18,718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23,291</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SG&amp;A for the year ended December 31, 2017 of $18.7 million decreased by 20% compared to the year ended December 31, 2016. The decrease in SG&amp;A was primarily the result of lower marketing costs as a result of initial non-recurring Owners.com market launch costs incurred in 2016 and the reduction in Owners.com recurring marketing spend as the business unit focuses on improving the lead to closing conversion rate. This decrease was partially offset by an increase in other SG&amp;A, primarily due to a prior year favorable expense adjustment related to the Owners earn out.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year ended December 31, 2016 of $23.3 million increased by 210% compared to the year ended December 31, 2015, primarily due to higher marketing costs, related primarily to Owners.com, as we launched our buy side brokerage marketing campaign in 2016, partially offset by the Owners earn out adjustment in 2016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Operations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from operations decreased to a loss from operations of $25.9 million, representing (30)% of service revenue, for the year ended December 31, 2017 compared to a loss from operations of $1.3 million, representing (1)% of service revenue, for the year ended December 31, 2016 and income from operations of $8.1 million, representing 17% of service revenue, for the year ended December 31, 2015. Operating income (loss) as a percentage of service revenue declined in 2017 compared to 2016, primarily as a result of lower gross margins, partially offset by lower SG&amp;A, as discussed above. Operating income (loss) as a percentage of service revenue declined in 2016 compared to 2015, primarily due to lower gross margins and higher SG&amp;A, as discussed above.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 Corporate and Eliminations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36,977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50,294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23,782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24,114</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6,431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22,189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42,094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58,682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83,280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111,973</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58,742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83,389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112,093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recognized service revenue of $58.7 million for the year ended December 31, 2017, a 30% decrease compared to the year ended December 31, 2016. The decrease in service revenue was primarily due to a decline in IT infrastructure services, which are typically billed on a cost plus basis, as beginning in the fourth quarter of 2015 and continuing through 2017, we transitioned resources supporting Ocwen’s technology infrastructure from Altisource to Ocwen. The decrease in the customer relationship management service revenue was primarily due to severed client relationships with certain non-profitable clients and a reduction in volume from the transition of services from one customer to another.</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service revenue of $83.3 million for the year ended December 31, 2016, a 26% decrease compared to the year ended December 31, 2015. The decrease in service revenue was primarily due to lower customer relationship management service revenue and the decline in IT infrastructure services for the same reasons as described above.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other businesses are impacted by seasonality. Revenue in the asset recovery management business tends to be higher in the first quarter, as borrowers may utilize tax refunds and bonuses to pay debts, and generally declines throughout the remainder of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41,475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57,698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3,284</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2,825</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6,061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9,070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10,345</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57,391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78,939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96,110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year ended December 31, 2017 of $57.4 million decreased by 27% compared to the year ended December 31, 2016. In addition, cost of revenue for the year ended December 31, 2016 of $78.9 million decreased by 18% compared to the year ended December 31, 2015. The decreases in cost of revenue were primarily due to a decrease in compensation and benefits associated with the transition of resources supporting Ocwen’s technology infrastructure to Ocwen and lower headcount levels in our customer relationship management business consistent with the decline in revenue, as discussed in the revenue section above.</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was $1.4 million, representing 2% of service revenue, for the year ended December 31, 2017 compared to $4.5 million, representing 5% of service revenue, for the year ended December 31, 2016 and $16.0 million, representing 14% of service revenue, for the year ended December 31, 2015. Gross profit as a percentage of service revenue decreased in 2017 and 2016, primarily</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decreases in IT infrastructure and customer relationship management revenue, largely offset by a reduction in compensation and benefits. However, we were not able to reduce costs at the same rate as revenue declined.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SG&amp;A in Other Businesses, Corporate and Eliminations include SG&amp;A expenses of the customer relationship management, asset recovery management and IT infrastructure services businesses. It also includes costs related to corporate support functions not allocated to the Mortgage Market and Real Estate Market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Corporate and Eliminations also include eliminations of transactions between the reportable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31,681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9,819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7,056</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5,621</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59,709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69,356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81,020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year ended December 31, 2017 of $59.7 million decreased by 14% compared to the year ended December 31, 2016. The decrease in SG&amp;A was primarily due to lower legal costs in professional services in connection with the resolution of, and reduction in activities related to, several legal and regulatory matters and lower occupancy costs driven by subleasing certain office facilities, partially offset by unfavorable loss accrual adjustments of $2.7 million related to facility closures and litigation related costs in other SG&amp;A in the first half of 2017.</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year ended December 31, 2016 of $69.4 million decreased by 14% compared to the year ended December 31, 2015, primarily due to lower compensation and benefits driven by the implementation of cost savings initiatives in 2015 and lower occupancy related costs, primarily due to office facility relocations and consolidations in 2015 and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expenses include the litigation settlement loss, net of insurance recovery, of $28.0 million for the year ended December 31, 2016 and impairment losses of $7.6 million for the year ended December 31, 2015 (no comparative amounts in 2017).</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 the year ended December 31, 2016, other operating expenses included a litigation settlement loss, which consists of a legal settlement accrual of $28.0 million, net of a $4.0 million insurance recovery. The litigation settlement loss related to the agreed settlement of the putative class action litigation designated </w:t>
      </w:r>
      <w:r>
        <w:rPr>
          <w:rFonts w:ascii="Arial" w:cs="Arial" w:eastAsia="Arial" w:hAnsi="Arial"/>
          <w:sz w:val="17"/>
          <w:szCs w:val="17"/>
          <w:i w:val="1"/>
          <w:iCs w:val="1"/>
          <w:color w:val="auto"/>
        </w:rPr>
        <w:t>In re: Altisource Portfolio Solutions, S.A. Securities Litigation</w:t>
      </w:r>
      <w:r>
        <w:rPr>
          <w:rFonts w:ascii="Arial" w:cs="Arial" w:eastAsia="Arial" w:hAnsi="Arial"/>
          <w:sz w:val="17"/>
          <w:szCs w:val="17"/>
          <w:color w:val="auto"/>
        </w:rPr>
        <w:t xml:space="preserve"> in the United States District Court for the Southern District of Florida. Altisource Portfolio Solutions S.A. and the officer and director defendants denied all claims of wrongdoing or liability. The settlement loss was recorded in 2016 and paid in 2017. For the year ended December 31, 2015, other operating expenses included non-cash impairment losses of $7.6 million, primarily driven by the Company’s projected technology revenue from Ocwen and investment in technologies provided to Ocwen.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 from operations decreased to $58.4 million for the year ended December 31, 2017 compared to loss from operations of $92.9 million for the year ended December 31, 2016 and $72.7 million for the year ended December 31, 2015. The loss from operations decreased in 2017 compared to 2016, primarily as a result of the 2016 litigation settlement loss, net of $28.0 million and lower SG&amp;A, as discussed above. The loss from operations increased in 2016 compared to 2015, primarily due to the 2016 litigation settlement loss, net of $28.0 million and lower gross profit in 2016, partially offset by lower SG&amp;A in 2016, as discussed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Other income (expense), net was $(14.4) million, $(20.9) million and $(26.6) million for the years ended December 31, 2017, 2016 and 2015, respectively.</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decrease in other income (expense), net in 2017 was primarily due to lower interest expense and higher other income. Interest expense was $(22.3) million in 2017 compared to $(24.4) million in 2016, driven by the repurchase of portions of our senior secured term loan, partially offset by an increase in the senior secured term loan interest rate from 4.50% as of December 31, 2016 to 5.07% as of December 31, 2017. During 2017, we repurchased portions of our senior secured term loan with an aggregate par value of $60.1 million at a weighted average discount of 10.7%, recognizing a net gain of $5.6 million on the early extinguishment of debt in other income. During 2016, we repurchased portions of our senior secured term loan with an aggregate par value of $51.0 million at a weighted average discount of 13.2%, recognizing a net gain of $5.5 million on the early extinguishment of debt in other income. Also, during 2017 and 2016, we earned dividends of $2.5 million and $2.3 million, respectively, related to our investment in RESI and in 2016 we incurred expenses of $(3.4) million related to this investment (no comparative amount in 2017).</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decrease in other income (expense), net in 2016 was primarily due to lower interest expense and higher other income. Interest expense was $(24.4) million in 2016 compared to $(28.2) million in 2015, driven by the repurchase of portions of our senior secured term loan. During 2016, we repurchased portions of our senior secured term loan with an aggregate par value of $51.0 million at a weighted average discount of 13.2%, recognizing a net gain of $5.5 million on the early extinguishment of debt in other income. During 2015, we repurchased portions of our senior secured term loan with an aggregate par value of $49.0 million at a weighted average discount of 10.3%, recognizing a net gain of $3.8 million on the early extinguishment of debt in other income. Also, during 2016, we earned dividends of $2.3 million and incurred expenses of $(3.4) million related to our investment in RESI (no comparative amounts in 2015). During March 2015, we purchased 1.6 million shares of HLSS common stock in the open market for $30.0 million. During 2015, we received liquidating dividends and other dividends from HLSS totaling $20.4 million and sold all of our 1.6 million shares of HLSS common stock in the open market for $7.7 million. As a result of these transactions, we recognized a net loss of $1.9 million for the year ended December 31, 2015 in connection with our investment in HLSS (no comparative amount in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liquidity is cash flow from operations. We seek to deploy cash generated in a disciplined manner. Principally, we intend to use cash to develop and grow complementary services and businesses that we believe will generate attractive margins in line with our core capabilities and strategy. We use cash for scheduled repayments of our senior secured term loan and seek to use cash from time to time to repurchase shares of our common stock and repurchase portions of our senior secured term loan. In addition, we consider and evaluate business acquisitions that may arise from time to time that are aligned with our strategy.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2017, we used $59.8 million to repay and repurchase portions of the senior secured term loan and $39.0 million to repurchase shares of our common stock. In 2016, we used $50.7 million to repay and repurchase portions of the senior secured term loan, $48.2 million to purchase available for sale securities and $37.7 million to repurchase shares of our common stock. In 2015, we used $50.4 million to repay and repurchase portions of the senior secured term loan and $58.9 million to repurchase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subsidiaries are guarantors of the term loan. We subsequently entered into four amendments to the senior secured term loan agreement to, among other changes, increase the principal amount of the senior secured term loan, re-establish the $200.0 million incremental term loan facility accordion, lower the interest rate, extend the maturity date by approximately one year, increase the maximum amount of Restricted Junior Payments (as defined in the senior secured term loan agreement; other capitalized terms, unless defined herein, are defined in the senior secured term loan agreement) and certain other changes primarily to facilitate an internal restructuring of the Company’s subsidiaries, as described below. The lenders of the senior secured term loan, as amended, have no obligation to provide any such additional debt under the accordion provision. As of December 31, 2017, $413.6 million was outstanding under the senior secured term loan agreement, as amended, compared to $479.7 million as of December 31, 2016.</w:t>
      </w:r>
    </w:p>
    <w:p>
      <w:pPr>
        <w:spacing w:after="0" w:line="12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1, 2017, Altisource Solutions S.à r.l and Altisource Holdings S.à r.l. entered into the fourth amendment to the senior secured term loan (the “Fourth Amendment”) that modifies the senior secured term loan agreement to add Altisource Holdings S.à r.l. (then a guarantor under the senior secured term loan) as a borrower in anticipation of an internal restructuring of Altisource, whereby Altisource Solutions S.à r.l. would merge with and into Altisource Holdings S.à r.l. and Altisource Holdings S.à r.l. would be automatically substituted in all of the rights and obligations of Altisource Solutions S.à r.l. This merger occurred effective December 27, 2017 and Altisource Holdings S.à r.l. (renamed Altisource S.à r.l.) became the sole borrower. The merger is part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larger subsidiary restructuring plan designed to simplify the Company’s corporate structure, allow it to operate more efficiently and reduce administrative costs. The merger did not result in any changes to the collateral securing the senior secured term loan. The Fourth Amendment also, among other changes, broadens the mechanisms by which Altisource can purchase or otherwise acquire portions of the senior secured term loan by permitting Altisource to purchase portions of its senior secured term loan on a non-pro-rata basis at par or at a discount to par through open market purchases (including through a broker acting on behalf of Altisource) in addition to its existing right to purchase portions of its senior secured term loan through a Dutch auction open to all senior secured term lenders.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must be repaid in equal consecutive quarterly principal installments of $1.5 million,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 However, if the leverage ratio exceeds 3.00 to 1.00, as calculated in accordance with the provisions of the senior secured term loan agreement, a percentage of cash flows must be used to repay principal (the percentage increases if the leverage ratio exceeds 3.50 to 1.00). No mandatory prepayments were required during the year ended December 31, 2017. The interest rate as of December 31, 2017 was 5.07%.</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we repurchased portions of our senior secured term loan with an aggregate par value of $60.1 million at a weighted average discount of 10.7%, recognizing a net gain of $5.6 million on the early extinguishment of debt. During 2016, we repurchased portions of our senior secured term loan with an aggregate par value of $51.0 million at a weighted average discount of 13.2%, recognizing a net gain of $5.5 million on the early extinguishment of debt. During 2015, we repurchased portions of our senior secured term loan with an aggregate par value of $49.0 million at a weighted average discount of 10.3%, recognizing a net gain of $3.8 million on the early extinguishment of debt.</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debt covenants in the senior secured term loan agreement limit, among other things, our ability to incur additional debt, pay dividends and repurchase shares of our common stock. In the event we require additional liquidity, our ability to obtain it may be limited by the senior secured term loan.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5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93,769</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115,470</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195,922</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(27,687)</w:t>
            </w:r>
          </w:p>
        </w:tc>
        <w:tc>
          <w:tcPr>
            <w:tcW w:w="1240" w:type="dxa"/>
            <w:vAlign w:val="bottom"/>
            <w:gridSpan w:val="2"/>
          </w:tcPr>
          <w:p>
            <w:pPr>
              <w:jc w:val="right"/>
              <w:ind w:right="108"/>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11,348</w:t>
            </w:r>
          </w:p>
        </w:tc>
        <w:tc>
          <w:tcPr>
            <w:tcW w:w="100" w:type="dxa"/>
            <w:vAlign w:val="bottom"/>
          </w:tcPr>
          <w:p>
            <w:pPr>
              <w:spacing w:after="0"/>
              <w:rPr>
                <w:sz w:val="21"/>
                <w:szCs w:val="21"/>
                <w:color w:val="auto"/>
              </w:rPr>
            </w:pP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66,082</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126,818</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195,352</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(10,036)</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(80,223)</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(65,995)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(100,334)</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(76,628)</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(111,391)</w:t>
            </w:r>
          </w:p>
        </w:tc>
        <w:tc>
          <w:tcPr>
            <w:tcW w:w="0" w:type="dxa"/>
            <w:vAlign w:val="bottom"/>
          </w:tcPr>
          <w:p>
            <w:pPr>
              <w:spacing w:after="0"/>
              <w:rPr>
                <w:sz w:val="1"/>
                <w:szCs w:val="1"/>
                <w:color w:val="auto"/>
              </w:rPr>
            </w:pPr>
          </w:p>
        </w:tc>
      </w:tr>
      <w:tr>
        <w:trPr>
          <w:trHeight w:val="237"/>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(44,288)</w:t>
            </w:r>
          </w:p>
        </w:tc>
        <w:tc>
          <w:tcPr>
            <w:tcW w:w="1240" w:type="dxa"/>
            <w:vAlign w:val="bottom"/>
            <w:gridSpan w:val="2"/>
          </w:tcPr>
          <w:p>
            <w:pPr>
              <w:jc w:val="right"/>
              <w:ind w:right="10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(30,033)</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149,294</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179,327</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161,361</w:t>
            </w: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105,006</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149,294</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179,327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Non-GAAP Financial Measures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Adjusted cash flows from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110,462</w:t>
            </w:r>
          </w:p>
        </w:tc>
        <w:tc>
          <w:tcPr>
            <w:tcW w:w="1240" w:type="dxa"/>
            <w:vAlign w:val="bottom"/>
            <w:gridSpan w:val="2"/>
          </w:tcPr>
          <w:p>
            <w:pPr>
              <w:jc w:val="right"/>
              <w:ind w:right="10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139,843</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195,352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Adjusted cash flows from operating activities less additions to</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premises and equipment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99,948</w:t>
            </w:r>
          </w:p>
        </w:tc>
        <w:tc>
          <w:tcPr>
            <w:tcW w:w="12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116,574</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159,164</w:t>
            </w: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260" w:hanging="252"/>
        <w:spacing w:after="0" w:line="187" w:lineRule="auto"/>
        <w:tabs>
          <w:tab w:leader="none" w:pos="2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These are non-GAAP measures that are defined and reconciled to the corresponding GAAP measures on pages 29 to 31.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from operating activities generally consist of the cash effects of transactions and events that enter into the determination of net income. For the year ended December 31, 2017, we generated cash flows from operating activities of $66.1 million, or approximately $0.07 for every dollar of service revenue, compared to cash flows from operating activities of $126.8 million, or approximately $0.13 for every dollar of service revenue, for the year ended December 31, 2016 and $195.4 million of cash flows from operating activities, or approximately $0.21 per dollar of service revenue, for the year ended December 31, 2015. Cash flows</w:t>
      </w:r>
    </w:p>
    <w:p>
      <w:pPr>
        <w:sectPr>
          <w:pgSz w:w="11900" w:h="16838" w:orient="portrait"/>
          <w:cols w:equalWidth="0" w:num="1">
            <w:col w:w="11420"/>
          </w:cols>
          <w:pgMar w:left="240" w:top="12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operating activities during 2017 were impacted by the $28.0 million net payment for the previously accrued litigation settlement and a $16.4 million increase in short-term investments in real estate in connection with our buy-renovate-lease-sell program. Adjusting 2017 cash flows from operating activities for the net litigation settlement payment and the increase in short-term investments in real estate, cash flows from operating activities would have been $110.5 million (see non-GAAP measures defined and reconciled on pages 29 to 31), or approximately $0.12 for every dollar of service revenue. Adjusting 2016 cash flows from operating activities for the increase in short-term investments in real estate, cash flows from operating activities would have been $139.8 million (see non-GAAP measures defined and reconciled on pages 29 to 31), or approximately $0.15 for every dollar of service revenue.</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cash flows from operating activities during 2017 compared to 2016 was driven by lower net income, the $28.0 million net payment for the litigation settlement, increased short-term investments in real estate and the timing of payments of current liabilities, partially offset by higher collections of accounts receivable, primarily from timing of collections. The decrease in cash flows from operating activities during 2016 compared to 2015 was principally driven by the decrease in net income, partially offset by an improvement in working capital changes in 2016. Changes in working capital were principally driven by higher collections of accounts receivable and the timing of payments of accounts payable and other accrued expenses, partially offset by increased prepaid expenses and other current assets driven by purchases of short-term investments in real estate assets in connection with our buy-renovate-lease-sell program.</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from investing activities primarily include additions to premises and equipment, acquisitions of businesses and purchases and sales of available for sale securities. Cash flows from investing activities were $(10.0) million, $(80.2) million and $(66.0) million for the years ended December 31, 2017, 2016 and 2015, respectively.</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$10.5 million, $23.3 million and $36.2 million for the years ended December 31, 2017, 2016 and 2015, respectively, for additions to premises and equipment primarily related to investments in the development of certain software applications, IT infrastructure and facility build-outs. The decreases in additions to premises and equipment in 2017 and 2016 primarily related to the completion of several software development projects and facility build-outs and relocations in 2016 and 2015.</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2016, we purchased 4.1 million shares of RESI common stock for $48.2 million including brokers’ commissions. During 2015, we purchased 1.6 million shares of HLSS common stock in the open market for $30.0 million. Also during 2015, we received liquidating dividends and other dividends from HLSS totaling $20.4 million and we sold all of our 1.6 million shares of HLSS common stock in the open market for $7.7 million. There were no comparative amounts in 2017.</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29, 2016, we acquired Granite for $9.5 million. On October 9, 2015, we acquired RentRange and Investability for $24.8 million. The purchase price was composed of $17.5 million in cash and $7.3 million of restricted common stock of the Company. On July 17, 2015, we acquired CastleLine for $33.4 million. This was composed of $11.2 million of cash at closing, excluding cash balances acquired of $1.1 million. Additionally, the acquisition included $10.5 million of cash that is payable over four years from the acquisition date and $14.4 million of restricted common stock of the Company. Of the cash payable following acquisition, $3.8 million is contingent on certain future employment conditions of certain of the sellers, and therefore excluded from the purchase price. There were no comparative amounts in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financing activities primarily include activities associated with repayments and repurchases of long-term debt, proceeds from stock option exercises, the excess tax benefit on the exercise of stock options, the purchase of treasury shares, distributions to non-controlling interests and payments to satisfy employee tax withholding obligations on the issuance of restricted shares. Cash flows from financing activities were $(100.3) million, $(76.6) million and $(111.4) million for the years ended December 31, 2017, 2016 and 2015, respectively.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$59.8 million, $50.7 million and $50.4 million to repurchase portions of our senior secured term loan and make scheduled repayments of our senior secured term loan for the years ended December 31, 2017, 2016 and 2015, respectively. We received proceeds from stock option exercises of $2.4 million, $9.6 million and $1.4 million for the years ended December 31, 2017, 2016 and 2015, respectively. During 2016, we recognized an excess tax benefit on the exercise of stock options of $4.8 million (no comparative amounts in 2017 and 2015). We also used $39.0 million, $37.7 million and $58.9 million to repurchase shares of our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common stock for the years ended December 31, 2017, 2016 and 2015, respectively. Also, we distributed $2.8 million, $2.6 million and $3.0 million to non-controlling interests for the years ended December 31, 2017, 2016 and 2015, respectively. In addition, during 2017, we made payments of $1.2 million to satisfy employee tax withholding obligations on the issuance of restricted shares (no comparative amounts in 2016 and 2015). These payments were made to tax authorities, at the employees’ direction, to satisfy the employees’ tax obligations rather than issuing a portion of vested restricted shares to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December 31, 2017</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future liquidity obligations pertain to payments related to prior acquisitions, distributions to Lenders One members and senior secured term loan repayments and interest expense.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2015, we acquired CastleLine. A portion of the purchase consideration totaling $10.5 million is payable to the sellers over four years from the acquisition date, including $3.8 million to be paid to certain of the sellers that is contingent on future employment. As of December 31, 2017, we have paid $8.9 million of the $10.5 million that is payable over four years from the acquisition date and $2.1 million of the $3.8 million purchase consideration that is contingent on future employment.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next 12 months, we expect to distribute approximately $3.0 million to the Lenders One members representing non-controlling interests, make mandatory repayments of $5.9 million of the senior secured term loan and pay $19.9 million of interest expense under the senior secured term loan agreement.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existing cash and cash equivalents balances and our anticipated cash flows from operations will be sufficient to meet our liquidity needs, including to fund additions to premises and equipment and required debt and interest payments,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recognize revenue from the services we provide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Topic 605”). ASC Topic 605 sets 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 Specific policies for each of our reportable segments are as follows:</w:t>
      </w:r>
    </w:p>
    <w:p>
      <w:pPr>
        <w:spacing w:after="0" w:line="104"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i w:val="1"/>
          <w:iCs w:val="1"/>
          <w:color w:val="auto"/>
        </w:rPr>
        <w:t>Mortgage Market segment</w:t>
      </w:r>
      <w:r>
        <w:rPr>
          <w:rFonts w:ascii="Arial" w:cs="Arial" w:eastAsia="Arial" w:hAnsi="Arial"/>
          <w:sz w:val="16"/>
          <w:szCs w:val="16"/>
          <w:color w:val="auto"/>
        </w:rPr>
        <w:t>: We recognize revenue for the majority of the services we provide when the services have been performed. For certain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services, we recognize revenue over the period during which we perform the related services, with full recognition upon recording the related foreclosure deed. A significant area of judgment includes the period over which we recognize certain default management services revenue. For disbursement processing services, we recognize revenue over the period during which we perform the processing services with full recognition upon completion of the disbursements. We record revenue associated with fees earned on real estate sales, other than our sales of short-term investments in real estate (see Real Estate Market segment below), on a net basis as we perform services as an agent without assuming the risks and rewards of ownership of the asset and the commission earned on the sale is a fixed percentage. We generally earn our fees for collections on charged-off mortgages on behalf of our clients and recognize revenue following collection from the debtors. We also earn fees for packaging and selling charged-off mortgages and recognize revenue after the sale of the notes and once the risks and rewards of the mortgage notes are transferred to the purchasers. For certain of our servicer technologies software services other than Equator and Mortgage Builder software applications (see below), we charge fees based on the number of loans on the system or on a per-transaction basis. We record transactional revenue when the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service is provided and other revenue monthly based on the number of loans processed or services provided. In addition, we charge fees for professional services engagements, which consist primarily of time and materials agreements with customers that are generally billed and recognized as the hours are worked. Reimbursable expenses revenue is included in revenue with an equal amount recorded in cost of revenue primarily related to our property preservation and inspection services, real estate sales and our default management services. These amounts are recognized on a gross basis, principally because generally we have complete control over selection of vendors and the vendor relationship is with us, rather than with our customers.</w:t>
      </w:r>
    </w:p>
    <w:p>
      <w:pPr>
        <w:spacing w:after="0" w:line="104"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 xml:space="preserve">For Equator software applications, we recognize revenue from arrangements with multiple deliverables in accordance with ASC Subtopic 605-25, </w:t>
      </w:r>
      <w:r>
        <w:rPr>
          <w:rFonts w:ascii="Arial" w:cs="Arial" w:eastAsia="Arial" w:hAnsi="Arial"/>
          <w:sz w:val="16"/>
          <w:szCs w:val="16"/>
          <w:i w:val="1"/>
          <w:iCs w:val="1"/>
          <w:color w:val="auto"/>
        </w:rPr>
        <w:t xml:space="preserve">Revenue Recognition: Multiple-Element Arrangements </w:t>
      </w:r>
      <w:r>
        <w:rPr>
          <w:rFonts w:ascii="Arial" w:cs="Arial" w:eastAsia="Arial" w:hAnsi="Arial"/>
          <w:sz w:val="16"/>
          <w:szCs w:val="16"/>
          <w:color w:val="auto"/>
        </w:rPr>
        <w:t>(“ASC 605-25”), and SEC Staff Accounting Bulletin Topic 13,</w:t>
      </w:r>
      <w:r>
        <w:rPr>
          <w:rFonts w:ascii="Arial" w:cs="Arial" w:eastAsia="Arial" w:hAnsi="Arial"/>
          <w:sz w:val="16"/>
          <w:szCs w:val="16"/>
          <w:i w:val="1"/>
          <w:iCs w:val="1"/>
          <w:color w:val="auto"/>
        </w:rPr>
        <w:t xml:space="preserve"> Revenue Recognition </w:t>
      </w:r>
      <w:r>
        <w:rPr>
          <w:rFonts w:ascii="Arial" w:cs="Arial" w:eastAsia="Arial" w:hAnsi="Arial"/>
          <w:sz w:val="16"/>
          <w:szCs w:val="16"/>
          <w:color w:val="auto"/>
        </w:rPr>
        <w:t>(“SAB</w:t>
      </w:r>
      <w:r>
        <w:rPr>
          <w:rFonts w:ascii="Arial" w:cs="Arial" w:eastAsia="Arial" w:hAnsi="Arial"/>
          <w:sz w:val="16"/>
          <w:szCs w:val="16"/>
          <w:i w:val="1"/>
          <w:iCs w:val="1"/>
          <w:color w:val="auto"/>
        </w:rPr>
        <w:t xml:space="preserve"> </w:t>
      </w:r>
      <w:r>
        <w:rPr>
          <w:rFonts w:ascii="Arial" w:cs="Arial" w:eastAsia="Arial" w:hAnsi="Arial"/>
          <w:sz w:val="16"/>
          <w:szCs w:val="16"/>
          <w:color w:val="auto"/>
        </w:rPr>
        <w:t>Topic 13”). ASC 605-25 and SAB Topic 13 require each deliverable within a multiple-deliverable revenue arrangement to be accounted 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We derive revenue from platform services fees, professional services fees and other services. We do not begin to recognize revenue for platform services fees until these fees become billable, as the services fees are not fixed and determinable until such time. Platform services fees are recognized ratably over the shorter of the term of the contract with the customer or the minimum cancellation period. Professional services fees consist primarily of configuration services related to customizing the platform for individual customers and are generally billed as the hours are worked. Due to the essential and specialized nature of the configuration and development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 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w:t>
      </w:r>
    </w:p>
    <w:p>
      <w:pPr>
        <w:spacing w:after="0" w:line="11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Mortgage Builder software applications, we recognize subscription revenues ratably over the contract term, beginning on the commencement date of each contract. Revenues for usage-based transactions are generally recognized as the usage occurs, as that is the point when the fee becomes fixed or determinable. We generally invoice customers on a monthly basis.</w:t>
      </w:r>
    </w:p>
    <w:p>
      <w:pPr>
        <w:spacing w:after="0" w:line="1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Real Estate Market segment</w:t>
      </w:r>
      <w:r>
        <w:rPr>
          <w:rFonts w:ascii="Arial" w:cs="Arial" w:eastAsia="Arial" w:hAnsi="Arial"/>
          <w:sz w:val="18"/>
          <w:szCs w:val="18"/>
          <w:color w:val="auto"/>
        </w:rPr>
        <w:t>: We recognize revenue for the majority of the services we provide when the services have been performed. We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associated with fees earned on real estate sales, other than our sales of short-term investments in real estate, on a net basis as we perform services as an agent without assuming the risks and rewards of ownership of the asset and the commission earned on the sale is a fixed percentage. For sales of short-term investments in real estate, we record revenue in the amount of the selling price of the property upon the sale of the property. Reimbursable expenses revenue is included in revenue with an equal offsetting expense included in cost of revenue primarily related to our real estate sales. These amounts are recognized on a gross basis, principally because we have complete control over selection of vendors and the vendor relationship is with us, rather than with our customers.</w:t>
      </w:r>
    </w:p>
    <w:p>
      <w:pPr>
        <w:spacing w:after="0" w:line="135"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Other Businesses, Corporate and Eliminations segment</w:t>
      </w:r>
      <w:r>
        <w:rPr>
          <w:rFonts w:ascii="Arial" w:cs="Arial" w:eastAsia="Arial" w:hAnsi="Arial"/>
          <w:sz w:val="16"/>
          <w:szCs w:val="16"/>
          <w:color w:val="auto"/>
        </w:rPr>
        <w:t>: We generally earn our fees for asset recovery management services as a percentage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we collect on delinquent consumer receivables and recognize revenue following collection from the debtors. In addition, we provide customer relationship management services for which we typically earn and recognize revenue on a per-person, per-call or per-minute basis as the related services are performed. For the IT infrastructure services we provide to Ocwen, RESI and AAMC, we charge for these services primarily based on the number of employees that are using the applicable systems, fixed fees and the number and type of licensed platforms used by Ocwen, RESI and AAMC. We record revenue associated with implementation services upon completion and maintenance ratably over the related service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a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 Market comparisons include an analysis of revenue and earnings multiples of guideline public companies compared to the Company.</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our fourth quarter 2015 annual goodwill assessment, we elected to bypass the initial analysis of qualitative factors and perform a quantitative two-step goodwill impairment test of all of our reporting units as a result of the goodwill impairment recorded in 2014. We calculated the fair value of each of our reporting units by using a discounted cash flow analysis and concluded that the technology businesses in the Mortgage Market segment were less than their carrying values. Accordingly, we performed step two of the impairment test for the technology businesses in the Mortgage Market segment (see Item 1 of Part I, “</w:t>
      </w:r>
      <w:r>
        <w:rPr>
          <w:rFonts w:ascii="Arial" w:cs="Arial" w:eastAsia="Arial" w:hAnsi="Arial"/>
          <w:sz w:val="17"/>
          <w:szCs w:val="17"/>
          <w:i w:val="1"/>
          <w:iCs w:val="1"/>
          <w:color w:val="auto"/>
        </w:rPr>
        <w:t>Reportable Segments</w:t>
      </w:r>
      <w:r>
        <w:rPr>
          <w:rFonts w:ascii="Arial" w:cs="Arial" w:eastAsia="Arial" w:hAnsi="Arial"/>
          <w:sz w:val="17"/>
          <w:szCs w:val="17"/>
          <w:color w:val="auto"/>
        </w:rPr>
        <w:t>,” for additional information regarding our changes in reportable segments effective January 1, 2017) and determined that the remaining $55.7 million of goodwill of the technology business was impaired. As a result, we recorded a $55.7 million impairment loss in the fourth quarter of 2015. This goodwill impairment was primarily driven by the Company’s projected technology revenue from Ocwen and investment in technologies provided to Ocwen. There were no additional goodwill impairments as of December 31, 2015. Based on our fourth quarter 2017 and 2016 goodwill assessments, we concluded that there were no impairments of goodwill as of December 31, 2017 and 2016.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Identified intangible assets consist primarily of customer related intangible assets, operating agreements, trade names and trademarks and other intangible assets. 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would recognize an impairment to the extent the carrying amount exceeds fair value. In the fourth quarter of 2015, we recorded a non-cash impairment loss of $11.9 million in our Mortgage Market segment and Other Businesses, Corporate and Eliminations (see Item 1 of Part I, “</w:t>
      </w:r>
      <w:r>
        <w:rPr>
          <w:rFonts w:ascii="Arial" w:cs="Arial" w:eastAsia="Arial" w:hAnsi="Arial"/>
          <w:sz w:val="16"/>
          <w:szCs w:val="16"/>
          <w:i w:val="1"/>
          <w:iCs w:val="1"/>
          <w:color w:val="auto"/>
        </w:rPr>
        <w:t>Reportable Segments</w:t>
      </w:r>
      <w:r>
        <w:rPr>
          <w:rFonts w:ascii="Arial" w:cs="Arial" w:eastAsia="Arial" w:hAnsi="Arial"/>
          <w:sz w:val="16"/>
          <w:szCs w:val="16"/>
          <w:color w:val="auto"/>
        </w:rPr>
        <w:t>,” for additional information regarding our changes in reportable segments effective January 1, 2017), related to customer relationship intangible assets from the 2013 Homeward and ResCap fee-based business acquisitions. These impairments of intangible assets were primarily driven by the Company’s projected former technology revenue from Ocwen and investment in technologies provided to Ocwen. There were no impairments of intangible assets for the years ended December 31, 2017 and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those acquisitions that meet the definition of a business combination, we allocate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fair value of the assets acquired and liabilities assumed is typically determined by using either estimates of replacement costs or discounted cash flow valuation methods. When determining the fair value of tangible assets acquired, we estimate the cost to replace the asset with a new asset taking into consideration such factors as age, condition and the economic useful life of the asset. When determining the fair value of intangible assets acquired, we estimate the applicable discount rate and the timing and amount of future cash flows, including rate and terms of renewal and attrition. The determination of the final purchase price and the fair values on the acquisition date of the identifiable assets acquired and liabilities assumed may extend over more than one period and result in adjustments to the preliminary estimate recognized.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record our income taxes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We are subject to income taxes principally in Luxembourg, the United States and India. Significant judgment is required in evaluating our tax positions and determining our provision for income taxes. During the ordinary course of business, there are many transactions and estimates, including projected income by taxing jurisdiction, for which the ultimate tax determination may vary from year to year. For example, our effective tax rates could be adversely affected by lower than anticipated earnings in countries where we have lower effective tax rates and higher than anticipated earnings in countries where we have higher effective tax rates, by changes in currency exchange rates or by changes in the relevant tax rate, accounting and other laws, regulations, principles and interpretations. We are subject to audits in various taxing jurisdictions, and such jurisdictions may assess additional income tax during an examination. Although we believe our recorded tax liabilities are sufficient to support our future tax liabilities, the final determination of tax audits and any related litigation could differ from the balances we have accrued.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to the consolidated financial statements for a discussion of the recent adoption of a new accounting pronouncements and the future adoption of new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and trust arrangements and operating leases.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collections business. These amounts are held in escrow and trust accounts for limited periods of time and are not included in the accompanying consolidated balance sheets. Amounts held in escrow and trust accounts were $35.1 million and $64.1 million at December 31, 2017 and 2016,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long-term contractual obligations generally include our long-term debt and operating lease payments on certain of our premises and equipment. The following table sets forth information relating to our contractual obligations as of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Less than 1 year</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22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More than 5 years</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Non-cancelable operating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19,833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413,581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407,636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2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Contractual interest payments</w:t>
            </w:r>
          </w:p>
        </w:tc>
        <w:tc>
          <w:tcPr>
            <w:tcW w:w="2400" w:type="dxa"/>
            <w:vAlign w:val="bottom"/>
            <w:shd w:val="clear" w:color="auto" w:fill="CCEEFF"/>
          </w:tcPr>
          <w:p>
            <w:pPr>
              <w:jc w:val="right"/>
              <w:ind w:right="2177"/>
              <w:spacing w:after="0"/>
              <w:rPr>
                <w:sz w:val="20"/>
                <w:szCs w:val="20"/>
                <w:color w:val="auto"/>
              </w:rPr>
            </w:pPr>
            <w:r>
              <w:rPr>
                <w:rFonts w:ascii="Arial" w:cs="Arial" w:eastAsia="Arial" w:hAnsi="Arial"/>
                <w:sz w:val="13"/>
                <w:szCs w:val="13"/>
                <w:color w:val="auto"/>
                <w:w w:val="87"/>
                <w:shd w:val="clear" w:color="auto" w:fill="CCEEFF"/>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57,824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19,937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37,887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40" w:type="dxa"/>
            <w:vAlign w:val="bottom"/>
            <w:tcBorders>
              <w:bottom w:val="single" w:sz="8" w:color="CCEEFF"/>
            </w:tcBorders>
            <w:shd w:val="clear" w:color="auto" w:fill="CCEEFF"/>
          </w:tcPr>
          <w:p>
            <w:pPr>
              <w:spacing w:after="0"/>
              <w:rPr>
                <w:sz w:val="8"/>
                <w:szCs w:val="8"/>
                <w:color w:val="auto"/>
              </w:rPr>
            </w:pPr>
          </w:p>
        </w:tc>
        <w:tc>
          <w:tcPr>
            <w:tcW w:w="2140" w:type="dxa"/>
            <w:vAlign w:val="bottom"/>
            <w:tcBorders>
              <w:bottom w:val="single" w:sz="8" w:color="CCEEFF"/>
            </w:tcBorders>
            <w:vMerge w:val="continue"/>
            <w:shd w:val="clear" w:color="auto" w:fill="CCEEFF"/>
          </w:tcPr>
          <w:p>
            <w:pPr>
              <w:spacing w:after="0"/>
              <w:rPr>
                <w:sz w:val="8"/>
                <w:szCs w:val="8"/>
                <w:color w:val="auto"/>
              </w:rPr>
            </w:pPr>
          </w:p>
        </w:tc>
        <w:tc>
          <w:tcPr>
            <w:tcW w:w="24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gridSpan w:val="2"/>
            <w:vMerge w:val="continue"/>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525,195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45,715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469,757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3"/>
            <w:vMerge w:val="restart"/>
          </w:tcPr>
          <w:p>
            <w:pPr>
              <w:jc w:val="right"/>
              <w:ind w:right="1097"/>
              <w:spacing w:after="0"/>
              <w:rPr>
                <w:sz w:val="20"/>
                <w:szCs w:val="20"/>
                <w:color w:val="auto"/>
              </w:rPr>
            </w:pPr>
            <w:r>
              <w:rPr>
                <w:rFonts w:ascii="Arial" w:cs="Arial" w:eastAsia="Arial" w:hAnsi="Arial"/>
                <w:sz w:val="18"/>
                <w:szCs w:val="18"/>
                <w:color w:val="auto"/>
                <w:w w:val="89"/>
              </w:rPr>
              <w:t>______________________________________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34" w:lineRule="auto"/>
        <w:tabs>
          <w:tab w:leader="none" w:pos="2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Represents estimated future interest payments on our senior secured term loan based on applicable interest rates as of December 31,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Notes 13 and 23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loans serviced by Ocwen when Ocwen designates us as the service provider and revenue earned directly from Ocwen. We record revenue we earn from Ocwen under the Ocwen Service Agreements. For the years ended December 31, 2017, 2016 and 2015, we generated revenue from Ocwen of $542.0 million, $561.9 million and $631.6 million, respectively. Revenue from Ocwen as a percentage of segment and consolidated revenue was as follows for the years ended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7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Real Estate Market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or the MSR owner selects Altisource as the service provider. For the years ended December 31, 2017, 2016 and 2015, we recognized revenue of $148.5 million, $188.0 million and $216.9 million, respectively, related to the portfolios serviced by Ocwen when a party other than Ocwen or the MSR owner selected Altisource as the service provider. These amounts are not included in deriving revenue from Ocwen as a percentage of revenue in the table above.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2017, we estimate that NRZ owned certain economic rights in, but not legal title to, approximately 78% of the Subject MSRs. In July 2017, Ocwen and NRZ entered into agreements to convert NRZ’s economic rights to the Subject MSRs into fully-owned MSRs in exchange for payments from NRZ to Ocwen when such MSRs were transferred. The transfers are</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28, 2017, Altisource, through its licensed subsidiaries, entered into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MSRs and the right to designate the broker for REO properties in such portfolios. The Brokerage Agreement provides that Altisource is the exclusive provider of brokerage services for REO associated with the Subject MSRs, irrespective of the sub-servicer. NRZ’s brokerage subsidiary will receive a cooperative brokerage commission on the sale of certain REO properties from these portfolios subject to certain exceptions.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and NRZ also entered into the Services LOI to enter into a Services Agreement, setting forth the terms pursuant to which Altisource would remain the exclusive service provider of fee-based services for the Subject MSRs through August 2025. The Services LOI was amended to continue through February 28, 2018 (with a further automatic extension through March 31, 2018 provided that the parties continue to negotiate the Services Agreement in good faith).</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between Altisource and NRZ during the term of the Services LOI.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execution of the Services Agreement, we anticipate that revenue from NRZ would increase and revenue from Ocwen would decrease. As Subject MSRs continue to transfer from Ocwen to NRZ, we anticipate that NRZ will become our largest customer. Had all of the Subject MSRs been transferred to NRZ and the Brokerage Agreement and the Services Agreement with NRZ were in place as of January 1, 2017, we estimate that approximately 50% of our 2017 revenue would have been related to NRZ. There can be no assurance that the parties will reach an agreement with respect to the terms of the Services Agreement or that a Services Agreement will be entered into on a timely basis or at all.</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 interest rate charged on the senior secured term loan was 5.07%. The interest rate is calculated based on the Adjusted Eurodollar Rate (as defined in the senior secured term loan agreement) with a minimum floor of 1.00% plus 3.50%.</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December 31, 2017, a one percentage point increase in the Eurodollar rate would increase our annual interest expense by approximately $4.1 million, based on the December 31, 2017 Adjusted Eurodollar Rate. There would be a $2.3 million decrease in our annual interest expense if there was a one percentage point decrease in the Eurodollar Rate.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2017, a one percentage point increase or decrease in value of the Indian rupee in relation to the United States dollar would increase or decrease our annual expenses by approximately $1.1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32"/>
        </w:trPr>
        <w:tc>
          <w:tcPr>
            <w:tcW w:w="4360" w:type="dxa"/>
            <w:vAlign w:val="bottom"/>
            <w:gridSpan w:val="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Reports of Independent Registered Public Accounting Firms</w:t>
              </w:r>
            </w:hyperlink>
          </w:p>
        </w:tc>
        <w:tc>
          <w:tcPr>
            <w:tcW w:w="6000" w:type="dxa"/>
            <w:vAlign w:val="bottom"/>
            <w:gridSpan w:val="5"/>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61</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December 31, 2017 and 2016</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8920" w:type="dxa"/>
            <w:vAlign w:val="bottom"/>
            <w:gridSpan w:val="6"/>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Operations and Comprehensive Income for the years ended December 31, 2017, 2016 and 2015</w:t>
              </w:r>
            </w:hyperlink>
          </w:p>
        </w:tc>
        <w:tc>
          <w:tcPr>
            <w:tcW w:w="1440" w:type="dxa"/>
            <w:vAlign w:val="bottom"/>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540" w:type="dxa"/>
            <w:vAlign w:val="bottom"/>
            <w:gridSpan w:val="4"/>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Equity for the years ended December 31, 2017, 2016 and 2015</w:t>
              </w:r>
            </w:hyperlink>
          </w:p>
        </w:tc>
        <w:tc>
          <w:tcPr>
            <w:tcW w:w="238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Cash Flows for the years ended December 31, 2017, 2016 and 2015</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900" w:type="dxa"/>
            <w:vAlign w:val="bottom"/>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3460" w:type="dxa"/>
            <w:vAlign w:val="bottom"/>
            <w:gridSpan w:val="2"/>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Altisource Portfolio Solutions S.A. and subsidiaries (the “Company”) as of December 31, 2017 and 2016, and the related consolidated statements of operations and comprehensive income, equity, and cash flows for the years ended December 31, 2017 and 2016, and the related notes (collectively referred to as the “financial statements”). In our opinion, the consolidated financial statements present fairly, in all material respects, the financial position of the Company as of December 31, 2017 and 2016, and the results of its operations and its cash flows for the years ended December 31, 2017 and 2016, in conformity with accounting principles generally accepted in the United States of America.</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also audited the adjustments to the 2015 consolidated financial statements to retrospectively apply the changes in the composition of reportable segments, as described in Note 24 to the consolidated financial statements. In our opinion, such adjustments are appropriate and have been properly applied.</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2017, based on criteria established in 2013 Internal Control - Integrated Framework issued by the Committee of Sponsoring Organizations of the Treadway Commission and our report dated February 22, 2018 expressed an unqualified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Application of Accounting Principles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24 to the consolidated financial statements, the Company changed its application of accounting for the composition of reportable segments in 2017. The change in the composition of reportable segments is accounted for by retrospective application to the consolidated financial statements of all prior periods presented.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Concentration of Revenue and Uncertainties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discussed in Note 3 to the consolidated financial statements, Ocwen Financial Corporation (“Ocwen”) is the Company’s largest customer. In July 2017, Ocwen and New Residential Investment Corp. (individually, together with one or more of its subsidiaries, or one or more of its subsidiaries individually, “NRZ”) entered agreements to convert NRZ’s economic rights in Ocwen’s non-government-sponsored enterprise mortgage servicing rights (the “Subject MSRs”) into fully-owned mortgage servicing rights of NRZ in exchange for payments from NRZ to Ocwen when such mortgage servicing rights (“MSRs”) were transferred. 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 On August 28, 2017, the Company, through its licenses subsidiaries, entered into a Cooperative Brokerage Agreement, as amended, and related letter agreement (collectively, the “Brokerage Agreement”) and a Letter of Intent (subsequently amended) to enter into a Services Agreement (the “Services LOI”) with NRZ. The Services LOI sets forth the terms pursuant to which the Company would remain the exclusive service provider of fee-based services for the Subject MSRs through August 2025. Note 23 also discusses the potential implications of these uncertainties to the Company including the loss of Ocwen as a customer or the inability to reach an agreement with NRZ in respect to the terms of the Services Agreement with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Supplemental Information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schedule listed in the index at Item 15 of the Form 10-K has been subjected to audit procedures performed in conjunction with the audit of the Company’s consolidated financial statements. The schedule listed in the index at Item 15 of the Form 10-K is the responsibility of the Company’s management. Our audit procedures included determining whether the schedule listed in the index at Item 15 of the Form 10-K reconciles to the consolidated financial statements or the underlying accounting and other records, as applicable, and performing procedures to test the completeness and accuracy of the information presented in the schedule listed in the index at Item 15 of the Form 10-K. In forming our opinion on the schedule listed in the index at Item 15 of the Form 10-K, we evaluated whether the schedule listed in the index at Item 15 of the Form 10-K, including its form and content, is presented in conformity with accounting principles generally accepted in the United States of America. In our opinion, the schedule listed in the index at Item 15 of the Form 10-K is fairly stated, in all material respects, in relation to the consolidated financial statements as a whole.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Altisource Portfolio Solutions S.A. and subsidiaries’ (the “Company”) internal control over financial reporting as of December 31, 2017, based on criteria established in 2013 Internal Control - Integrated Framework issued by the Committee of Sponsoring Organizations of the Treadway Commission (“COSO”). In our opinion, the Company maintained, in all material respects, effective internal control over financial reporting as of December 31, 2017, based on criteria established in 2013 Internal Control - Integrated Framework issued by the COSO.</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and related consolidated statements of operations and comprehensive income, consolidated statement of equity, cash flows and financial statement schedule as of December 31, 2017 and 2016 and for the years ended December 31, 2017 and 2016 of the Company, and our report dated February 22, 2018, expressed an unqualified opinion on those financial statements and included an explanatory paragraph regarding the change in application of accounting principles, and an emphasis of matter paragraph regarding concentration of revenue with Ocwen Financial Corporation (“Ocwen”) and uncertainties faced by Ocwen and the Company’s related negotiations of certain mortgage servicing rights and subservicing with New Residential Investment Corp.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Altisource Portfolio Solutions S.A.:</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before the effects of the retrospective adjustments to the disclosures for a change in the composition of reportable segments discussed in Note 24 to the consolidated financial statements, the consolidated statements of operations, equity and cash flows of Altisource Portfolio Solutions S.A. and subsidiaries (the “Company”) for the year ended December 31, 2015 (the 2015 consolidated financial statements before the effects of the adjustments discussed in Note 24 of the consolidated financial statements are not presented herein). Our audit of the financial statements referred to above also included the 2015 information contained in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opinion, such consolidated financial statements referred to above, before the effects of the retrospective adjustments to the disclosures for a change in the composition of reportable segments discussed in Note 24 to the consolidated financial statements, present fairly, in all material respects, the results of operations and cash flows of Altisource Portfolio Solutions S.A. and subsidiaries for the year ended December 31,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23 to the consolidated financial statements, Ocwen Financial Corporation (“Ocwen”), the Company’s largest customer, has been and is subject to a number of federal and state regulatory matters and is subject to other challenges and uncertainties that could have significant adverse effects on Ocwen’s business. Note 23 also discusses the potential implications of these uncertainties to the Company including the loss of Ocwen as a customer or a reduction in the number and/volume of services Ocwen purchases from the Company.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not engaged to audit, review, or apply any procedures to the retrospective adjustments to the disclosures for a change in the composition of reportable segments, discussed in Note 24 to the consolidated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jc w:val="center"/>
              <w:ind w:left="2970"/>
              <w:spacing w:after="0"/>
              <w:rPr>
                <w:sz w:val="20"/>
                <w:szCs w:val="20"/>
                <w:color w:val="auto"/>
              </w:rPr>
            </w:pPr>
            <w:r>
              <w:rPr>
                <w:rFonts w:ascii="Arial" w:cs="Arial" w:eastAsia="Arial" w:hAnsi="Arial"/>
                <w:sz w:val="18"/>
                <w:szCs w:val="18"/>
                <w:color w:val="auto"/>
                <w:w w:val="92"/>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149,294</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49,153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45,754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87,821</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64,742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325,477</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103,473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155,432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assets, net (Note 21)</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303,707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865,164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689,212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left="2970"/>
              <w:spacing w:after="0"/>
              <w:rPr>
                <w:sz w:val="20"/>
                <w:szCs w:val="20"/>
                <w:color w:val="auto"/>
              </w:rPr>
            </w:pPr>
            <w:r>
              <w:rPr>
                <w:rFonts w:ascii="Arial" w:cs="Arial" w:eastAsia="Arial" w:hAnsi="Arial"/>
                <w:sz w:val="18"/>
                <w:szCs w:val="18"/>
                <w:color w:val="auto"/>
              </w:rPr>
              <w:t>LIABILITIES AND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83,135</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Accrued litigation settlement (Note 19)</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109,561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148,938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403,336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467,600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w w:val="97"/>
              </w:rPr>
              <w:t>Common stock ($1.00 par value; 100,000 shares authorized, 25,413 issued and 17,418 outstanding as of</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w w:val="92"/>
              </w:rPr>
              <w:t>December 31, 2017; 25,413 shares authorized and issued and 18,774 outstanding as of December 31, 2016)</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107,288</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626,600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333,786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w w:val="94"/>
              </w:rPr>
              <w:t>Treasury stock, at cost (7,995 shares as of December 31, 2017 and 6,639 shares as of December 31, 2016)</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(426,609)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(403,953)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Altisource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338,612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60,789</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339,985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62,194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865,164</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689,212</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r>
              <w:rPr>
                <w:rFonts w:ascii="Arial" w:cs="Arial" w:eastAsia="Arial" w:hAnsi="Arial"/>
                <w:sz w:val="18"/>
                <w:szCs w:val="18"/>
                <w:color w:val="auto"/>
                <w:w w:val="89"/>
              </w:rPr>
              <w: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70"/>
        </w:trPr>
        <w:tc>
          <w:tcPr>
            <w:tcW w:w="7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997,303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1,051,466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699,865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690,045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687,327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242,348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307,258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364,139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220,868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Litigation settlement loss, net of $4,000 insurance recovery (Note 19)</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Impairment losses (Notes 9 and 10)</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71,785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Change in the fair value of Equator Earn Out (Note 19)</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(7,591)</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79,077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(28,208)</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2,191</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(26,017)</w:t>
            </w:r>
          </w:p>
        </w:tc>
      </w:tr>
      <w:tr>
        <w:trPr>
          <w:trHeight w:val="270"/>
        </w:trPr>
        <w:tc>
          <w:tcPr>
            <w:tcW w:w="7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benefit (provision) (Note 21)</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276,256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(8,260)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311,631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31,386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44,800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r>
      <w:tr>
        <w:trPr>
          <w:trHeight w:val="264"/>
        </w:trPr>
        <w:tc>
          <w:tcPr>
            <w:tcW w:w="7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308,891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41,598</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18,183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18,696</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19,504</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20,619</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311,631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31,386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44,800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7100" w:type="dxa"/>
            <w:vAlign w:val="bottom"/>
          </w:tcPr>
          <w:p>
            <w:pPr>
              <w:ind w:left="280"/>
              <w:spacing w:after="0"/>
              <w:rPr>
                <w:sz w:val="20"/>
                <w:szCs w:val="20"/>
                <w:color w:val="auto"/>
              </w:rPr>
            </w:pPr>
            <w:r>
              <w:rPr>
                <w:rFonts w:ascii="Arial" w:cs="Arial" w:eastAsia="Arial" w:hAnsi="Arial"/>
                <w:sz w:val="18"/>
                <w:szCs w:val="18"/>
                <w:color w:val="auto"/>
              </w:rPr>
              <w:t>Unrealized gain (loss) on securities, net of income tax benefit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100" w:type="dxa"/>
            <w:vAlign w:val="bottom"/>
          </w:tcPr>
          <w:p>
            <w:pPr>
              <w:ind w:left="440"/>
              <w:spacing w:after="0"/>
              <w:rPr>
                <w:sz w:val="20"/>
                <w:szCs w:val="20"/>
                <w:color w:val="auto"/>
              </w:rPr>
            </w:pPr>
            <w:r>
              <w:rPr>
                <w:rFonts w:ascii="Arial" w:cs="Arial" w:eastAsia="Arial" w:hAnsi="Arial"/>
                <w:sz w:val="18"/>
                <w:szCs w:val="18"/>
                <w:color w:val="auto"/>
              </w:rPr>
              <w:t>(provision) of $(921), $720, $0</w:t>
            </w:r>
          </w:p>
        </w:tc>
        <w:tc>
          <w:tcPr>
            <w:tcW w:w="3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net of tax</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314,109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29,641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44,800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r>
      <w:tr>
        <w:trPr>
          <w:trHeight w:val="264"/>
        </w:trPr>
        <w:tc>
          <w:tcPr>
            <w:tcW w:w="7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311,369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26,948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41,598</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Altisource Equity</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 other</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Treasury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paid-in capital</w:t>
            </w:r>
          </w:p>
        </w:tc>
        <w:tc>
          <w:tcPr>
            <w:tcW w:w="18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2015</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91,509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41,443</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44,800</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4,812</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Exercise of stock option</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restricted shares for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acquisitions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21,733</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(58,949)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(58,949)</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Balance, December 31, 2015</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96,321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369,270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(440,026)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52,270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31,386</w:t>
            </w:r>
          </w:p>
        </w:tc>
        <w:tc>
          <w:tcPr>
            <w:tcW w:w="0" w:type="dxa"/>
            <w:vAlign w:val="bottom"/>
          </w:tcPr>
          <w:p>
            <w:pPr>
              <w:spacing w:after="0"/>
              <w:rPr>
                <w:sz w:val="1"/>
                <w:szCs w:val="1"/>
                <w:color w:val="auto"/>
              </w:rPr>
            </w:pPr>
          </w:p>
        </w:tc>
      </w:tr>
      <w:tr>
        <w:trPr>
          <w:trHeight w:val="220"/>
        </w:trPr>
        <w:tc>
          <w:tcPr>
            <w:tcW w:w="2520" w:type="dxa"/>
            <w:vAlign w:val="bottom"/>
          </w:tcPr>
          <w:p>
            <w:pPr>
              <w:ind w:left="280"/>
              <w:spacing w:after="0"/>
              <w:rPr>
                <w:sz w:val="20"/>
                <w:szCs w:val="20"/>
                <w:color w:val="auto"/>
              </w:rPr>
            </w:pPr>
            <w:r>
              <w:rPr>
                <w:rFonts w:ascii="Arial" w:cs="Arial" w:eastAsia="Arial" w:hAnsi="Arial"/>
                <w:sz w:val="16"/>
                <w:szCs w:val="16"/>
                <w:color w:val="auto"/>
                <w:w w:val="94"/>
              </w:rPr>
              <w:t>Other comprehensive loss, net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440"/>
              <w:spacing w:after="0"/>
              <w:rPr>
                <w:sz w:val="20"/>
                <w:szCs w:val="20"/>
                <w:color w:val="auto"/>
              </w:rPr>
            </w:pPr>
            <w:r>
              <w:rPr>
                <w:rFonts w:ascii="Arial" w:cs="Arial" w:eastAsia="Arial" w:hAnsi="Arial"/>
                <w:sz w:val="16"/>
                <w:szCs w:val="16"/>
                <w:color w:val="auto"/>
              </w:rPr>
              <w:t>tax</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6,188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6,188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Excess tax benefit on stock-based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compensation</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4,779</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(64,177)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73,735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(37,662)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2016</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62,194</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308,891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311,631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Other comprehensive income,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of tax</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4,255</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Cumulative effect of an accounting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change (Note 2)</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Treasury shares withheld for the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rPr>
                <w:sz w:val="20"/>
                <w:szCs w:val="20"/>
                <w:color w:val="auto"/>
              </w:rPr>
            </w:pPr>
            <w:r>
              <w:rPr>
                <w:rFonts w:ascii="Arial" w:cs="Arial" w:eastAsia="Arial" w:hAnsi="Arial"/>
                <w:sz w:val="16"/>
                <w:szCs w:val="16"/>
                <w:color w:val="auto"/>
                <w:w w:val="95"/>
              </w:rPr>
              <w:t>payment of tax on restricted share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issuances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(39,011)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626,600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339,985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2015</w:t>
            </w:r>
          </w:p>
        </w:tc>
      </w:tr>
      <w:tr>
        <w:trPr>
          <w:trHeight w:val="243"/>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311,631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31,386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44,800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36,447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36,788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36,470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41,135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Loss on HLSS equity securities and dividends received, net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1,854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71,785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5,514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1,883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(14,483)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66,082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126,818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195,352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(28,675)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received from sale of and dividends from HLSS equity securities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28,112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(65,995)</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Repayments and repurchases of long-term debt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(50,373)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Excess tax benefit on stock-based compensation</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tax withholding on issuance of restricted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(111,391)</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149,294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179,327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161,361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105,006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179,327</w:t>
            </w:r>
          </w:p>
        </w:tc>
      </w:tr>
      <w:tr>
        <w:trPr>
          <w:trHeight w:val="230"/>
        </w:trPr>
        <w:tc>
          <w:tcPr>
            <w:tcW w:w="7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Income taxes paid,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18,327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9,725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619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43"/>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businesses with restricted shares</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21,733</w:t>
            </w: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(Decrease) increase in payables for purchases of premises and equipment</w:t>
            </w:r>
          </w:p>
        </w:tc>
        <w:tc>
          <w:tcPr>
            <w:tcW w:w="1380" w:type="dxa"/>
            <w:vAlign w:val="bottom"/>
          </w:tcPr>
          <w:p>
            <w:pPr>
              <w:spacing w:after="0"/>
              <w:rPr>
                <w:sz w:val="21"/>
                <w:szCs w:val="21"/>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color w:val="auto"/>
              </w:rPr>
              <w:t>(1,311)</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2017,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new reportable segments: Mortgage Market and Real Estate Market. In addition, we report Other Businesses, Corporate and Eliminations separately. Prior to the January 1, 2017 change in reportable segments, our reportable segments were Mortgage Services, Financial Services and Technology Services. Prior year comparable period segment disclosures have been restated to conform to the current year presentation. See Note 24 for a description of our business segments.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1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Basis of Accounting and Presentation </w:t>
      </w:r>
      <w:r>
        <w:rPr>
          <w:rFonts w:ascii="Arial" w:cs="Arial" w:eastAsia="Arial" w:hAnsi="Arial"/>
          <w:sz w:val="18"/>
          <w:szCs w:val="18"/>
          <w:color w:val="auto"/>
        </w:rPr>
        <w:t>- The consolidated financial statements are prepared in accordance with accounting principles generally accepted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of America (“GAAP”). Intercompany transactions and accounts have been eliminated in consolidation.</w:t>
      </w:r>
    </w:p>
    <w:p>
      <w:pPr>
        <w:spacing w:after="0" w:line="10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financial statements include the accounts of the Company, its wholly-owned subsidiaries and those entities in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variable interest and are the primary beneficiary.</w:t>
      </w:r>
    </w:p>
    <w:p>
      <w:pPr>
        <w:spacing w:after="0" w:line="11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consolidated financial statements on a consolidated basis and the interests of the members are reflected as non-controlling interests. As of December 31, 2017, Lenders One had total assets of $4.6 million and total liabilities of $3.1 million. As of December 31, 2016, Lenders One had total assets of $3.8 million and total liabilities of $1.5 million.</w:t>
      </w:r>
    </w:p>
    <w:p>
      <w:pPr>
        <w:spacing w:after="0" w:line="13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GAAP requires estimates and assumptions that affect the reported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classify all highly liquid instruments with an original maturity of three months or less at the time of purchase as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Receivable, Net </w:t>
      </w:r>
      <w:r>
        <w:rPr>
          <w:rFonts w:ascii="Arial" w:cs="Arial" w:eastAsia="Arial" w:hAnsi="Arial"/>
          <w:sz w:val="18"/>
          <w:szCs w:val="18"/>
          <w:color w:val="auto"/>
        </w:rPr>
        <w:t>- Accounts receivable are presented net of an allowance for doubtful accounts that represents an amount that we estimate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uncollectible. We 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Premises and Equipment, Net </w:t>
      </w:r>
      <w:r>
        <w:rPr>
          <w:rFonts w:ascii="Arial" w:cs="Arial" w:eastAsia="Arial" w:hAnsi="Arial"/>
          <w:sz w:val="16"/>
          <w:szCs w:val="16"/>
          <w:color w:val="auto"/>
        </w:rPr>
        <w:t>- We report premises and equipment, net at cost or estimated fair value at acquisition for premises and equipment recorded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 business combination and depreciate these assets over their estimated useful lives using the straight-line method as follows:</w:t>
      </w:r>
    </w:p>
    <w:p>
      <w:pPr>
        <w:spacing w:after="0" w:line="54" w:lineRule="exact"/>
        <w:rPr>
          <w:sz w:val="20"/>
          <w:szCs w:val="20"/>
          <w:color w:val="auto"/>
        </w:rPr>
      </w:pPr>
    </w:p>
    <w:tbl>
      <w:tblPr>
        <w:tblLayout w:type="fixed"/>
        <w:tblInd w:w="1420" w:type="dxa"/>
        <w:tblCellMar>
          <w:top w:w="0" w:type="dxa"/>
          <w:left w:w="0" w:type="dxa"/>
          <w:bottom w:w="0" w:type="dxa"/>
          <w:right w:w="0" w:type="dxa"/>
        </w:tblCellMar>
      </w:tblPr>
      <w:tr>
        <w:trPr>
          <w:trHeight w:val="27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6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 years</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6200" w:type="dxa"/>
            <w:vAlign w:val="bottom"/>
          </w:tcPr>
          <w:p>
            <w:pPr>
              <w:ind w:left="560"/>
              <w:spacing w:after="0"/>
              <w:rPr>
                <w:sz w:val="20"/>
                <w:szCs w:val="20"/>
                <w:color w:val="auto"/>
              </w:rPr>
            </w:pPr>
            <w:r>
              <w:rPr>
                <w:rFonts w:ascii="Arial" w:cs="Arial" w:eastAsia="Arial" w:hAnsi="Arial"/>
                <w:sz w:val="18"/>
                <w:szCs w:val="18"/>
                <w:color w:val="auto"/>
              </w:rPr>
              <w:t>5 years</w:t>
            </w:r>
          </w:p>
        </w:tc>
      </w:tr>
      <w:tr>
        <w:trPr>
          <w:trHeight w:val="27"/>
        </w:trPr>
        <w:tc>
          <w:tcPr>
            <w:tcW w:w="240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6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 years</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6200" w:type="dxa"/>
            <w:vAlign w:val="bottom"/>
          </w:tcPr>
          <w:p>
            <w:pPr>
              <w:ind w:left="560"/>
              <w:spacing w:after="0"/>
              <w:rPr>
                <w:sz w:val="20"/>
                <w:szCs w:val="20"/>
                <w:color w:val="auto"/>
              </w:rPr>
            </w:pPr>
            <w:r>
              <w:rPr>
                <w:rFonts w:ascii="Arial" w:cs="Arial" w:eastAsia="Arial" w:hAnsi="Arial"/>
                <w:sz w:val="18"/>
                <w:szCs w:val="18"/>
                <w:color w:val="auto"/>
              </w:rPr>
              <w:t>3-7 years</w:t>
            </w:r>
          </w:p>
        </w:tc>
      </w:tr>
      <w:tr>
        <w:trPr>
          <w:trHeight w:val="27"/>
        </w:trPr>
        <w:tc>
          <w:tcPr>
            <w:tcW w:w="240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Shorter of useful life, 10 years or the term of the lease</w:t>
            </w:r>
          </w:p>
        </w:tc>
      </w:tr>
      <w:tr>
        <w:trPr>
          <w:trHeight w:val="27"/>
        </w:trPr>
        <w:tc>
          <w:tcPr>
            <w:tcW w:w="240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review premises and equipment for impairment following events or changes in circumstances indicate that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 There were no impairments of premises and equipment for the years ended December 31, 2017 and 2016. For the year ended December 31, 2015, we recognized a $4.1 million premises and equipment impairment loss. See Note 9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Computer software includes the fair value of software acquired in business combinations, capitalized software development costs and purchased software.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development and purchased software are recorded at cost and amortized using the straight-line method over their estimated useful lives.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Software acquired in business combinations is recorded at fair value and amortized using the straight-line method over its estimated useful life.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Combinations - </w:t>
      </w:r>
      <w:r>
        <w:rPr>
          <w:rFonts w:ascii="Arial" w:cs="Arial" w:eastAsia="Arial" w:hAnsi="Arial"/>
          <w:sz w:val="18"/>
          <w:szCs w:val="18"/>
          <w:color w:val="auto"/>
        </w:rPr>
        <w:t>We account for acquisitions using the purchase method of accounting in accordance with Financial Accounting Standards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of an acquisition is allocated to the assets acquired and liabilities assumed using their fair value as of the acquisition date.</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Goodwill - </w:t>
      </w:r>
      <w:r>
        <w:rPr>
          <w:rFonts w:ascii="Arial" w:cs="Arial" w:eastAsia="Arial" w:hAnsi="Arial"/>
          <w:sz w:val="17"/>
          <w:szCs w:val="17"/>
          <w:color w:val="auto"/>
        </w:rPr>
        <w:t>Goodwill represents the excess cost of an acquired business over the fair value of the identifiable tangible and intangible assets acquired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assumed in a business combination. 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 The market comparisons include an analysis of revenue and earnings multiples of guideline public companies compared to the Company. There were no impairments of goodwill for the years ended December 31, 2017 and 2016. For the year ended December 31, 2015, we recognized a goodwill impairment loss of $55.7 million. See Note 10 for additional information.</w:t>
      </w:r>
    </w:p>
    <w:p>
      <w:pPr>
        <w:spacing w:after="0" w:line="1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Intangible Assets, Net - </w:t>
      </w:r>
      <w:r>
        <w:rPr>
          <w:rFonts w:ascii="Arial" w:cs="Arial" w:eastAsia="Arial" w:hAnsi="Arial"/>
          <w:sz w:val="17"/>
          <w:szCs w:val="17"/>
          <w:color w:val="auto"/>
        </w:rPr>
        <w:t>Identified intangible assets consist primarily of customer related intangible assets, operating agreements, trademarks and trade</w:t>
      </w:r>
      <w:r>
        <w:rPr>
          <w:rFonts w:ascii="Arial" w:cs="Arial" w:eastAsia="Arial" w:hAnsi="Arial"/>
          <w:sz w:val="17"/>
          <w:szCs w:val="17"/>
          <w:b w:val="1"/>
          <w:bCs w:val="1"/>
          <w:color w:val="auto"/>
        </w:rPr>
        <w:t xml:space="preserve"> </w:t>
      </w:r>
      <w:r>
        <w:rPr>
          <w:rFonts w:ascii="Arial" w:cs="Arial" w:eastAsia="Arial" w:hAnsi="Arial"/>
          <w:sz w:val="17"/>
          <w:szCs w:val="17"/>
          <w:color w:val="auto"/>
        </w:rPr>
        <w:t>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would recognize an impairment to the extent the carrying amount exceeds fair value. There were no impairments of intangible assets for the years ended December 31, 2017 and 2016. For the year ended December 31, 2015, we recognized impairments of intangible assets of $11.9 million. See Note 10 for additional information on impairments.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Long-term debt is reported net of applicable discount or premium and net of debt issuance costs. The debt discount or premium and debt</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costs are amortized to interest expense through maturity of the related debt using the effective interest method.</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an exit price, representing the amount that would be received for an asset or paid to transfer a liability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 The currency of the primary economic environment in which our operations are conducted is the United States dollar. Therefore,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dollar has been determined to be our functional and reporting currency. Non-United States dollar transactions and balances have been measured in United States dollars in accordance with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the measurement of monetary balance sheet items denominated in non-United States dollar currencies are reflected in the consolidated statements of operations and comprehensive income as income or expenses, as appropriate.</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Defined Contribution 401(k) Plan </w:t>
      </w:r>
      <w:r>
        <w:rPr>
          <w:rFonts w:ascii="Arial" w:cs="Arial" w:eastAsia="Arial" w:hAnsi="Arial"/>
          <w:sz w:val="18"/>
          <w:szCs w:val="18"/>
          <w:color w:val="auto"/>
        </w:rPr>
        <w:t>- Some of our employees currently participate in a defined contribution 401(k) plan under which we may make 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equal to a discretionary percentage determined by us. We recorded expenses of $1.2 million, $1.2 million and $1.0 million for the years ended December 31, 2017, 2016 and 2015, respectively, related to our discretionary contributions.</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Share-Based Compensation - </w:t>
      </w:r>
      <w:r>
        <w:rPr>
          <w:rFonts w:ascii="Arial" w:cs="Arial" w:eastAsia="Arial" w:hAnsi="Arial"/>
          <w:sz w:val="17"/>
          <w:szCs w:val="17"/>
          <w:color w:val="auto"/>
        </w:rPr>
        <w:t>Share-based compensation is accounted for under the provisions of ASC Topic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 - Stock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(“ASC Topic 718”). Under ASC Topic 718, the cost of services received in exchange for an award of equity instruments is generally measured based on the grant date fair value of the award. Share-based awards that do not require future service are expensed immediately. Share-based awards that require future service are recognized over the relevant service period. In 2017, the Company adopted FASB Accounting Standards Update (“ASU”) No. 2016-09, </w:t>
      </w:r>
      <w:r>
        <w:rPr>
          <w:rFonts w:ascii="Arial" w:cs="Arial" w:eastAsia="Arial" w:hAnsi="Arial"/>
          <w:sz w:val="17"/>
          <w:szCs w:val="17"/>
          <w:i w:val="1"/>
          <w:iCs w:val="1"/>
          <w:color w:val="auto"/>
        </w:rPr>
        <w:t xml:space="preserve">Compensation - Stock Compensation (Topic 718): Improvements to Employee Share-Based Payment Accounting </w:t>
      </w:r>
      <w:r>
        <w:rPr>
          <w:rFonts w:ascii="Arial" w:cs="Arial" w:eastAsia="Arial" w:hAnsi="Arial"/>
          <w:sz w:val="17"/>
          <w:szCs w:val="17"/>
          <w:color w:val="auto"/>
        </w:rPr>
        <w:t>(“ASU 2016-09”).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adopting ASU 2016-09 (see Recently Adopted Accounting Pronouncements below), the Company made an accounting policy election to account for forfeitures in compensation expense as they occur. Prior to adopting ASU No. 2016-09, the Company estimated forfeitures for share-based awards in compensation expense that were not expected to vest.</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We compute earnings per share (“EPS”) in accordance with ASC Topic 260,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computed by dividing net income attributable to Altisource by the weighted average number of shares of common stock outstanding for the period. Diluted net income per share reflects the assumed conversion of all dilutive securities using the treasury stock method.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We recognize revenue from the services we provide in accordance with ASC Topic 605,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b w:val="1"/>
          <w:bCs w:val="1"/>
          <w:color w:val="auto"/>
        </w:rPr>
        <w:t xml:space="preserve"> </w:t>
      </w:r>
      <w:r>
        <w:rPr>
          <w:rFonts w:ascii="Arial" w:cs="Arial" w:eastAsia="Arial" w:hAnsi="Arial"/>
          <w:sz w:val="16"/>
          <w:szCs w:val="16"/>
          <w:color w:val="auto"/>
        </w:rPr>
        <w:t>(“ASC Topic 605”).</w:t>
      </w:r>
      <w:r>
        <w:rPr>
          <w:rFonts w:ascii="Arial" w:cs="Arial" w:eastAsia="Arial" w:hAnsi="Arial"/>
          <w:sz w:val="16"/>
          <w:szCs w:val="16"/>
          <w:b w:val="1"/>
          <w:bCs w:val="1"/>
          <w:color w:val="auto"/>
        </w:rPr>
        <w:t xml:space="preserve"> </w:t>
      </w:r>
      <w:r>
        <w:rPr>
          <w:rFonts w:ascii="Arial" w:cs="Arial" w:eastAsia="Arial" w:hAnsi="Arial"/>
          <w:sz w:val="16"/>
          <w:szCs w:val="16"/>
          <w:color w:val="auto"/>
        </w:rPr>
        <w:t>ASC Topic 605 sets 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 Specific policies for each of our reportable segments are as follows:</w:t>
      </w:r>
    </w:p>
    <w:p>
      <w:pPr>
        <w:spacing w:after="0" w:line="104" w:lineRule="exact"/>
        <w:rPr>
          <w:sz w:val="20"/>
          <w:szCs w:val="20"/>
          <w:color w:val="auto"/>
        </w:rPr>
      </w:pPr>
    </w:p>
    <w:p>
      <w:pPr>
        <w:jc w:val="both"/>
        <w:ind w:left="340"/>
        <w:spacing w:after="0" w:line="285" w:lineRule="auto"/>
        <w:rPr>
          <w:sz w:val="20"/>
          <w:szCs w:val="20"/>
          <w:color w:val="auto"/>
        </w:rPr>
      </w:pPr>
      <w:r>
        <w:rPr>
          <w:rFonts w:ascii="Arial" w:cs="Arial" w:eastAsia="Arial" w:hAnsi="Arial"/>
          <w:sz w:val="16"/>
          <w:szCs w:val="16"/>
          <w:i w:val="1"/>
          <w:iCs w:val="1"/>
          <w:color w:val="auto"/>
        </w:rPr>
        <w:t>Mortgage Market segment</w:t>
      </w:r>
      <w:r>
        <w:rPr>
          <w:rFonts w:ascii="Arial" w:cs="Arial" w:eastAsia="Arial" w:hAnsi="Arial"/>
          <w:sz w:val="16"/>
          <w:szCs w:val="16"/>
          <w:color w:val="auto"/>
        </w:rPr>
        <w:t>: We recognize revenue for the majority of the services we provide when the services have been performed. For certain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services, we recognize revenue over the period during which we perform the related services, with full recognition upon recording the related foreclosure deed. A significant area of judgment includes the period over which we recognize certain default management services revenue. For disbursement processing services, we recognize revenue over the period during which we perform the processing services with full recognition upon completion of the disbursements. We record revenue associated with fees earned on real estate sales, other than our sales of short-term investments in real estate (see Real Estate Market segment below), on a net basis as we perform services as an agent without assuming the risks and rewards of ownership of the asset and the commission earned on the sale is a fixed percentage. We generally earn our fees for collections on charged-off mortgages on behalf of our clients and recognize revenue following collection from the debtors. We also earn fees for packaging and selling charged-off mortgages and recognize revenue after the sale of the notes and once the risks and rewards of the mortgage notes are transferred to the purchasers. For certain of our servicer technologies software services other than Equator and Mortgage Builder software applications (see below), we charge fees based on the number of loans on the system or on a per-transaction basis. We record transactional revenue when the service is provided and other revenue monthly based on the number of loans processed or services provided. In addition, we charge fees for professional services engagements, which consist primarily of time and materials agreements with customers that are generally billed and recognized as the hours are worked. Reimbursable expenses revenue is included in revenue with an equal amount recorded in cost of revenue primarily related to our property preservation and inspection services, real estate sales and our default management services. These amounts are recognized on a gross basis, principally because generally we have complete control over selection of vendors and the vendor relationship is with us, rather than with our customers.</w:t>
      </w:r>
    </w:p>
    <w:p>
      <w:pPr>
        <w:spacing w:after="0" w:line="124"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 xml:space="preserve">For Equator software applications, we recognize revenue from arrangements with multiple deliverables in accordance with ASC Subtopic 605-25, </w:t>
      </w:r>
      <w:r>
        <w:rPr>
          <w:rFonts w:ascii="Arial" w:cs="Arial" w:eastAsia="Arial" w:hAnsi="Arial"/>
          <w:sz w:val="17"/>
          <w:szCs w:val="17"/>
          <w:i w:val="1"/>
          <w:iCs w:val="1"/>
          <w:color w:val="auto"/>
        </w:rPr>
        <w:t xml:space="preserve">Revenue Recognition: Multiple-Element Arrangements </w:t>
      </w:r>
      <w:r>
        <w:rPr>
          <w:rFonts w:ascii="Arial" w:cs="Arial" w:eastAsia="Arial" w:hAnsi="Arial"/>
          <w:sz w:val="17"/>
          <w:szCs w:val="17"/>
          <w:color w:val="auto"/>
        </w:rPr>
        <w:t>(“ASC 605-25”), and Securities and Exchange Commission (“SEC”) Staff Accounting Bulletin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Topic 13,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(“SAB Topic 13”). ASC 605-25 and SAB Topic 13 require each deliverable within a multiple-deliverable revenue arrangement to be accounted 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We derive revenue from platform services fees, professional services fees and other services. We do not begin to recognize revenue for platform services fees until these fees become billable, as the services fees are not fixed and determinable until such time. Platform services fees are recognized ratably over the shorter of the term of the contract with the customer or the minimum cancellation period. Professional services fees consist primarily of configuration and development services related to customizing the platform for individual customers and are generally billed as the hours are worked. Due to the essential and specialized nature of the configuration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 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w:t>
      </w:r>
    </w:p>
    <w:p>
      <w:pPr>
        <w:spacing w:after="0" w:line="12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Mortgage Builder software applications, we recognize subscription revenues ratably over the contract term, beginning on the commencement date of each contract. Revenues for usage-based transactions are generally recognized as the usage occurs, as that is the point when the fee becomes fixed or determinable. We generally invoice customers on a monthly basis.</w:t>
      </w:r>
    </w:p>
    <w:p>
      <w:pPr>
        <w:spacing w:after="0" w:line="1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Real Estate Market segment</w:t>
      </w:r>
      <w:r>
        <w:rPr>
          <w:rFonts w:ascii="Arial" w:cs="Arial" w:eastAsia="Arial" w:hAnsi="Arial"/>
          <w:sz w:val="18"/>
          <w:szCs w:val="18"/>
          <w:color w:val="auto"/>
        </w:rPr>
        <w:t>: We recognize revenue for the majority of the services we provide when the services have been performed. We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associated with fees earned on real estate sales, other than our sales of short-term investments in real estate, on a net basis as we perform services as an agent without assuming the risks and rewards of ownership of the asset and the commission earned on the sale is a fixed percentage. For sales of short-term investments in real estate, we record revenue in the amount of the selling price of the property upon the sale of the property. Reimbursable expenses revenue is included in revenue with an equal offsetting expense included in cost of revenue primarily related to our real estate sales. These amounts are recognized on a gross basis, principally because we have complete control over selection of vendors and the vendor relationship is with us, rather than with our customers.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Other Businesses, Corporate and Eliminations segment</w:t>
      </w:r>
      <w:r>
        <w:rPr>
          <w:rFonts w:ascii="Arial" w:cs="Arial" w:eastAsia="Arial" w:hAnsi="Arial"/>
          <w:sz w:val="18"/>
          <w:szCs w:val="18"/>
          <w:color w:val="auto"/>
        </w:rPr>
        <w:t>: We generally earn our fees for asset recovery management services as a percentage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we collect on delinquent consumer receivables and recognize revenue following collection from the debtors. In addition, we provide customer relationship management services for which we typically earn and recognize revenue on a per-person, per-call or per-minute basis as the related services are performed. For the information technology (“IT”) infrastructure services we provide to Ocwen Financial Corporation (“Ocwen”), Front Yard Residential Corporation (formerly Altisource Residential Corporation) (“RESI”) and Altisource Asset Management Corporation (“AAMC”), we charge for these services primarily based on the number of employees that are using the applicable systems, fixed fees and the number and type of licensed platforms used by Ocwen, RESI and AAMC. We record revenue associated with implementation services upon completion and maintenance ratably over the related service period.</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We record income taxes in accordance with ASC Topic 740,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(“ASC Topic 740”). We account for certain income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 2017, ASU No. 2016-09 became effective. This standard simplifies several aspects of the accounting for share-based payment transactions, including the income tax consequences, classification of awards as either equity or liabilities and classification on the statement of cash flows. The standard requires companies to recognize all award-related excess tax benefits and tax deficiencies in the income statement, classify any excess tax benefits as an operating activity in the statement of cash flows, limit tax withholding up to the maximum statutory tax rates in order to continue to apply equity accounting rules and classify cash paid by employers when directly withholding shares for tax withholding purposes as a financing activity in the statement of cash flows. The standard also provides companies with the option of estimating forfeitures or recognizing forfeitures as they occur. In connection with the adoption of this standard, the Company made an accounting policy election to account for forfeitures in compensation expense as they occur, rather than continuing to apply the Company’s previous policy of estimating forfeitures. This policy election resulted in a cumulative effect adjustment of $0.9 million to retained earnings and additional paid-in capital as of January 1, 2017 using the modified retrospective transition method. There were no other significant impacts of the adoption of this standard on the Company’s results of operations and financial position.</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Effective December 22, 2017, the SEC issued Staff Accounting Bulletin Topic 5 EE, </w:t>
      </w:r>
      <w:r>
        <w:rPr>
          <w:rFonts w:ascii="Arial" w:cs="Arial" w:eastAsia="Arial" w:hAnsi="Arial"/>
          <w:sz w:val="17"/>
          <w:szCs w:val="17"/>
          <w:i w:val="1"/>
          <w:iCs w:val="1"/>
          <w:color w:val="auto"/>
        </w:rPr>
        <w:t>Income Tax Accounting Implications of the Tax Cuts and Jobs Act</w:t>
      </w:r>
      <w:r>
        <w:rPr>
          <w:rFonts w:ascii="Arial" w:cs="Arial" w:eastAsia="Arial" w:hAnsi="Arial"/>
          <w:sz w:val="17"/>
          <w:szCs w:val="17"/>
          <w:color w:val="auto"/>
        </w:rPr>
        <w:t xml:space="preserve"> (“SAB Topic 5 EE”). This staff accounting bulletin expresses the views of the SEC staff regarding application of ASC Topic 740 in the reporting period that includes December 22, 2017, the date on which the Tax Cuts and Jobs Act (the “Jobs Act”) was signed into law. The SEC recognizes that an entity may not have the necessary information available, prepared, or analyzed (including computations) for certain income tax effects of the Jobs Act in order to determine a reasonable estimate to be included as provisional amounts. In circumstances in which provisional amounts cannot be prepared, the SEC stated an entity should continue to apply ASC Topic 740 (e.g., when recognizing and measuring current and deferred taxes) based on the provisions of the tax laws that were in effect immediately prior to the Jobs Act being enacted until a reasonable estimate can be determined.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standard establishes a single comprehensive model for entities to use in accounting for revenue arising from contracts with customers and supersedes most current revenue recognition guidance. This new standard requires that an entity recognize revenue for the transfer of promised goods or services to a customer in an amount that reflects the consideration that the entity expects to receive and consistent with the delivery of the performance obligation described in the underlying contract with the customer. This standard will be effective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annual periods beginning after December 15, 2017, including interim periods within that reporting period. The Company plans to adopt ASU No. 2014-09 retrospectively with the cumulative effect of initially applying the new standard recognized on the date of the initial application. The new standard was effective for the Company on January 1, 2018. Based on the Company’s analysis of all sources of revenue from customers for the year ended December 31, 2017 and prior periods, the Company has determined that approximately $10 million of revenue reported during 2017 and prior years, primarily related to software development professional services, will be deferred and recognized over future periods under the new standard.</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standard will require equity investments (except those accounted for under the equity method of accounting or those that result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will be effective for annual periods beginning after December 15, 2017, including interim periods within that reporting period and was effective for the Company on January 1, 2018. Based on the Company’s analysis of this guidance, upon adoption of ASU No. 2016-01 the Company will reflect changes in the fair value of its available for sale securities in income. These changes in fair value are currently reflected in other comprehensive income. The Company will adopt ASU No. 2016-01 with a cumulative effect adjustment to the balance sheet as of the beginning of 2018. The Company currently has one investment that will be impacted by this standard </w:t>
      </w:r>
      <w:r>
        <w:rPr>
          <w:rFonts w:ascii="Arial" w:cs="Arial" w:eastAsia="Arial" w:hAnsi="Arial"/>
          <w:sz w:val="17"/>
          <w:szCs w:val="17"/>
          <w:i w:val="1"/>
          <w:iCs w:val="1"/>
          <w:color w:val="auto"/>
        </w:rPr>
        <w:t>—</w:t>
      </w:r>
      <w:r>
        <w:rPr>
          <w:rFonts w:ascii="Arial" w:cs="Arial" w:eastAsia="Arial" w:hAnsi="Arial"/>
          <w:sz w:val="17"/>
          <w:szCs w:val="17"/>
          <w:color w:val="auto"/>
        </w:rPr>
        <w:t xml:space="preserve"> its investment in RESI (see Note 6). As of December 31, 2017 and 2016, the unrealized gain (loss) in accumulated other comprehensive income (loss) related to the RESI investment was $0.7 million and $(1.7) million, respectively.</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standard introduces a new lessee model that brings substantially all leases on the balance sheet. The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of this guidance on its results of operations and financial position. Based on the Company’s preliminary analysis of its lease arrangements where the Company is a lessee, approximately $25 million, primarily related to office leases, would be recorded as right-of-use assets and lease liabilities on the Company’s balance sheet as of December 31, 2017 under the new standard. The Company will continue to analyze the impact of this guidance and refine the estimated impact on its results of operations and financial position.</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This standard clarifies guidance on principal versus agent considerations in connection with revenue recognition. When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party is involved in providing goods or services to a customer, an entity is required to determine whether the nature of its promise is to provide the specified good or service itself (that is, the entity is a principal) or to arrange for that good or service to be provided by the other party (that is, the entity is an agent). An entity is a principal if it controls the specified good or service before that good or service is transferred to a customer. The guidance includes indicators to assist an entity in determining whether it controls a specified good or service before it is transferred to the customer. This standard will be effective for annual periods beginning after December 15, 2017, including interim periods within that reporting period and was effective for the Company on January 1, 2018. The Company has evaluated the impact of this guidance on its results of operations and financial position in connection with its adoption of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described above.</w:t>
      </w:r>
    </w:p>
    <w:p>
      <w:pPr>
        <w:spacing w:after="0" w:line="1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April 2016, the FASB issued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xml:space="preserve">. This standard provides guidance on identifying performance obligations in a contract with a customer and clarifying several licensing considerations, including whether an entity’s promise to grant a license provides a customer with either a right to use the entity’s intellectual property (which is satisfied at a point in time) or a right to access the entity’s intellectual property (which is satisfied over time) and guidance on sales-based and usage-based royalties. This standard will be effective for annual periods beginning after December 15, 2017, including interim periods within that reporting period and was effective for the Company on January 1, 2018. The Company has evaluated the impact of this guidance on its results of operations and financial position in connection with its adoption of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described above.</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2016, the FASB issued ASU No. 2016-12,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Expedients</w:t>
      </w:r>
      <w:r>
        <w:rPr>
          <w:rFonts w:ascii="Arial" w:cs="Arial" w:eastAsia="Arial" w:hAnsi="Arial"/>
          <w:sz w:val="18"/>
          <w:szCs w:val="18"/>
          <w:color w:val="auto"/>
        </w:rPr>
        <w:t>. This standard addresses collectability, sales taxes and other similar taxes collected from customers, non-cash consideration,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at transition and completed contracts at transition. This standard will be effective for annual periods beginning after December 15, 2017, including interim periods within that reporting period and was effective for the Company on January 1, 2018. The Company has evaluated the impact of this guidance on its results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financial position in connection with its adoption of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described above.</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This standard addresses eight specific cash flow issues with the objective of reducing the existing diversity in practice. This standard will be effective for annual periods beginning after December 15, 2017, including interim periods within that reporting period and was effective for the Company on January 1, 2018. The Company does not expect the adoption of this guidance to have a material effect on its statement of cash flows.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will require that companies recognize the income tax consequences of an intra-entity transfer of an asset (other than inventory) when the transfer occurs. Current guidance prohibits companies from recognizing current and deferred income taxes for an intra-entity asset transfer until the asset has been sold to an outside party. This standard will be effective for annual periods beginning after December 15, 2017, including interim periods within that reporting period and was effective for the Company on January 1, 2018. The Company does not expect the adoption of this standard to have a material impact on its results of operations or financial position.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This standard will require that companies include restricted cash and restricted cash equivalents in their cash and cash equivalent balances in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standard will be effective for annual periods beginning after December 15, 2017, including interim periods within that reporting period and was effective for the Company on January 1, 2018. The Company does not expect the adoption of this guidance to have a material effect on its statement of cash flows. As of December 31, 2017 and 2016, restricted cash was $3.8 million and $4.1 million, respectively.</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December 2016, the FASB issued ASU No. 2016-20, </w:t>
      </w:r>
      <w:r>
        <w:rPr>
          <w:rFonts w:ascii="Arial" w:cs="Arial" w:eastAsia="Arial" w:hAnsi="Arial"/>
          <w:sz w:val="16"/>
          <w:szCs w:val="16"/>
          <w:i w:val="1"/>
          <w:iCs w:val="1"/>
          <w:color w:val="auto"/>
        </w:rPr>
        <w:t>Technical Corrections and Improvements to Topic 606, Revenue from Contracts with Customers</w:t>
      </w:r>
      <w:r>
        <w:rPr>
          <w:rFonts w:ascii="Arial" w:cs="Arial" w:eastAsia="Arial" w:hAnsi="Arial"/>
          <w:sz w:val="16"/>
          <w:szCs w:val="16"/>
          <w:color w:val="auto"/>
        </w:rPr>
        <w:t xml:space="preserve">. The FASB issued 13 technical corrections and improvements to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including providing optional exemptions from the disclosure requirement for remaining performance obligations for specific situations in which an entity need not estimate variable consideration to recognize revenue. The amendments in this standard also expand the information that is required to be disclosed when an entity applies one of the optional exemptions. This standard will be effective for annual periods beginning after December 15, 2017, including interim periods within that reporting period and was effective for the Company on January 1, 2018. The Company has evaluated the impact of this guidance on its results of operations and financial position in connection with its adoption of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described above.</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This standard clarifies the definition of a business and provides a screen to determine if a set of inputs, processes and outputs is a business. The screen requires that when substantially all of the fair value of gross assets acquired (or disposed of) is concentrated in a single identifiable asset or a group of similar identifiable assets, the assets acquired would not be a business. Under the new guidance, in order to be considered a business, an acquisition must include, at a minimum, an input and a substantive process that together significantly contribute to the ability to create output. In addition, the standard narrows the definition of the term “output” so that it is consistent with how it is described in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This standard will be effective for annual periods beginning after December 15, 2017, including interim periods within that reporting period and was effective for the Company on January 1, 2018. The Company does not expect the adoption of this guidance to have a material effect on its results of operations and financial position.</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2017, the FASB issued ASU No. 2017-05, </w:t>
      </w:r>
      <w:r>
        <w:rPr>
          <w:rFonts w:ascii="Arial" w:cs="Arial" w:eastAsia="Arial" w:hAnsi="Arial"/>
          <w:sz w:val="18"/>
          <w:szCs w:val="18"/>
          <w:i w:val="1"/>
          <w:iCs w:val="1"/>
          <w:color w:val="auto"/>
        </w:rPr>
        <w:t>Other Income-Gains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This standard was issued to clarify the scope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Subtopic 610-20, </w:t>
      </w:r>
      <w:r>
        <w:rPr>
          <w:rFonts w:ascii="Arial" w:cs="Arial" w:eastAsia="Arial" w:hAnsi="Arial"/>
          <w:sz w:val="18"/>
          <w:szCs w:val="18"/>
          <w:i w:val="1"/>
          <w:iCs w:val="1"/>
          <w:color w:val="auto"/>
        </w:rPr>
        <w:t>Other Income-Gains and Losses from the Derecognition of Nonfinancial Assets</w:t>
      </w:r>
      <w:r>
        <w:rPr>
          <w:rFonts w:ascii="Arial" w:cs="Arial" w:eastAsia="Arial" w:hAnsi="Arial"/>
          <w:sz w:val="18"/>
          <w:szCs w:val="18"/>
          <w:color w:val="auto"/>
        </w:rPr>
        <w:t>, and to add guidance for partial sales of nonfinancial assets. Subtopic 610-20 provides guidance for recognizing gains and losses from the transfer of nonfinancial assets in contracts with noncustomers. This standard will be effective for annual periods beginning after December 15, 2017, including interim periods within that reporting period and was effective for the Company on January 1, 2018. The Company does not expect the adoption of this guidance to have a material effect on its results of operations and financial position.</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ASU No. 2017-09, C</w:t>
      </w:r>
      <w:r>
        <w:rPr>
          <w:rFonts w:ascii="Arial" w:cs="Arial" w:eastAsia="Arial" w:hAnsi="Arial"/>
          <w:sz w:val="18"/>
          <w:szCs w:val="18"/>
          <w:i w:val="1"/>
          <w:iCs w:val="1"/>
          <w:color w:val="auto"/>
        </w:rPr>
        <w:t>ompensation—Stock Compensation (Topic 718): Scope of Modification Accounting</w:t>
      </w:r>
      <w:r>
        <w:rPr>
          <w:rFonts w:ascii="Arial" w:cs="Arial" w:eastAsia="Arial" w:hAnsi="Arial"/>
          <w:sz w:val="18"/>
          <w:szCs w:val="18"/>
          <w:color w:val="auto"/>
        </w:rPr>
        <w:t>. This standard provides guidance about which changes to the terms or conditions of a share-based payment award require the application of modification accounting. This standard will require companies to continue to apply modification accounting, unless the fair value, vesting conditions and classification of an award all do not change as a result of the modification. This standard will be effective for annual periods beginning after December 15, 2017, including interim periods within that reporting period and was effective for the Company on January 1, 2018. The Company does not expect the adoption of this guidance to have a material effect on its results of operations and financial position.</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The amendments in this standard better align an entity’s risk management activities and financial reporting for hedging relationships through changes to both the designation and measurement guidance for qualifying hedging relationships and the presentation of hedging results. This standard will be effective for annual periods beginning after December 15, 2018, including interim periods within that reporting period. Early application is permitted. The Company currently does not expect the adoption of this guidance to have a material effect on its results of operations and 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CUSTOMER CONCENTRATION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2017, Ocwen was our largest customer, accounting for 58% of our total revenue. Ocwen is a residential mortgage loan servicer for mortgage servicing rights (“MSRs”) it owns, including those MSRs in which others have an economic interest, which includes New Residential Investment Corp. (individually, together with one or more of its subsidiaries or one or more of its subsidiaries individually, “NRZ”), and purchases certain mortgage services and technology services from us under the terms of master services agreements and amendments thereto (collectively, the “Ocwen Services Agreements”) with terms extending through August 2025. Certain of the Ocwen Service Agreements, among other things, contain a “most favored nation” provision and also grant the parties the right to renegotiate pricing. Certain of the Ocwen Service Agreements also prohibit Ocwen from establishing fee-based businesses that would directly or indirectly compete with Altisource’s services with respect to the Homeward Residential, Inc. (“Homeward”) and Residential Capital, LLC (“ResCap”) servicing portfolios acquired by Ocwen in December 2012 and February 2013, respectively. Ocwen also purchases certain origination services from Altisource under an agreement that continues until January 2019, but which is subject to a 90 day termination right by Ocwen.</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loans serviced by Ocwen when Ocwen designates us as the service provider and revenue earned directly from Ocwen. For the years ended December 31, 2017, 2016 and 2015, we generated revenue from Ocwen of $542.0 million, $561.9 million and $631.6 million, respectively. Revenue from Ocwen as a percentage of segment and consolidated revenue was as follows for the years ended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7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Real Estate Market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or the MSR owner selects Altisource as the service provider. For the years ended December 31, 2017, 2016 and 2015, we recognized revenue of $148.5 million, $188.0 million and $216.9 million, respectively, related to the portfolios serviced by Ocwen when a party other than Ocwen or the MSR owner selected Altisource as the service provider. These amounts are not included in deriving revenue from Ocwen as a percentage of revenue in the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accounts receivable from Ocwen totaled $18.9 million, $13.6 million of which was billed and $5.3 million of which was unbilled.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2017, we estimate that NRZ owned certain economic rights in, but not legal title to, approximately 78% of Ocwen’s non-government-sponsored enterprise (“non-GSE”) MSRs (the “Subject MSRs”). In July 2017, Ocwen and NRZ entered into agreements to convert NRZ’s economic rights to the Subject MSRs into fully-owned MSRs in exchange for payments from NRZ to Ocwen when such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real estate owned (“REO”) associated with the Subject MSRs when Ocwen transfers such MSRs to NRZ or when NRZ acquires both an additional economic interest in such MSRs and the right to designate the broker for REO properties in such portfolios. The Brokerage Agreement provides that Altisource is the exclusive provider of brokerage services for REO associated with the Subject MSRs, irrespective of the sub-servicer. NRZ’s brokerage subsidiary will receive a cooperative brokerage commission on the sale of certain REO properties from these portfolios subject to certain exceptions.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and NRZ also entered into a non-binding Letter of Intent (subsequently amended) to enter into a Services Agreement (the “Services LOI”), setting forth the terms pursuant to which Altisource would remain the exclusive service provider of fee-based services for the Subject MSRs through August 2025. The Services LOI was amended to continue through February 28, 2018 (with a further automatic extension through March 31, 2018 provided that the parties continue to negotiate the Services Agreement in good faith).</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between Altisource and NRZ during the term of the Services LOI.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execution of the Services Agreement, we anticipate that revenue from NRZ would increase and revenue from Ocwen would decrease. As Subject MSRs continue to transfer from Ocwen to NRZ, we anticipate that NRZ will become our largest customer. Had all of the Subject MSRs been transferred to NRZ and the Brokerage Agreement and the Services Agreement with NRZ were in place as of January 1, 2017, we estimate that approximately 50% of our 2017 revenue would have been related to NRZ. There can be no assurance that the parties will reach an agreement with respect to the terms of the Services Agreement or that a Services Agreement will be entered into on a timely basis or at all.</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2017, we earned revenue from NRZ of $2.4 million following the transfer of certain of the Subject MSRs from Ocwen to NRZ (the “Transferred MSRs”) (no comparative amounts in 2016 or 2015). For the year ended December 31, 2017, we earned additional revenue of $3.9 million relating to the Transferred MSRs when a party other than NRZ selects Altisource as the service provider (no comparative amounts in 2016 or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TRANSACTIONS WITH RELATED PARTIES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January 16, 2015, William C. Erbey served as our Chairman as well as the Executive Chairman of Ocwen and Chairman of each of Home Loan Servicing Solutions, Ltd. (“HLSS”), RESI and AAMC. Effective January 16, 2015, Mr. Erbey stepped down as the Executive Chairman of Ocwen and Chairman of each of Altisource, HLSS, RESI and AAMC and is no longer a member of the Board of Directors of any of these companies. Consequently, as of January 16, 2015, these companies are no longer related parties of Altisource, as defined by FASB ASC Topic 850,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The disclosures in this note are limited to the periods that each of Ocwen, HLSS, RESI and AAMC were related parties of Altisource and are not reflective of current activities with these former related parties.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period from January 1, 2015 through January 16, 2015, we estimated that we generated revenue from Ocwen of $22.9 million. Services provided to Ocwen during such periods included real estate asset management and sales, residential property valuation, trustee management services, property inspection and preservation services, insurance services, mortgage charge-off collections, IT infrastructure management and software applications.</w:t>
      </w:r>
    </w:p>
    <w:p>
      <w:pPr>
        <w:spacing w:after="0" w:line="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record revenue we earn from Ocwen under the terms of master services agreements and amendments thereto at rates we believe to be comparable market rates as we believe they are consistent with the fees we charge to other customers and/or fees charged by our competitors for comparable services.</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times, we have used Ocwen’s contractors and/or employees to support Altisource related services. Ocwen generally billed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period from January 1, 2015 through January 16, 2015, we estimated that we incurred $1.9 million of expenses related to these items. These amounts are reflected as a component of cost of revenue in the consolidated statements of operations and comprehensive income.</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provided certain other services to Ocwen and Ocwen provided certain other services to us in connection with support services agreements. These services primarily included vendor management, corporate services and facilities related services. Billings for these services were generally based on the fully-allocated cost of providing the service based on an estimate of the time and expense of providing the service or estimates thereof. For the period from January 1, 2015 through January 16, 2015, billings to Ocwen were estimated to be $0.1 million and billings from Ocwen were estimated to be $0.3 million and are reflected as a component of selling, general and administrative expenses in the consolidated statements of operations and comprehensive income.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HLSS, RESI and AAMC</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period from January 1, 2015 through January 16, 2015, our billings to HLSS were immaterial. RESI acquires, owns and manages single-family-rental properties throughout the United States. AAMC is an asset management company that provides portfolio management and corporate governance services to investment vehicles that own real estate related assets. Its initial client is RESI. We have agreements and amendments thereto, which extend through 2027, to provide RESI with renovation management, lease management, property management, REO asset management, title insurance, settlement and valuation services. In addition, we have agreements with RESI and AAMC pursuant to which we may provide services such as finance, human resources, facilities, technology and insurance risk management. Further, we have separate agreements for certain services related to income tax matters, trademark licenses and technology products and services. For the period from January 1, 2015 through January 16, 2015, we estimated that we generated revenue from RESI of $1.0 million under these services agreements. These amounts are reflected in revenue in the consolidated statements of operations and comprehensive income. This excludes revenue from services we provided to RESI’s loans serviced by Ocwen or other loan servicers where we were retained by Ocwen or RESI’s other loan servicers. Other revenue and expenses related to AAMC and RESI for the period from January 1, 2015 through January 16, 2015 were immaterial.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Acquisition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29, 2016, we acquired certain assets and assumed certain liabilities of Granite Loan Management of Delaware, LLC (“Granite”) for $9.5 million in cash. Granite provides residential and commercial loan disbursement processing, risk mitigation and construction inspection services to lenders. The Granite acquisition is not material in relation to the Company’s results of operations or financial position.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2"/>
          </w:tcPr>
          <w:p>
            <w:pPr>
              <w:ind w:left="3840"/>
              <w:spacing w:after="0"/>
              <w:rPr>
                <w:sz w:val="20"/>
                <w:szCs w:val="20"/>
                <w:color w:val="auto"/>
              </w:rPr>
            </w:pPr>
            <w:r>
              <w:rPr>
                <w:rFonts w:ascii="Arial" w:cs="Arial" w:eastAsia="Arial" w:hAnsi="Arial"/>
                <w:sz w:val="18"/>
                <w:szCs w:val="18"/>
                <w:b w:val="1"/>
                <w:bCs w:val="1"/>
                <w:color w:val="auto"/>
              </w:rPr>
              <w:t>ALTISOURCE PORTFOLIO SOLUTIONS S.A.</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9820" w:type="dxa"/>
            <w:vAlign w:val="bottom"/>
            <w:gridSpan w:val="2"/>
          </w:tcPr>
          <w:p>
            <w:pPr>
              <w:ind w:left="3580"/>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9820" w:type="dxa"/>
            <w:vAlign w:val="bottom"/>
            <w:gridSpan w:val="2"/>
          </w:tcPr>
          <w:p>
            <w:pPr>
              <w:spacing w:after="0"/>
              <w:rPr>
                <w:sz w:val="20"/>
                <w:szCs w:val="20"/>
                <w:color w:val="auto"/>
              </w:rPr>
            </w:pPr>
            <w:r>
              <w:rPr>
                <w:rFonts w:ascii="Arial" w:cs="Arial" w:eastAsia="Arial" w:hAnsi="Arial"/>
                <w:sz w:val="18"/>
                <w:szCs w:val="18"/>
                <w:color w:val="auto"/>
              </w:rPr>
              <w:t>The final allocation of the purchase price is as follows: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2"/>
        </w:trPr>
        <w:tc>
          <w:tcPr>
            <w:tcW w:w="9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
        </w:trPr>
        <w:tc>
          <w:tcPr>
            <w:tcW w:w="9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9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Premises and equipment, net</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4,827</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9,797</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64"/>
        </w:trPr>
        <w:tc>
          <w:tcPr>
            <w:tcW w:w="9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6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9,548</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RentRange, Investability and Onit Solutions Acquisitions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October 9, 2015, we acquired GoldenGator, LLC (doing business as RentRange) (“RentRange”), REIsmart, LLC (doing business as Investability) (“Investability”) and Onit Solutions, LLC, a support company for RentRange and Investability (collectively “RentRange and Investability”) for $24.8 million. RentRange is a leading provider of rental home data and information to the financial services and real estate industries, delivering a wide assortment of address and geography level data, analytics and rent-based valuation solutions for single and multi-family properties. Investability is an online residential real estate acquisition platform that utilizes data and analytics to allow real estate investors to access the estimated cash flow, capitalization rate, net yield and market value of properties for sale in the United States. The purchase price was composed of $17.5 million in cash and 247 thousand shares of restricted common stock of the Company with a value of $7.3 million as of the closing date. Upon issuance, the restricted shares were subject to transfer restrictions and potential forfeiture provisions. These restrictions and forfeiture provisions lapse over a four year period, subject to the recipients meeting certain continued employment conditions with the Company and the satisfaction of certain acquisition related escrow release conditions. During 2017, transfer restrictions were removed on 14 thousand shares. In addition, on June 30, 2017, the Company amended the purchase and sale agreement and purchased 170 thousand restricted shares. During 2016, transfer restrictions were removed on 55 thousand shares. Also during 2016, management adjusted the allocation of the purchase price based upon information that subsequently became available relating to acquisition date working capital and the purchase price allocation to intangible assets. The working capital adjustment resulted in an obligation of the sellers to pay the Company $0.2 million. RentRange and Investability are not material in relation to the Company’s results of operations or financial position.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initial and final allocation of the purchase price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Initial purchase price</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Adjustments</w:t>
            </w:r>
          </w:p>
        </w:tc>
        <w:tc>
          <w:tcPr>
            <w:tcW w:w="1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9"/>
              </w:rPr>
              <w:t>Final purchase price</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allocation</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Databases/other</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19,615</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24,929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24,792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CastleLine Acquisition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17, 2015, we acquired CastleLine Holdings, LLC and its subsidiaries (“CastleLine”) for $33.4 million. CastleLine is a specialty risk management and insurance services firm that provides financial products and services to parties involved in the origination, underwriting, purchase and securitization of residential mortgages. The purchase consideration was composed of $12.3 million of cash at closing, $10.5 million of cash payable over four years from the acquisition date and 495 thousand shares of restricted common stock of the Company, that were subject to transfer restrictions, with a value of $14.4 million as of the closing date. During 2016, the restrictions were removed on the 495 thousand shares. Of the cash payable following acquisition, $3.8 million is contingent on certain future employment conditions of certain of the sellers, and therefore excluded from the purchase price. As of December 31, 2017, we have paid $8.9 million of the up to $10.5 million that is payable over four years from the acquisition date and $2.1 million of the $3.8 million purchase consideration that is contingent on future employment. During the second quarter of 2016, management adjusted the allocation of the purchase price based upon information that subsequently became available relating to acquisition date working capital and the purchase price allocation to intangible assets. The CastleLine acquisition is not material in relation to the Company’s results of operations or financial 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initial and final allocation of the purchase price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Initial purchase price</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Adjustments</w:t>
            </w:r>
          </w:p>
        </w:tc>
        <w:tc>
          <w:tcPr>
            <w:tcW w:w="1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9"/>
              </w:rPr>
              <w:t>Final purchase price</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allocation</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Databases/other</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34,280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33,443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AVAILABLE FOR SALE SECURITIES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2016, we purchased 4.1 million shares of RESI common stock for $48.2 million. This investment is classified as available for sale and reflected in the consolidated balance sheets at fair value at the respective balance sheet dates ($49.2 million and $45.8 million as of December 31, 2017 and 2016, respectively). Unrealized gains and losses on available for sale securities are reflected in other comprehensive income, unless there is an impairment that is other than temporary. In the event that a decline in market value is other than temporary, we would record a charge to earnings and a new cost basis in the investment would be established. During the years ended December 31, 2017 and 2016, we earned dividends of $2.5 million and $2.3 million, respectively, related to this investment (no comparative amount in 2015). In addition, during the year ended December 31, 2016, we incurred expenses of $3.4 million related to this investment (no comparative amounts in 2017 and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39,853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98,245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(10,424)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52,740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87,821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consist primarily of certain real estate asset management and sales services for which we generally recognize revenue when the service is provided but collect upon closing of the sale, and default management services, for which we generally recognize revenues over the service delivery period but bill following completion of the service. We also include amounts in unbilled receivables that are earned during a month and billed in the following month.</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Bad debt expense amounted to $5.1 million, $1.8 million and $5.5 million for the years ended December 31, 2017, 2016 and 2015, respectively, and is included in selling, general and administrative expenses in the consolidated statements of operations and comprehensive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 in real estate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current portion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insurance recovery (Note 19)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64,742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PREMISES AND EQUIPMENT, NET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8360" w:type="dxa"/>
            <w:vAlign w:val="bottom"/>
            <w:gridSpan w:val="2"/>
          </w:tcPr>
          <w:p>
            <w:pPr>
              <w:spacing w:after="0"/>
              <w:rPr>
                <w:sz w:val="20"/>
                <w:szCs w:val="20"/>
                <w:color w:val="auto"/>
              </w:rPr>
            </w:pPr>
            <w:r>
              <w:rPr>
                <w:rFonts w:ascii="Arial" w:cs="Arial" w:eastAsia="Arial" w:hAnsi="Arial"/>
                <w:sz w:val="17"/>
                <w:szCs w:val="17"/>
                <w:color w:val="auto"/>
              </w:rPr>
              <w:t>Premises and equipment, net consists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164,877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20,188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33,808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232,870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(129,397)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73,273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103,473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amounted to $36.4 million, $36.8 million and $36.5 million for the years ended December 31, 2017, 2016 and 2015, respectively, and is included in cost of revenue for operating assets and in selling, general and administrative expenses for non-operating assets in the consolidated statements of operations and comprehensive income.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2015, we recognized a $4.1 million premises and equipment impairment loss in our Mortgage Market segment (see Note 24 for additional information regarding our changes in reportable segments effective January 1, 2017), primarily driven by the Company’s projected technology revenue from Ocwen and investment in technologies provided to Ocwen. There were no impairments of premises and equipment for the years ended December 31, 2017 and 2016.</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was recorded in connection with the 2016 acquisition of Granite, the 2015 acquisitions of CastleLine and RentRange and Investability, the 2014 acquisition of certain assets and assumption of certain liabilities of Owners Advantage, LLC (“Owners”), the 2013 acquisition of the Homeward fee-based business, the 2011 acquisitions of Springhouse, LLC and Tracmail and the 2010 acquisition of MPA. Note 5 discusses the 2016 and 2015 acquisitions (there were no acquisitions in 2017). Changes in goodwill during the years ended December 31, 2017 and 2016 are summarized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Mortgage Market</w:t>
            </w: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Real Estate Market</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82,801</w:t>
            </w: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CastleLine purchase price allocation adjustment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w w:val="93"/>
              </w:rPr>
              <w:t xml:space="preserve">RentRange and Investability purchase price allocation adjustment </w:t>
            </w:r>
            <w:r>
              <w:rPr>
                <w:rFonts w:ascii="Arial" w:cs="Arial" w:eastAsia="Arial" w:hAnsi="Arial"/>
                <w:sz w:val="25"/>
                <w:szCs w:val="25"/>
                <w:color w:val="auto"/>
                <w:w w:val="93"/>
                <w:vertAlign w:val="superscript"/>
              </w:rPr>
              <w:t>(2)</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Acquisition of Granite</w:t>
            </w:r>
          </w:p>
        </w:tc>
        <w:tc>
          <w:tcPr>
            <w:tcW w:w="1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4,827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2016 and 2017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73,259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10,056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60" w:hanging="252"/>
        <w:spacing w:after="0" w:line="216" w:lineRule="auto"/>
        <w:tabs>
          <w:tab w:leader="none" w:pos="2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During the second quarter of 2016, goodwill was revised to reflect a purchase accounting measurement period adjustment related to the CastleLine acquisition. See Note 5.</w:t>
      </w:r>
    </w:p>
    <w:p>
      <w:pPr>
        <w:spacing w:after="0" w:line="1" w:lineRule="exact"/>
        <w:rPr>
          <w:rFonts w:ascii="Arial" w:cs="Arial" w:eastAsia="Arial" w:hAnsi="Arial"/>
          <w:sz w:val="25"/>
          <w:szCs w:val="25"/>
          <w:color w:val="auto"/>
          <w:vertAlign w:val="superscript"/>
        </w:rPr>
      </w:pPr>
    </w:p>
    <w:p>
      <w:pPr>
        <w:ind w:left="260" w:hanging="252"/>
        <w:spacing w:after="0" w:line="209" w:lineRule="auto"/>
        <w:tabs>
          <w:tab w:leader="none" w:pos="2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2016, goodwill was revised to reflect a purchase accounting measurement period adjustment related to the RentRange and Investability acquisition. See Note 5.</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our fourth quarter 2015 annual goodwill assessment, we elected to bypass the initial analysis of qualitative factors and perform a quantitative two-step goodwill impairment test of all of our reporting units as a result of the goodwill impairment recorded in 2014. We calculated the fair value of each of our reporting units by using a discounted cash flow analysis and concluded that the technology businesses in the Mortgage Market segment (see Note 24 for additional information regarding our changes in reportable segments effective January 1, 2017) were less than their carrying values. Accordingly, we performed step two of the impairment test for the technology businesses in the Mortgage Market segment and determined that the remaining $55.7 million of goodwill of the technology businesses was impaired. As a result, we recorded a $55.7 million impairment loss in the fourth quarter of 2015. This goodwill impairment was primarily driven by the Company’s projected technology revenue from Ocwen and investment in technologies provided to Ocwen. There were no additional goodwill impairments as of December 31, 2015. Based on our fourth quarter 2017 and 2016 goodwill assessments, we concluded that there were no impairments of goodwill as of December 31, 2017 and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4"/>
                <w:szCs w:val="14"/>
                <w:color w:val="auto"/>
              </w:rPr>
            </w:pPr>
          </w:p>
        </w:tc>
        <w:tc>
          <w:tcPr>
            <w:tcW w:w="2240" w:type="dxa"/>
            <w:vAlign w:val="bottom"/>
            <w:gridSpan w:val="5"/>
          </w:tcPr>
          <w:p>
            <w:pPr>
              <w:ind w:left="140"/>
              <w:spacing w:after="0"/>
              <w:rPr>
                <w:sz w:val="20"/>
                <w:szCs w:val="20"/>
                <w:color w:val="auto"/>
              </w:rPr>
            </w:pPr>
            <w:r>
              <w:rPr>
                <w:rFonts w:ascii="Arial" w:cs="Arial" w:eastAsia="Arial" w:hAnsi="Arial"/>
                <w:sz w:val="14"/>
                <w:szCs w:val="14"/>
                <w:b w:val="1"/>
                <w:bCs w:val="1"/>
                <w:color w:val="auto"/>
              </w:rPr>
              <w:t>Accumulated amortization</w:t>
            </w: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book value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40"/>
              <w:spacing w:after="0" w:line="126" w:lineRule="exact"/>
              <w:rPr>
                <w:sz w:val="20"/>
                <w:szCs w:val="20"/>
                <w:color w:val="auto"/>
              </w:rPr>
            </w:pPr>
            <w:r>
              <w:rPr>
                <w:rFonts w:ascii="Arial" w:cs="Arial" w:eastAsia="Arial" w:hAnsi="Arial"/>
                <w:sz w:val="14"/>
                <w:szCs w:val="14"/>
                <w:b w:val="1"/>
                <w:bCs w:val="1"/>
                <w:color w:val="auto"/>
                <w:w w:val="88"/>
              </w:rPr>
              <w:t>estimated</w:t>
            </w: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8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xml:space="preserve">useful life </w:t>
            </w:r>
            <w:r>
              <w:rPr>
                <w:rFonts w:ascii="Arial" w:cs="Arial" w:eastAsia="Arial" w:hAnsi="Arial"/>
                <w:sz w:val="14"/>
                <w:szCs w:val="14"/>
                <w:b w:val="1"/>
                <w:bCs w:val="1"/>
                <w:i w:val="1"/>
                <w:iCs w:val="1"/>
                <w:color w:val="auto"/>
                <w:w w:val="92"/>
              </w:rPr>
              <w:t>(in</w:t>
            </w: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7"/>
              </w:rPr>
              <w:t>years)</w:t>
            </w: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15,354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Customer related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89,570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120,848</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22,896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333,787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333,787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155,432</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$35.4 million, $47.6 million and $41.1 million for the years ended December 31, 2017, 2016 and 2015,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2018 through 2022 is $26.2 million, $21.8 million, $18.2 million, $11.5 million and $7.3 million, respectively.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2015, we recorded an impairment loss of $11.9 million in our Mortgage Market segment and Other Businesses, Corporate and Eliminations (see Note 24 for additional information regarding our changes in reportable segments effective January 1, 2017), related to customer relationship intangible assets from the 2013 Homeward and ResCap fee-based business acquisitions. These impairments of intangible assets were primarily driven by the Company’s projected technology revenue from Ocwen and investment in technologies provided to Ocwen. There were no impairments of intangible assets for the years ended December 31, 2017 and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10,195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ACCOUNTS PAYABLE, ACCRUED EXPENSES AND OTHER CURRENT LIABILITIES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salaries and benefits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47,614</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 general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26,426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84,400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83,135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 as of December 31:</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LONG-TERM DEBT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479,653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409,281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473,545</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403,336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467,600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17"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717"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subsidiaries are guarantors of the term loan (collectively, the “Guarantors”). We subsequently entered into four amendments to the senior secured term loan agreement to, among other changes, increase the principal amount of the senior secured term loan, re-establish the $200.0 million incremental term loan facility accordion, lower the interest rate, extend the maturity date by approximately one year, increase the maximum amount of Restricted Junior Payments (as defined in the senior secured term loan agreement; other capitalized terms, unless defined herein, are defined in the senior secured term loan agreement) and certain other changes to facilitate an internal restructuring of the Company’s subsidiaries.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 2017, Altisource Solutions S.à r.l. and Altisource Holdings S.à r.l. entered into the fourth amendment to the senior secured term loan (the “Fourth Amendment”) that modifies the senior secured term loan agreement to add Altisource Holdings S.à r.l. (then a guarantor under the senior secured term loan) as a borrower in anticipation of an internal restructuring of Altisource, whereby Altisource Solutions S.à r.l. would merge with and into Altisource Holdings S.à r.l. and Altisource Holdings S.à r.l. would be automatically substituted in all of the rights and obligations of Altisource Solutions S.à r.l. This merger occurred effective December 27, 2017 and Altisource Holdings S.à r.l. (renamed Altisource S.à r.l.) became the sole borrower. The merger is part of a larger subsidiary restructuring plan designed to simplify the Company’s corporate structure, allow it to operate more efficiently and reduce administrative costs. The merger did not result in any changes to the collateral securing the senior secured term loan. The Fourth Amendment also, among other changes, broadens the mechanisms by which Altisource can purchase or otherwise acquire portions of the senior secured term loan by permitting Altisource to purchase portions of its senior secured term loan on a non-pro-rata basis at par or at a discount to par through open market purchases (including through a broker acting on behalf of Altisource) in addition to its existing right to purchase portions of its senior secured term loan through a Dutch auction open to all senior secured term lenders.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must be repaid in equal consecutive quarterly principal installments of $1.5 million,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(the percentage increases if the leverage ratio exceeds 3.50 to 1.00). No mandatory prepayments were owed for the year ended December 31, 2017.</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2017, we repurchased portions of our senior secured term loan with an aggregate par value of $60.1 million at a weighted average discount of 10.7%, recognizing a net gain of $5.6 million on the early extinguishment of debt. During 2016, we repurchased portions of our senior secured term loan with an aggregate par value of $51.0 million at a weighted average discount of 13.2%, recognizing a net gain of $5.5 million on the early extinguishment of debt. During 2015, we repurchased portions of our senior secured term loan with an aggregate par value of $49.0 million at a weighted average discount of 10.3%, recognizing a net gain of $3.8 million on the early extinguishment of debt. These net gains are included in other income (expense), net in the consolidated statements of operations and comprehensive income (see Note 20).</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December 31, 2017 was 5.07%.</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S.à r.l. and the Guarantors, subject to certain exceptions.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secured term loan agreement contains certain events of default including (i) failure to pay principal when due or interest or any other amount owing on any other obligation under the senior secured term loan agreement within five days of becoming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(ii) material incorrectness of representations and warranties when made, (iii) breach of covenants, (iv) failure to pay principal or interest on any other debt that equals or exceeds $40.0 million when due, (v) 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debt issuance costs were $3.2 million, net of $7.1 million of accumulated amortization. At December 31, 2016, debt issuance costs were $4.5 million, net of $5.8 million of accumulated amortization.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senior secured term loan, including amortization of debt issuance costs and the net debt discount, totaled $22.3 million, $24.4 million and $28.2 million for the years ended December 31, 2017,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long-term debt (excluding debt issuance costs, net, and unamortized discount, net) are as follows: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089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401,691</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413,581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14 — OTHER NON-CURRENT LIABILITIES</w:t>
            </w: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as of December 31:</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0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liabilities (Note 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December 31, 2017 and 2016.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2017</w:t>
            </w: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2016</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Fair value</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149,294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149,294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Available for sale securities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Acquisition contingent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consideration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413,581</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407,377</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479,653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474,856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for sale securities are carried at fair value and consist of 4.1 million shares of RESI common stock. Available for sale securities are measured using Level 1 inputs as these securities have quoted prices in active markets.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liabilities for contingent consideration are reflected at fair value and adjusted each reporting period with the change in fair value recognized in earnings. Liabilities for acquisition related contingent consideration were recorded in connection with acquisitions in prior years. We measure the liabilities for acquisition related contingent consideration using Level 3 inputs as they are determined based on the present value of future estimated payments, which include sensitivities pertaining to discount rates and financial projections.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2017, the Company reduced the fair value of the acquisition contingent consideration related to the acquisition of certain assets and assumption of certain liabilities of Mortgage Builder Software, Inc. (“Mortgage Builder”) to $0 as a result of the completion of the final earn-out period in 2017. During 2016, the Company reduced the fair value of the acquisition contingent consideration related to the Mortgage Builder and Owners acquisitions by $1.4 million and $2.2 million, respectively, as a result of changes in the fair value of expected payments.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the largest portion of its revenues from Ocwen (see Note 3 for additional information on Ocwen revenues and accounts receivable balance). The Company mitigates its concentrations of credit risk with respect to accounts receivable by actively monitoring past due accounts and the economic status of larger customers, if known.</w:t>
      </w:r>
    </w:p>
    <w:p>
      <w:pPr>
        <w:spacing w:after="0" w:line="113"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16 — SHAREHOLDERS’ EQUITY AND SHARE-BASED COMPENSATION Common Stock</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we had 100 million shares authorized, 25.4 million shares issued and 17.4 million shares of common stock outstanding. At December 31, 2016, we had 25.4 million shares authorized and issued, and 18.8 million shares of common stock outstanding. The holders of shares of Altisource common stock generally are entitled to one vote for each share on all matters voted on by shareholders, and the holders of such shares generally will possess all voting power.</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9, 2015, we acquired RentRange and Investability for $24.8 million, which included a cash component and the issuance of 247 thousand shares of restricted common stock of the Company with a value of $7.3 million as of the closing date. Upon issuance, the restricted shares were subject to transfer restrictions and potential forfeiture provisions. These restrictions and forfeiture provisions lapse over a four year period, subject to the recipients meeting certain continued employment conditions with the Company and the satisfaction of certain acquisition related escrow release conditions. During 2017, transfer restrictions were removed on 14 thousand shares. In addition, on June 30, 2017, the Company amended the purchase and sale agreement and purchased 170 thousand restricted shares. During 2016, transfer restrictions were removed on 55 thousand shares. On July 17, 2015, we acquired CastleLine for $33.4 million, which included a cash component and the issuance of 495 thousand shares of restricted common stock of the Company with a value of $14.4 million as of the closing date. The restrictions were removed on these 495 thousand shares during 2016. See Note 5 for additional information about these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2009 Equity Incentive Plan (the “Plan”) provides for various types of equity awards, including stock options, stock appreciation rights, stock purchase rights, restricted shares and other awards, or a combination of any of the above. Under the Plan, we may grant up to 6.7 million Altisource share-based awards to officers, directors, employees and to employees of our affiliates. As of December 31, 2017, 1.5 million share-based awards were available for future grant under the Plan. Expired and forfeited awards are available for reissuance.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17, 2017, our shareholders approved the renewal of the share repurchase program previously approved by the shareholders on May 18, 2016, which replaced the previous share repurchase program. We are authorized to purchase up to 4.6 million shares of our common stock, based on a limit of 25% of the outstanding shares of common stock on the date of approval, at a minimum price of $1.00 per share and a maximum price of $500.00 per share, for a period of five years from the date of approval. As of December 31, 2017, approximately 3.4 million shares of common stock remain available for repurchase under the program. We purchased 1.6 million shares of common stock at an average price of $23.84 per share during the year ended December 31, 2017, 1.4 million shares at an average price of $26.81 per share during the year ended December 31, 2016 and 2.1 million shares at an average price of $27.60 per share during the year ended December 31, 2015. Luxembourg law limits share repurchases to the balance of Altisource Portfolio Solutions S.A. (unconsolidated parent company) retained earnings, less the value of shares repurchased. As of December 31, 2017, we can repurchase up to approximately $178 million of our common stock under Luxembourg law. Our senior secured term loan limits the amount we can spend on share repurchases, which was approximately $446 million as of December 31, 2017, and may prevent repurchases in certain circumstances.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and restricted shares for certain employees, officers and directors. We recorded share-based compensation expense of $4.3 million, $6.2 million and $4.8 million for the years ended December 31, 2017, 2016 and 2015, respectively. As of December 31, 2017, estimated unrecognized compensation costs related to share-based awards amounted to $9.0 million, which we expect to recognize over a weighted average remaining requisite service period of approximately 2.18 years.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January 1, 2017 adoption of ASU No. 2016-09 (see Note 2), the Company made an accounting policy election to account for forfeitures in compensation expense as they occur, rather than continuing to apply the Company’s previous policy of estimating forfeitures. Prior to this accounting change, share-based compensation expense for stock options and restricted shares was recorded net of estimated forfeiture rates ranging from 0% to 40%.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vesting and expire on the earlier of ten years after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or following termination of service. A total of 684 thousand service-based awards were outstanding as of December 31, 2017.</w:t>
      </w:r>
    </w:p>
    <w:p>
      <w:pPr>
        <w:spacing w:after="0" w:line="93"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936 thousand market-based awards were outstanding as of December 31, 2017.</w:t>
      </w:r>
    </w:p>
    <w:p>
      <w:pPr>
        <w:spacing w:after="0" w:line="124"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i w:val="1"/>
          <w:iCs w:val="1"/>
          <w:color w:val="auto"/>
        </w:rPr>
        <w:t xml:space="preserve">Performance-Based Options. </w:t>
      </w:r>
      <w:r>
        <w:rPr>
          <w:rFonts w:ascii="Arial" w:cs="Arial" w:eastAsia="Arial" w:hAnsi="Arial"/>
          <w:sz w:val="16"/>
          <w:szCs w:val="16"/>
          <w:color w:val="auto"/>
        </w:rPr>
        <w:t>These option grants generally begin to vest upon the achievement of certain specific financial measures. Generally,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begin vesting if the performance criteria are achieved; one-third vest on each anniversary of the grant date. For certain other financial measures, awards cliff-vest upon the achievement of the specific performance during the period from 2017 through 2021. The award of performance-based options is adjusted based on the level of achievement specified in the award agreements. If the performance criteria achieved is above threshold performance levels, participants have the opportunity to vest in 70% to 150% of the option grants, depending upon performance achieved. If the performance criteria achieved is below a certain threshold, the award is canceled. The options expire on the earlier of ten years after the date of grant or following termination of service. There were 126 thousand performance-based awards outstanding as of December 31, 2017.</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244 thousand stock options (at a weighted average exercise price of $33.28 per share), 145 thousand stock options (at a weighted average exercise price of $29.17 per share) and 854 thousand stock options (at a weighted average exercise price of $24.21 per share) during the years ended December 31, 2017, 2016 and 2015, respectively.</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were determined using the Black-Scholes option pricing model and the fair values of the market-based options were determined using a lattice (binomial) model. The following assumptions were used to determine the fair values as of the grant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2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30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300"/>
              <w:spacing w:after="0"/>
              <w:rPr>
                <w:sz w:val="20"/>
                <w:szCs w:val="20"/>
                <w:color w:val="auto"/>
              </w:rPr>
            </w:pPr>
            <w:r>
              <w:rPr>
                <w:rFonts w:ascii="Arial" w:cs="Arial" w:eastAsia="Arial" w:hAnsi="Arial"/>
                <w:sz w:val="14"/>
                <w:szCs w:val="14"/>
                <w:b w:val="1"/>
                <w:bCs w:val="1"/>
                <w:color w:val="auto"/>
                <w:w w:val="89"/>
              </w:rPr>
              <w:t>2015</w:t>
            </w:r>
          </w:p>
        </w:tc>
      </w:tr>
      <w:tr>
        <w:trPr>
          <w:trHeight w:val="264"/>
        </w:trPr>
        <w:tc>
          <w:tcPr>
            <w:tcW w:w="196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460"/>
              <w:spacing w:after="0"/>
              <w:rPr>
                <w:sz w:val="20"/>
                <w:szCs w:val="20"/>
                <w:color w:val="auto"/>
              </w:rPr>
            </w:pPr>
            <w:r>
              <w:rPr>
                <w:rFonts w:ascii="Arial" w:cs="Arial" w:eastAsia="Arial" w:hAnsi="Arial"/>
                <w:sz w:val="14"/>
                <w:szCs w:val="14"/>
                <w:b w:val="1"/>
                <w:bCs w:val="1"/>
                <w:color w:val="auto"/>
              </w:rPr>
              <w:t>Binomial</w:t>
            </w:r>
          </w:p>
        </w:tc>
        <w:tc>
          <w:tcPr>
            <w:tcW w:w="1380" w:type="dxa"/>
            <w:vAlign w:val="bottom"/>
          </w:tcPr>
          <w:p>
            <w:pPr>
              <w:jc w:val="right"/>
              <w:ind w:right="14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Binomial</w:t>
            </w:r>
          </w:p>
        </w:tc>
        <w:tc>
          <w:tcPr>
            <w:tcW w:w="1380" w:type="dxa"/>
            <w:vAlign w:val="bottom"/>
          </w:tcPr>
          <w:p>
            <w:pPr>
              <w:jc w:val="right"/>
              <w:ind w:right="14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380"/>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1960" w:type="dxa"/>
            <w:vAlign w:val="bottom"/>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Risk-free interest rate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 – 2.29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0.77 – 2.38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 – 1.89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0.23 – 2.23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 – 1.91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0.02 – 2.34</w:t>
            </w: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Expected stock price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1960" w:type="dxa"/>
            <w:vAlign w:val="bottom"/>
          </w:tcPr>
          <w:p>
            <w:pPr>
              <w:ind w:left="200"/>
              <w:spacing w:after="0"/>
              <w:rPr>
                <w:sz w:val="20"/>
                <w:szCs w:val="20"/>
                <w:color w:val="auto"/>
              </w:rPr>
            </w:pPr>
            <w:r>
              <w:rPr>
                <w:rFonts w:ascii="Arial" w:cs="Arial" w:eastAsia="Arial" w:hAnsi="Arial"/>
                <w:sz w:val="16"/>
                <w:szCs w:val="16"/>
                <w:color w:val="auto"/>
              </w:rPr>
              <w:t>volatility (%)</w:t>
            </w:r>
          </w:p>
        </w:tc>
        <w:tc>
          <w:tcPr>
            <w:tcW w:w="1400" w:type="dxa"/>
            <w:vAlign w:val="bottom"/>
          </w:tcPr>
          <w:p>
            <w:pPr>
              <w:jc w:val="right"/>
              <w:spacing w:after="0"/>
              <w:rPr>
                <w:sz w:val="20"/>
                <w:szCs w:val="20"/>
                <w:color w:val="auto"/>
              </w:rPr>
            </w:pPr>
            <w:r>
              <w:rPr>
                <w:rFonts w:ascii="Arial" w:cs="Arial" w:eastAsia="Arial" w:hAnsi="Arial"/>
                <w:sz w:val="16"/>
                <w:szCs w:val="16"/>
                <w:color w:val="auto"/>
              </w:rPr>
              <w:t>61.49 – 71.52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66.68 – 71.52</w:t>
            </w:r>
          </w:p>
        </w:tc>
        <w:tc>
          <w:tcPr>
            <w:tcW w:w="1380" w:type="dxa"/>
            <w:vAlign w:val="bottom"/>
          </w:tcPr>
          <w:p>
            <w:pPr>
              <w:jc w:val="right"/>
              <w:spacing w:after="0"/>
              <w:rPr>
                <w:sz w:val="20"/>
                <w:szCs w:val="20"/>
                <w:color w:val="auto"/>
              </w:rPr>
            </w:pPr>
            <w:r>
              <w:rPr>
                <w:rFonts w:ascii="Arial" w:cs="Arial" w:eastAsia="Arial" w:hAnsi="Arial"/>
                <w:sz w:val="16"/>
                <w:szCs w:val="16"/>
                <w:color w:val="auto"/>
              </w:rPr>
              <w:t>59.75 – 62.14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59.76 – 62.14</w:t>
            </w:r>
          </w:p>
        </w:tc>
        <w:tc>
          <w:tcPr>
            <w:tcW w:w="1380" w:type="dxa"/>
            <w:vAlign w:val="bottom"/>
          </w:tcPr>
          <w:p>
            <w:pPr>
              <w:jc w:val="right"/>
              <w:spacing w:after="0"/>
              <w:rPr>
                <w:sz w:val="20"/>
                <w:szCs w:val="20"/>
                <w:color w:val="auto"/>
              </w:rPr>
            </w:pPr>
            <w:r>
              <w:rPr>
                <w:rFonts w:ascii="Arial" w:cs="Arial" w:eastAsia="Arial" w:hAnsi="Arial"/>
                <w:sz w:val="16"/>
                <w:szCs w:val="16"/>
                <w:color w:val="auto"/>
              </w:rPr>
              <w:t>55.06 – 59.73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55.06 – 59.73</w:t>
            </w:r>
          </w:p>
        </w:tc>
      </w:tr>
      <w:tr>
        <w:trPr>
          <w:trHeight w:val="33"/>
        </w:trPr>
        <w:tc>
          <w:tcPr>
            <w:tcW w:w="1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Expected option life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1960" w:type="dxa"/>
            <w:vAlign w:val="bottom"/>
          </w:tcPr>
          <w:p>
            <w:pPr>
              <w:ind w:left="200"/>
              <w:spacing w:after="0"/>
              <w:rPr>
                <w:sz w:val="20"/>
                <w:szCs w:val="20"/>
                <w:color w:val="auto"/>
              </w:rPr>
            </w:pPr>
            <w:r>
              <w:rPr>
                <w:rFonts w:ascii="Arial" w:cs="Arial" w:eastAsia="Arial" w:hAnsi="Arial"/>
                <w:sz w:val="16"/>
                <w:szCs w:val="16"/>
                <w:color w:val="auto"/>
              </w:rPr>
              <w:t>(in years)</w:t>
            </w:r>
          </w:p>
        </w:tc>
        <w:tc>
          <w:tcPr>
            <w:tcW w:w="1400" w:type="dxa"/>
            <w:vAlign w:val="bottom"/>
          </w:tcPr>
          <w:p>
            <w:pPr>
              <w:jc w:val="right"/>
              <w:spacing w:after="0"/>
              <w:rPr>
                <w:sz w:val="20"/>
                <w:szCs w:val="20"/>
                <w:color w:val="auto"/>
              </w:rPr>
            </w:pPr>
            <w:r>
              <w:rPr>
                <w:rFonts w:ascii="Arial" w:cs="Arial" w:eastAsia="Arial" w:hAnsi="Arial"/>
                <w:sz w:val="16"/>
                <w:szCs w:val="16"/>
                <w:color w:val="auto"/>
              </w:rPr>
              <w:t>6.00 – 7.50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2.55 – 4.82</w:t>
            </w:r>
          </w:p>
        </w:tc>
        <w:tc>
          <w:tcPr>
            <w:tcW w:w="1380" w:type="dxa"/>
            <w:vAlign w:val="bottom"/>
          </w:tcPr>
          <w:p>
            <w:pPr>
              <w:jc w:val="right"/>
              <w:spacing w:after="0"/>
              <w:rPr>
                <w:sz w:val="20"/>
                <w:szCs w:val="20"/>
                <w:color w:val="auto"/>
              </w:rPr>
            </w:pPr>
            <w:r>
              <w:rPr>
                <w:rFonts w:ascii="Arial" w:cs="Arial" w:eastAsia="Arial" w:hAnsi="Arial"/>
                <w:sz w:val="16"/>
                <w:szCs w:val="16"/>
                <w:color w:val="auto"/>
              </w:rPr>
              <w:t>6.00 – 6.25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4.06 – 4.88</w:t>
            </w:r>
          </w:p>
        </w:tc>
        <w:tc>
          <w:tcPr>
            <w:tcW w:w="1380" w:type="dxa"/>
            <w:vAlign w:val="bottom"/>
          </w:tcPr>
          <w:p>
            <w:pPr>
              <w:jc w:val="right"/>
              <w:spacing w:after="0"/>
              <w:rPr>
                <w:sz w:val="20"/>
                <w:szCs w:val="20"/>
                <w:color w:val="auto"/>
              </w:rPr>
            </w:pPr>
            <w:r>
              <w:rPr>
                <w:rFonts w:ascii="Arial" w:cs="Arial" w:eastAsia="Arial" w:hAnsi="Arial"/>
                <w:sz w:val="16"/>
                <w:szCs w:val="16"/>
                <w:color w:val="auto"/>
              </w:rPr>
              <w:t>6.00 – 6.25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4.08 – 4.92</w:t>
            </w:r>
          </w:p>
        </w:tc>
      </w:tr>
      <w:tr>
        <w:trPr>
          <w:trHeight w:val="33"/>
        </w:trPr>
        <w:tc>
          <w:tcPr>
            <w:tcW w:w="1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 – $24.80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$11.94 – $24.30</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 – $18.60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$11.06 – $19.27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 – $17.66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$9.91 – $18.05</w:t>
            </w:r>
          </w:p>
        </w:tc>
      </w:tr>
      <w:tr>
        <w:trPr>
          <w:trHeight w:val="33"/>
        </w:trPr>
        <w:tc>
          <w:tcPr>
            <w:tcW w:w="19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32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stock options granted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18,209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1,998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1,616</w:t>
            </w:r>
          </w:p>
        </w:tc>
      </w:tr>
      <w:tr>
        <w:trPr>
          <w:trHeight w:val="27"/>
        </w:trPr>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w w:val="99"/>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1,996,509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243,930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(271,473)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1,745,906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December 31, 2017</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1,140,333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500" w:type="dxa"/>
            <w:vAlign w:val="bottom"/>
          </w:tcPr>
          <w:p>
            <w:pPr>
              <w:jc w:val="right"/>
              <w:ind w:right="77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 outstanding</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 exercisable</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Exercise price range </w:t>
            </w:r>
            <w:r>
              <w:rPr>
                <w:rFonts w:ascii="Arial" w:cs="Arial" w:eastAsia="Arial" w:hAnsi="Arial"/>
                <w:sz w:val="8"/>
                <w:szCs w:val="8"/>
                <w:b w:val="1"/>
                <w:bCs w:val="1"/>
                <w:color w:val="auto"/>
              </w:rPr>
              <w:t>(1)</w:t>
            </w:r>
          </w:p>
        </w:tc>
        <w:tc>
          <w:tcPr>
            <w:tcW w:w="13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life (in</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life (in</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gridSpan w:val="3"/>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70"/>
        </w:trPr>
        <w:tc>
          <w:tcPr>
            <w:tcW w:w="560" w:type="dxa"/>
            <w:vAlign w:val="bottom"/>
            <w:tcBorders>
              <w:top w:val="single" w:sz="8" w:color="auto"/>
            </w:tcBorders>
          </w:tcPr>
          <w:p>
            <w:pPr>
              <w:spacing w:after="0"/>
              <w:rPr>
                <w:sz w:val="23"/>
                <w:szCs w:val="23"/>
                <w:color w:val="auto"/>
              </w:rPr>
            </w:pPr>
          </w:p>
        </w:tc>
        <w:tc>
          <w:tcPr>
            <w:tcW w:w="1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Up to $10.00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286,252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286,252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$10.01 — $20.00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246,479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163,424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7"/>
        </w:trPr>
        <w:tc>
          <w:tcPr>
            <w:tcW w:w="2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$20.01 — $30.00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813,730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559,576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$30.01 — $40.00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224,695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53,924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$60.01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$70.00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51,375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$70.01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$80.00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4,688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$80.01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$90.00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85.43</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$90.01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$100.00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46,875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95.64</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11,250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7"/>
        </w:trPr>
        <w:tc>
          <w:tcPr>
            <w:tcW w:w="2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$100.01 — $110.00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105.11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64"/>
        </w:trPr>
        <w:tc>
          <w:tcPr>
            <w:tcW w:w="5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1,745,906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1,140,333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w:t>
      </w:r>
    </w:p>
    <w:p>
      <w:pPr>
        <w:ind w:left="260" w:hanging="252"/>
        <w:spacing w:after="0" w:line="233" w:lineRule="auto"/>
        <w:tabs>
          <w:tab w:leader="none" w:pos="2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These options contain market-based components as described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 prices necessary in order for the market-based options to begin to vest: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Market-based options</w:t>
            </w:r>
          </w:p>
        </w:tc>
        <w:tc>
          <w:tcPr>
            <w:tcW w:w="0" w:type="dxa"/>
            <w:vAlign w:val="bottom"/>
          </w:tcPr>
          <w:p>
            <w:pPr>
              <w:spacing w:after="0"/>
              <w:rPr>
                <w:sz w:val="1"/>
                <w:szCs w:val="1"/>
                <w:color w:val="auto"/>
              </w:rPr>
            </w:pPr>
          </w:p>
        </w:tc>
      </w:tr>
      <w:tr>
        <w:trPr>
          <w:trHeight w:val="152"/>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Vesting price</w:t>
            </w:r>
          </w:p>
        </w:tc>
        <w:tc>
          <w:tcPr>
            <w:tcW w:w="1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Ordinary performance</w:t>
            </w:r>
          </w:p>
        </w:tc>
        <w:tc>
          <w:tcPr>
            <w:tcW w:w="240" w:type="dxa"/>
            <w:vAlign w:val="bottom"/>
          </w:tcPr>
          <w:p>
            <w:pPr>
              <w:spacing w:after="0"/>
              <w:rPr>
                <w:sz w:val="13"/>
                <w:szCs w:val="13"/>
                <w:color w:val="auto"/>
              </w:rPr>
            </w:pPr>
          </w:p>
        </w:tc>
        <w:tc>
          <w:tcPr>
            <w:tcW w:w="136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Extraordinary</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12"/>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70"/>
        </w:trPr>
        <w:tc>
          <w:tcPr>
            <w:tcW w:w="8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$40.01 — $50.00</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$50.01 — $60.00</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$60.01 — $70.00</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$70.01 — $80.00</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$80.01 — $90.00</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30,963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$90.01 — $100.00</w:t>
            </w: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$110.01 — $120.00</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$140.01 — $150.00</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$170.01 — $180.00</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$180.01 — $190.00</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19,625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 $190.00</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155,023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111,599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 price</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through August 29, 2016, Equity Appreciation Rights (“EAR”). The restricted shares are composed of a combination of service-based awards and performance-based awards.</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one to four years with either annual cliff-vesting, vesting of all of the restricted shares at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vesting period or vesting beginning after two years of service. A total of 315 thousand service-based awards were outstanding as of December 31, 2017.</w:t>
      </w:r>
    </w:p>
    <w:p>
      <w:pPr>
        <w:spacing w:after="0" w:line="12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These awards generally begin to vest upon the achievement of certain specific financial measures. Generally, the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begin vesting if the performance criteria are achieved; one-third vest on each anniversary of the grant date. The award of performance-based restricted shares is adjusted based on the level of achievement specified in the award agreements. If the performance criteria achieved is above threshold performance levels, participants have the opportunity to vest in 80% to 150% of the restricted share award, depending on performance achieved. If the performance criteria achieved</w:t>
      </w:r>
    </w:p>
    <w:p>
      <w:pPr>
        <w:sectPr>
          <w:pgSz w:w="11900" w:h="16838" w:orient="portrait"/>
          <w:cols w:equalWidth="0" w:num="1">
            <w:col w:w="11420"/>
          </w:cols>
          <w:pgMar w:left="240" w:top="125" w:right="239" w:bottom="879"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879"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ind w:right="620" w:firstLine="324"/>
        <w:spacing w:after="0" w:line="435" w:lineRule="auto"/>
        <w:rPr>
          <w:sz w:val="20"/>
          <w:szCs w:val="20"/>
          <w:color w:val="auto"/>
        </w:rPr>
      </w:pPr>
      <w:r>
        <w:rPr>
          <w:rFonts w:ascii="Arial" w:cs="Arial" w:eastAsia="Arial" w:hAnsi="Arial"/>
          <w:sz w:val="18"/>
          <w:szCs w:val="18"/>
          <w:color w:val="auto"/>
        </w:rPr>
        <w:t>is below a certain threshold, the award is canceled. A total of 42 thousand performance-based awards were outstanding as of December 31, 2017. The Company granted 246 thousand restricted shares (at a weighted average price of $29.93 per share) during the year ended December 31, 2017. The following table summarizes the activity related to our restricted shares:</w:t>
      </w:r>
    </w:p>
    <w:tbl>
      <w:tblPr>
        <w:tblLayout w:type="fixed"/>
        <w:tblInd w:w="0" w:type="dxa"/>
        <w:tblCellMar>
          <w:top w:w="0" w:type="dxa"/>
          <w:left w:w="0" w:type="dxa"/>
          <w:bottom w:w="0" w:type="dxa"/>
          <w:right w:w="0" w:type="dxa"/>
        </w:tblCellMar>
      </w:tblPr>
      <w:tr>
        <w:trPr>
          <w:trHeight w:val="149"/>
        </w:trPr>
        <w:tc>
          <w:tcPr>
            <w:tcW w:w="9720" w:type="dxa"/>
            <w:vAlign w:val="bottom"/>
          </w:tcPr>
          <w:p>
            <w:pPr>
              <w:spacing w:after="0"/>
              <w:rPr>
                <w:sz w:val="12"/>
                <w:szCs w:val="12"/>
                <w:color w:val="auto"/>
              </w:rPr>
            </w:pPr>
          </w:p>
        </w:tc>
        <w:tc>
          <w:tcPr>
            <w:tcW w:w="170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Number of restricted</w:t>
            </w:r>
          </w:p>
        </w:tc>
        <w:tc>
          <w:tcPr>
            <w:tcW w:w="0" w:type="dxa"/>
            <w:vAlign w:val="bottom"/>
          </w:tcPr>
          <w:p>
            <w:pPr>
              <w:spacing w:after="0"/>
              <w:rPr>
                <w:sz w:val="1"/>
                <w:szCs w:val="1"/>
                <w:color w:val="auto"/>
              </w:rPr>
            </w:pPr>
          </w:p>
        </w:tc>
      </w:t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70"/>
        </w:trPr>
        <w:tc>
          <w:tcPr>
            <w:tcW w:w="9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231,730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245,655</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(55,385)</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700" w:type="dxa"/>
            <w:vAlign w:val="bottom"/>
          </w:tcPr>
          <w:p>
            <w:pPr>
              <w:jc w:val="right"/>
              <w:spacing w:after="0"/>
              <w:rPr>
                <w:sz w:val="20"/>
                <w:szCs w:val="20"/>
                <w:color w:val="auto"/>
              </w:rPr>
            </w:pPr>
            <w:r>
              <w:rPr>
                <w:rFonts w:ascii="Arial" w:cs="Arial" w:eastAsia="Arial" w:hAnsi="Arial"/>
                <w:sz w:val="18"/>
                <w:szCs w:val="18"/>
                <w:color w:val="auto"/>
              </w:rPr>
              <w:t>(65,491)</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7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356,509</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8"/>
                <w:szCs w:val="18"/>
                <w:color w:val="auto"/>
              </w:rPr>
              <w:t>Effective August 29, 2016, the EAR plans were terminated.</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7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720" w:type="dxa"/>
            <w:vAlign w:val="bottom"/>
          </w:tcPr>
          <w:p>
            <w:pPr>
              <w:spacing w:after="0"/>
              <w:rPr>
                <w:sz w:val="20"/>
                <w:szCs w:val="20"/>
                <w:color w:val="auto"/>
              </w:rPr>
            </w:pPr>
            <w:r>
              <w:rPr>
                <w:rFonts w:ascii="Arial" w:cs="Arial" w:eastAsia="Arial" w:hAnsi="Arial"/>
                <w:sz w:val="18"/>
                <w:szCs w:val="18"/>
                <w:b w:val="1"/>
                <w:bCs w:val="1"/>
                <w:color w:val="auto"/>
              </w:rPr>
              <w:t>NOTE 17 — REVENUE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includes service revenue,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 (see Note 2). The components of revenue were as follows for the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899,561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940,920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39,912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52,011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107,344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3,202</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942,213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997,303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1,051,466</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COST OF REVENUE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 for the years ended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264,796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261,839</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325,459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301,116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248,278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52,011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107,344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43,177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26,689</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699,865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690,045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687,327</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SELLING, GENERAL AND ADMINISTRATIVE EXPENSES AND OTHER OPERATING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 The components of selling, general and administrative expenses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54,897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23,284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23,183</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39,917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47,576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41,135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9,781</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16,171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27,499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24,456</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192,642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214,155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220,868</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On January 19, 2017, the parties notified the Court of their agreement to settle the action to resolve all claims related to this matter for a payment by the Company of $32.0 million, $4.0 million of which was funded by insurance proceeds. The net expense of $28.0 million was recorded as a litigation settlement loss, net in other operating expenses for the year ended December 31, 2017.</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paid the former owners of Equator, LLC (“Equator”) $0.5 million to extinguish any liability for the Equator acquisition earn-out. In connection with this settlement, we reduced the liability for the Equator earn-out to $0 and recognized a $7.6 million gain in other operating expenses for the year ended December 31,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OTHER INCOME (EXPENSE),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early extinguishment of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3,836</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Expenses related to the purchase of available for sale securities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HLSS equity securities and dividends received,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133</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2,191</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March 2015, we purchased 1.6 million shares of HLSS common stock in the open market for $30.0 million. This investment was classified as available for sale. On April 6, 2015, HLSS completed the sale of substantially all of its assets to NRZ and adopted a plan of complete liquidation and dissolution. During April 2015, we received liquidating dividends and other dividends from HLSS totaling $20.4 million and we sold all of our 1.6 million shares of HLSS common stock in the open market for $7.7 million. As a result of these transactions, we recognized a net loss of $1.9 million for the year ended December 31, 2015 in connection with our investment in HLSS (no comparative amounts in 2017 and 2016).</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non-controlling interests consist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 Luxembourg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27,884</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Foreign - U.S.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16,655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 Non-U.S.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19,232</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35,375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44,321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The income tax provision consists of the following for the years ended December 31:</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1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Domestic - Luxembourg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
        </w:trPr>
        <w:tc>
          <w:tcPr>
            <w:tcW w:w="7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U.S. Federal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U.S. State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7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Non-U.S.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Domestic - Luxembourg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U.S. Federal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7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U.S. 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Non-U.S.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(297,336)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67"/>
        </w:trPr>
        <w:tc>
          <w:tcPr>
            <w:tcW w:w="7100" w:type="dxa"/>
            <w:vAlign w:val="bottom"/>
            <w:tcBorders>
              <w:bottom w:val="single" w:sz="8" w:color="CCEEFF"/>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(276,256)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2010, the Company received a tax ruling regarding the treatment of certain intangibles that existed for determining the Company’s taxable income, which was scheduled to expire in 2019 unless extended, renewed or terminated by the Company. 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 net operating loss (“NOL”) of $1.3 billion and a deferred tax asset of $342.6 million as of December 31, 2017, before a valuation allowance (see below). The NOL has a 17 year life. This deferred tax asset was partially offset by the impact of other changes in U.S. and Luxembourg income tax rates of $6.3 million and an increase in certain foreign income tax reserves (and related interest) of $10.5 million. The Company’s June 2010 tax ruling was terminated in connection with the merger of the Company’s Luxembourg subsidiaries.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computed by applying the Luxembourg statutory rate differs from income tax computed at the effective tax rate primarily from changes in the mix of taxable income across the jurisdictions in which the Company operates, remeasurement of deferred taxes related to tax rate changes, recognition of net operating losses created by the merger, an increase in unrecognized tax benefits and a valuation allowance against deferred tax assets the Company believes it is more likely than not will not be realized.</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under tax holidays in certain geographies in India, the Philippines and Uruguay. The India tax holidays are effective through 2020, and may be extended if certain additional requirements are satisfied. The Philippines tax holiday has been extended through June 2019. We operate in a Uruguay free trade zone that provides an indefinite future tax benefit. The tax holidays are conditional upon our meeting certain employment and investment thresholds. The impact of these tax holidays decreased foreign taxes by $0.9 million ($0.05 per diluted share), $0.9 million ($0.04 per diluted share) and $0.8 million ($0.04 per diluted share) for the years ended December 31, 2017, 2016 and 2015, respectively.</w:t>
      </w:r>
    </w:p>
    <w:p>
      <w:pPr>
        <w:sectPr>
          <w:pgSz w:w="11900" w:h="16838" w:orient="portrait"/>
          <w:cols w:equalWidth="0" w:num="1">
            <w:col w:w="11420"/>
          </w:cols>
          <w:pgMar w:left="240" w:top="125"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349,154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5,891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federal and state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non-U.S. deferred tax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11,527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non-U.S. deferred tax liability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349,990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10,759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Non-current deferred tax assets,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303,707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7,292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valuation allowance is provided when it is deemed more likely than not that some portion or all of a deferred tax asset will not be realized. In determining whether a valuation allowance is needed, the Company considered estimates of future taxable income, future reversals of temporary differences, the tax character of gains and losses and the impact of tax planning strategies that can be implemented, if warranted. The net increase in valuation allowance of $42.8 million during 2017 is primarily related to the portion of the Luxembourg NOL that we project will not be utilized prior to expiration.</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recognized Luxembourg deferred taxes on cumulative earnings of non-Luxembourg affiliates as we have chosen to indefinitely reinvest these earnings. The earnings reinvested as of December 31, 2017 were approximately $74.2 million, which if distributed would result in additional tax due totaling approximately $13.5 million.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had a deferred tax asset of $349.2 million as of December 31, 2017 relating to Luxembourg, U.S. federal, state and foreign net operating losses compared to $5.9 million as of December 31, 2016. Of this amount, a valuation allowance totaling $1.7 million as of December 31, 2017 related to state net operating losses subject to a valuation allowance compared to $1.4 million as of December 31, 2016, and $44.4 million as of December 31, 2017 related to Luxembourg net operating losses have been established compared to $2.2 million as of December 31, 2016. The gross amount of net operating losses available for carryover to future years is approximately $1,339.6 million as of December 31, 2017 compared to approximately $17.3 million as of December 31, 2016. These losses are scheduled to expire between the years 2023 and 2037. Of this amount, $8.9 million as of December 31, 2017 compared to $10.1 million as of December 31, 2016 relates to Nationwide Credit, Inc. (“NCI”) for periods prior to our acquisition of NCI and is subject to Section 382 of the Internal Revenue Code which limits their use to approximately $1.3 million per year.</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Jobs Act was enacted, which reforms corporate tax legislation in the United States and related laws. One of the provisions of the new tax law reduces the U.S. federal corporate tax rate from 35% to 21%. The Company remeasured certain deferred tax assets and liabilities based on the rates at which they are expected to reverse in the future, which is generally 21%. The provisional amount recorded related to the remeasurement of our deferred tax balance was $2.9 million. However, the Company is still analyzing certain aspects of the Jobs Act and refining its calculations, which could potentially affect the measurement of these balances or potentially result in new deferred tax amounts. Any change in the Company’s reasonable estimates of the impact of the Jobs Act will be included in the reporting period in which the change is identified in accordance with SAB Topic 5 EE.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had a deferred tax asset of $0.4 million and $0.3 million as of December 31, 2017 and 2016, respectively, relating to the U.S. federal and state tax credits. The U.S. federal credit carryforward is scheduled to expire between 2032 and 2037. The state tax credit carryforwards are scheduled to expire between 2017 and 2027.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Luxembourg statutory tax rate to our effective tax rate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70"/>
        </w:trPr>
        <w:tc>
          <w:tcPr>
            <w:tcW w:w="68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29.22 %</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Permanent difference related to Luxembourg intangible assets</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(13.56)</w:t>
            </w:r>
          </w:p>
        </w:tc>
      </w:tr>
      <w:tr>
        <w:trPr>
          <w:trHeight w:val="27"/>
        </w:trPr>
        <w:tc>
          <w:tcPr>
            <w:tcW w:w="6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119.20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0.83</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State tax expense</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0.29</w:t>
            </w:r>
          </w:p>
        </w:tc>
      </w:tr>
      <w:tr>
        <w:trPr>
          <w:trHeight w:val="27"/>
        </w:trPr>
        <w:tc>
          <w:tcPr>
            <w:tcW w:w="6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(2.34)</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Uncertain taxes</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1.39</w:t>
            </w:r>
          </w:p>
        </w:tc>
      </w:tr>
      <w:tr>
        <w:trPr>
          <w:trHeight w:val="27"/>
        </w:trPr>
        <w:tc>
          <w:tcPr>
            <w:tcW w:w="6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loss</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(1,008.20)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Income tax rate change</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(0.26)</w:t>
            </w:r>
          </w:p>
        </w:tc>
      </w:tr>
      <w:tr>
        <w:trPr>
          <w:trHeight w:val="264"/>
        </w:trPr>
        <w:tc>
          <w:tcPr>
            <w:tcW w:w="684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r>
      <w:tr>
        <w:trPr>
          <w:trHeight w:val="26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15.57 %</w:t>
            </w:r>
          </w:p>
        </w:tc>
      </w:tr>
      <w:tr>
        <w:trPr>
          <w:trHeight w:val="20"/>
        </w:trPr>
        <w:tc>
          <w:tcPr>
            <w:tcW w:w="6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follows ASC Topic 740 which clarifies the accounting and disclosure for uncertainty in tax positions. We analyzed our tax filing positions in all of the domestic and foreign tax jurisdictions where we are required to file income tax returns as well as for all open tax years and subject to audit in these jurisdictions. The Company has open tax years in the United States (2014 through 2016), India (2011 through 2017) and Luxembourg (2012 through 2015).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unrecognized tax benefits during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 of unrecognized tax benefits as of the beginning of the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Decreases as a result of tax positions taken in a prior period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as a result of tax positions taken in a prior period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Increases as a result of tax positions taken in the current period</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Amount of unrecognized tax benefits as of the end of the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including interest and penalties that, if recognized, would affect the effective tax rate is $11.5 million and $0.6 million as of December 31, 2017 and 2016, respectively. The Company recognizes interest, if any, related to unrecognized tax benefits as a component of income tax expense. As of December 31, 2017 and 2016, the Company had recorded accrued interest and penalties related to unrecognized tax benefits of $2.6 million and less than $0.1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 EPS reflects the assumed conversion of all dilutive securities using the treasury stock method.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308,891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28,693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41,598</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19,504</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1,115</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304"/>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18,692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20,619</w:t>
            </w:r>
          </w:p>
        </w:tc>
      </w:tr>
      <w:tr>
        <w:trPr>
          <w:trHeight w:val="257"/>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2.02</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years ended December 31, 2017, 2016 and 2015, 0.5 million options, 0.4 million options and 0.6 million options, respectively, that were anti-dilutive have been excluded from the computation of diluted EPS. These options were anti-dilutive and excluded from the computation of diluted EPS because their exercise price was greater than the average market price of our common stock. Also excluded from the computation of diluted EPS are 0.4 million options and restricted shares, 0.4 million options and 0.3 million options for the years ended December 31, 2017, 2016 and 2015, respectively, which begin to vest upon the achievement of certain market criteria related to our common stock price, performance criteria and an annualized rate of return to shareholders that have not yet been met.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disclosed, Altisource received a Notice and Opportunity to Respond and Advise (“NORA”) letter on November 10, 2016 from the Consumer Financial Protection Bureau (“CFPB”) indicating that the CFPB is considering a potential enforcement action against Altisource relating to an alleged violation of federal law focused on REALServicing and certain other technology services provided to Ocwen, including claims related to the features, functioning and support of such technology. The NORA process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 we believe it is premature to predict the potential outcome or to estimate any potential financial impact in connection with any potential CFPB enforcement action.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3, during the year ended December 31, 2017, Ocwen was our largest customer, accounting for 58% of our total revenue. Additionally, 16% of our revenue for the year ended December 31, 2017 was earned on the portfolios serviced by Ocwen, when a party other than Ocwen or the MSR owner selected Altisource as the service provider.</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2017, we estimate that NRZ owned certain economic rights in, but not legal title to, approximately 78% of the Subject MSRs. In July 2017, Ocwen and NRZ entered into agreements to convert NRZ’s economic rights to the Subject MSRs into fully-owned MSRs in exchange for payments from NRZ to Ocwen when such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28, 2017, Altisource, through its licensed subsidiaries, entered into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MSRs and the right to designate the broker for REO properties in such portfolios. The Brokerage Agreement provides that Altisource is the exclusive provider of brokerage services for REO associated with the Subject MSRs, irrespective of the sub-servicer. NRZ’s brokerage subsidiary will receive a cooperative brokerage commission on the sale of certain REO properties from these portfolios subject to certain exceptions.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and NRZ also entered into the Services LOI to enter into a Services Agreement, setting forth the terms pursuant to which Altisource would remain the exclusive service provider of fee-based services for the Subject MSRs through August 2025. The Services LOI was amended to continue through February 28, 2018 (with a further automatic extension through March 31, 2018 provided that the parties continue to negotiate the Services Agreement in good faith).</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between Altisource and NRZ during the term of the Services LOI.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execution of the Services Agreement, we anticipate that revenue from NRZ would increase and revenue from Ocwen would decrease. As Subject MSRs continue to transfer from Ocwen to NRZ, we anticipate that NRZ will become our largest customer. Had all of the Subject MSRs been transferred to NRZ and the Brokerage Agreement and Services Agreement with NRZ were in place as of January 1, 2017, we estimate that approximately 50% of our 2017 revenue would have been related to NRZ. There can be no assurance that the parties will reach an agreement with respect to the terms of the Services Agreement or that a Services Agreement will be entered into on a timely basis or at all.</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 2017, Ocwen disclosed that on April 20, 2017, the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may have significant adverse effects on Ocwen’s business and/or our continuing relationship with Ocwen. For example, Ocwen may be required to alter the way it conducts business, including the parties it contracts with for services (including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560" w:hanging="322"/>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ind w:left="560" w:hanging="322"/>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560" w:hanging="322"/>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560" w:hanging="322"/>
        <w:spacing w:after="0" w:line="261"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has notified us, disclosed in its filings and stated in connection with resolving several state administrative actions discussed above, that it plans to transition from REALServicing to another mortgage servicing software platform. We anticipate that such a transition could be a multi-year project and Altisource would support Ocwen through such a transition. We do not anticipate that a servicing technology transition would impact the other services we provide to Ocwen. For the years ended December 31, 2017, 2016 and 2015, service revenue from REALServicing was $26.4 million, $29.8 million and $50.3 million, respectively. We estimate, with respect to income before income tax, that the REALServicing business currently operates at approximately break-even.</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the outcome of these matters or the amount of any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portfolio.</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our Servicer Solutions, Origination Solutions, Consumer Real Estate Solutions and Real Estate Investor Solutions businesses are focused on diversifying and growing our revenue and customer base and we have a sales and marketing strategy to support these businesses.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lease certain premises and equipment under various operating lease agreements. Future minimum lease payments at December 31, 2017 under non-cancelable operating leases with an original term exceeding one year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4"/>
                <w:szCs w:val="14"/>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Operating lease</w:t>
            </w:r>
          </w:p>
        </w:tc>
        <w:tc>
          <w:tcPr>
            <w:tcW w:w="0" w:type="dxa"/>
            <w:vAlign w:val="bottom"/>
          </w:tcPr>
          <w:p>
            <w:pPr>
              <w:spacing w:after="0"/>
              <w:rPr>
                <w:sz w:val="1"/>
                <w:szCs w:val="1"/>
                <w:color w:val="auto"/>
              </w:rPr>
            </w:pPr>
          </w:p>
        </w:tc>
      </w:tr>
      <w:tr>
        <w:trPr>
          <w:trHeight w:val="192"/>
        </w:trPr>
        <w:tc>
          <w:tcPr>
            <w:tcW w:w="9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70"/>
        </w:trPr>
        <w:tc>
          <w:tcPr>
            <w:tcW w:w="9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19,833</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14,012</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10,222</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53,790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lease expense, net of sublease income, was $19.0 million, $17.6 million and $20.0 million for the years ended December 31, 2017, 2016 and 2015, respectively. Sublease income was $1.3 million, $0.5 million and less than $0.1 million for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years ended December 31, 2017, 2016 and 2015, respectively. The minimum lease payments in the table above have not been reduced by minimum sublease rentals of totaling $2.9 million expected to be received under non-cancelable subleases. The operating leases generally relate to office locations and reflect customary lease terms which range from 0 to 9 years in duration.</w:t>
      </w:r>
    </w:p>
    <w:p>
      <w:pPr>
        <w:spacing w:after="0" w:line="127" w:lineRule="exact"/>
        <w:rPr>
          <w:sz w:val="20"/>
          <w:szCs w:val="20"/>
          <w:color w:val="auto"/>
        </w:rPr>
      </w:pPr>
    </w:p>
    <w:p>
      <w:pPr>
        <w:ind w:right="1260"/>
        <w:spacing w:after="0" w:line="438" w:lineRule="auto"/>
        <w:rPr>
          <w:sz w:val="20"/>
          <w:szCs w:val="20"/>
          <w:color w:val="auto"/>
        </w:rPr>
      </w:pPr>
      <w:r>
        <w:rPr>
          <w:rFonts w:ascii="Arial" w:cs="Arial" w:eastAsia="Arial" w:hAnsi="Arial"/>
          <w:sz w:val="18"/>
          <w:szCs w:val="18"/>
          <w:color w:val="auto"/>
        </w:rPr>
        <w:t xml:space="preserve">We have executed four standby letters of credit totaling $1.5 million, related to four office leases that are secured by restricted cash balances. </w:t>
      </w:r>
      <w:r>
        <w:rPr>
          <w:rFonts w:ascii="Arial" w:cs="Arial" w:eastAsia="Arial" w:hAnsi="Arial"/>
          <w:sz w:val="18"/>
          <w:szCs w:val="18"/>
          <w:b w:val="1"/>
          <w:bCs w:val="1"/>
          <w:color w:val="auto"/>
        </w:rPr>
        <w:t>Escrow and Trust Balances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asset recovery management business’s collections. These amounts are held in escrow and trust accounts for limited periods of time and are not included in the consolidated balance sheets. Amounts held in escrow and trust accounts were $35.1 million and $64.1 million at December 31, 2017 and 2016,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Effective January 1, 2017, our reportable segments changed as a result of a change in the way our chief operating decision maker manages our businesses, allocates resources and evaluates performance, and the related changes in our internal organization. We now report our operations through two new reportable segments: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and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In addition, we report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separately. Prior to the January 1, 2017 change in reportable segments, our reportable segments were </w:t>
      </w:r>
      <w:r>
        <w:rPr>
          <w:rFonts w:ascii="Arial" w:cs="Arial" w:eastAsia="Arial" w:hAnsi="Arial"/>
          <w:sz w:val="16"/>
          <w:szCs w:val="16"/>
          <w:i w:val="1"/>
          <w:iCs w:val="1"/>
          <w:color w:val="auto"/>
        </w:rPr>
        <w:t>Mortgage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and </w:t>
      </w:r>
      <w:r>
        <w:rPr>
          <w:rFonts w:ascii="Arial" w:cs="Arial" w:eastAsia="Arial" w:hAnsi="Arial"/>
          <w:sz w:val="16"/>
          <w:szCs w:val="16"/>
          <w:i w:val="1"/>
          <w:iCs w:val="1"/>
          <w:color w:val="auto"/>
        </w:rPr>
        <w:t>Technology Services</w:t>
      </w:r>
      <w:r>
        <w:rPr>
          <w:rFonts w:ascii="Arial" w:cs="Arial" w:eastAsia="Arial" w:hAnsi="Arial"/>
          <w:sz w:val="16"/>
          <w:szCs w:val="16"/>
          <w:color w:val="auto"/>
        </w:rPr>
        <w:t xml:space="preserve">. The former </w:t>
      </w:r>
      <w:r>
        <w:rPr>
          <w:rFonts w:ascii="Arial" w:cs="Arial" w:eastAsia="Arial" w:hAnsi="Arial"/>
          <w:sz w:val="16"/>
          <w:szCs w:val="16"/>
          <w:i w:val="1"/>
          <w:iCs w:val="1"/>
          <w:color w:val="auto"/>
        </w:rPr>
        <w:t>Mortgage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Services </w:t>
      </w:r>
      <w:r>
        <w:rPr>
          <w:rFonts w:ascii="Arial" w:cs="Arial" w:eastAsia="Arial" w:hAnsi="Arial"/>
          <w:sz w:val="16"/>
          <w:szCs w:val="16"/>
          <w:color w:val="auto"/>
        </w:rPr>
        <w:t>segment was separated into the</w:t>
      </w:r>
      <w:r>
        <w:rPr>
          <w:rFonts w:ascii="Arial" w:cs="Arial" w:eastAsia="Arial" w:hAnsi="Arial"/>
          <w:sz w:val="16"/>
          <w:szCs w:val="16"/>
          <w:i w:val="1"/>
          <w:iCs w:val="1"/>
          <w:color w:val="auto"/>
        </w:rPr>
        <w:t xml:space="preserve"> Mortgage Market </w:t>
      </w:r>
      <w:r>
        <w:rPr>
          <w:rFonts w:ascii="Arial" w:cs="Arial" w:eastAsia="Arial" w:hAnsi="Arial"/>
          <w:sz w:val="16"/>
          <w:szCs w:val="16"/>
          <w:color w:val="auto"/>
        </w:rPr>
        <w:t>and</w:t>
      </w:r>
      <w:r>
        <w:rPr>
          <w:rFonts w:ascii="Arial" w:cs="Arial" w:eastAsia="Arial" w:hAnsi="Arial"/>
          <w:sz w:val="16"/>
          <w:szCs w:val="16"/>
          <w:i w:val="1"/>
          <w:iCs w:val="1"/>
          <w:color w:val="auto"/>
        </w:rPr>
        <w:t xml:space="preserve"> Real Estate Market </w:t>
      </w:r>
      <w:r>
        <w:rPr>
          <w:rFonts w:ascii="Arial" w:cs="Arial" w:eastAsia="Arial" w:hAnsi="Arial"/>
          <w:sz w:val="16"/>
          <w:szCs w:val="16"/>
          <w:color w:val="auto"/>
        </w:rPr>
        <w:t>segments. Furthermore, certain of the software services business units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formerly in the </w:t>
      </w:r>
      <w:r>
        <w:rPr>
          <w:rFonts w:ascii="Arial" w:cs="Arial" w:eastAsia="Arial" w:hAnsi="Arial"/>
          <w:sz w:val="16"/>
          <w:szCs w:val="16"/>
          <w:i w:val="1"/>
          <w:iCs w:val="1"/>
          <w:color w:val="auto"/>
        </w:rPr>
        <w:t>Technology Services</w:t>
      </w:r>
      <w:r>
        <w:rPr>
          <w:rFonts w:ascii="Arial" w:cs="Arial" w:eastAsia="Arial" w:hAnsi="Arial"/>
          <w:sz w:val="16"/>
          <w:szCs w:val="16"/>
          <w:color w:val="auto"/>
        </w:rPr>
        <w:t xml:space="preserve"> segment and the mortgage charge-off collections business that was formerly in the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segment are now included in the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includes asset recovery management services and customer relationship management services that were formerly in the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segment as well as IT infrastructure management services formerly in the </w:t>
      </w:r>
      <w:r>
        <w:rPr>
          <w:rFonts w:ascii="Arial" w:cs="Arial" w:eastAsia="Arial" w:hAnsi="Arial"/>
          <w:sz w:val="16"/>
          <w:szCs w:val="16"/>
          <w:i w:val="1"/>
          <w:iCs w:val="1"/>
          <w:color w:val="auto"/>
        </w:rPr>
        <w:t>Technology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Services </w:t>
      </w:r>
      <w:r>
        <w:rPr>
          <w:rFonts w:ascii="Arial" w:cs="Arial" w:eastAsia="Arial" w:hAnsi="Arial"/>
          <w:sz w:val="16"/>
          <w:szCs w:val="16"/>
          <w:color w:val="auto"/>
        </w:rPr>
        <w:t>segment. Prior year comparable period segment disclosures have been restated to conform to the current year presentation.</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segment provides loan servicers and originators with marketplaces, services and technologies that span the mortgage lifecycle. The </w:t>
      </w:r>
      <w:r>
        <w:rPr>
          <w:rFonts w:ascii="Arial" w:cs="Arial" w:eastAsia="Arial" w:hAnsi="Arial"/>
          <w:sz w:val="16"/>
          <w:szCs w:val="16"/>
          <w:i w:val="1"/>
          <w:iCs w:val="1"/>
          <w:color w:val="auto"/>
        </w:rPr>
        <w:t xml:space="preserve">Real Estate Market </w:t>
      </w:r>
      <w:r>
        <w:rPr>
          <w:rFonts w:ascii="Arial" w:cs="Arial" w:eastAsia="Arial" w:hAnsi="Arial"/>
          <w:sz w:val="16"/>
          <w:szCs w:val="16"/>
          <w:color w:val="auto"/>
        </w:rPr>
        <w:t>segment provides real estate consumers and rental property investors with marketplaces and services that span the real estate lifecycle.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 the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segment includes businesses that provide post-charge-off consumer debt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also includes interest expense and costs related to corporate support functions including executive, finance, law, compliance, human resources, vendor management, facilities, risk management, and sales and marketing costs not allocated to the business units as well as eliminations between the reportable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year ended December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180" w:type="dxa"/>
            <w:vAlign w:val="bottom"/>
          </w:tcPr>
          <w:p>
            <w:pPr>
              <w:spacing w:after="0"/>
              <w:rPr>
                <w:sz w:val="13"/>
                <w:szCs w:val="13"/>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5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Mortgage Market</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1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0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942,213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545,507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57,391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699,865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242,348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114,215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59,709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192,642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49,706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8"/>
                <w:szCs w:val="18"/>
                <w:color w:val="auto"/>
                <w:w w:val="99"/>
              </w:rPr>
              <w:t>Income (loss) before income taxes and non-controlling interests</w:t>
            </w:r>
          </w:p>
        </w:tc>
        <w:tc>
          <w:tcPr>
            <w:tcW w:w="130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134,034</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(25,902)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(72,757)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5"/>
          <w:szCs w:val="15"/>
          <w:b w:val="1"/>
          <w:bCs w:val="1"/>
          <w:color w:val="auto"/>
        </w:rPr>
        <w:t>Notes to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94"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23495</wp:posOffset>
            </wp:positionV>
            <wp:extent cx="3395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3"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Other Businesses,</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7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Mortgage Market   Real Estate Market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20" w:type="dxa"/>
            <w:vAlign w:val="bottom"/>
            <w:gridSpan w:val="4"/>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Eliminations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-8255</wp:posOffset>
            </wp:positionV>
            <wp:extent cx="3773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4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827,324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86,590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83,389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997,303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546,540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78,939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280,784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121,508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214,155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 insurance recovery</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159,276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65,103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159,430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year ended December 31, 2015</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180" w:type="dxa"/>
            <w:vAlign w:val="bottom"/>
          </w:tcPr>
          <w:p>
            <w:pPr>
              <w:spacing w:after="0"/>
              <w:rPr>
                <w:sz w:val="13"/>
                <w:szCs w:val="13"/>
                <w:color w:val="auto"/>
              </w:rPr>
            </w:pPr>
          </w:p>
        </w:tc>
        <w:tc>
          <w:tcPr>
            <w:tcW w:w="108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Mortgage Market</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0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885,174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1,051,466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552,676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96,110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687,327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332,498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364,139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132,334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81,020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79,077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(26,017)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144,230</w:t>
            </w:r>
          </w:p>
        </w:tc>
        <w:tc>
          <w:tcPr>
            <w:tcW w:w="120" w:type="dxa"/>
            <w:vAlign w:val="bottom"/>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8,146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Other Businesses,</w:t>
            </w:r>
          </w:p>
        </w:tc>
        <w:tc>
          <w:tcPr>
            <w:tcW w:w="180" w:type="dxa"/>
            <w:vAlign w:val="bottom"/>
          </w:tcPr>
          <w:p>
            <w:pPr>
              <w:spacing w:after="0"/>
              <w:rPr>
                <w:sz w:val="24"/>
                <w:szCs w:val="24"/>
                <w:color w:val="auto"/>
              </w:rPr>
            </w:pPr>
          </w:p>
        </w:tc>
        <w:tc>
          <w:tcPr>
            <w:tcW w:w="108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Mortgage Market</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0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December 31, 2017</w:t>
            </w: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304,346</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64,624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496,194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865,164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December 31, 2016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347,067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294,282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689,212</w:t>
            </w:r>
          </w:p>
        </w:tc>
        <w:tc>
          <w:tcPr>
            <w:tcW w:w="0" w:type="dxa"/>
            <w:vAlign w:val="bottom"/>
          </w:tcPr>
          <w:p>
            <w:pPr>
              <w:spacing w:after="0"/>
              <w:rPr>
                <w:sz w:val="1"/>
                <w:szCs w:val="1"/>
                <w:color w:val="auto"/>
              </w:rPr>
            </w:pPr>
          </w:p>
        </w:tc>
      </w:tr>
      <w:tr>
        <w:trPr>
          <w:trHeight w:val="41"/>
        </w:trPr>
        <w:tc>
          <w:tcPr>
            <w:tcW w:w="5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services are primarily provided to customers located in the United States. Premises and equipment, net consist of the following, by country,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71,418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14,006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3,027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73,273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103,473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QUARTERLY FINANCIAL DATA (UNAUDITED)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2017 and 2016. The following information reflects all normal recurring adjustments necessary for a fair presentation of the information for the periods presented. The operating results for any quarter are not necessarily indicative of results for any future period. Our business is affected by seasonality.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4"/>
              </w:rPr>
              <w:t xml:space="preserve">2017 quarter ended </w:t>
            </w:r>
            <w:r>
              <w:rPr>
                <w:rFonts w:ascii="Arial" w:cs="Arial" w:eastAsia="Arial" w:hAnsi="Arial"/>
                <w:sz w:val="8"/>
                <w:szCs w:val="8"/>
                <w:b w:val="1"/>
                <w:bCs w:val="1"/>
                <w:color w:val="auto"/>
                <w:w w:val="94"/>
              </w:rPr>
              <w:t>(1)(2)</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216,066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65,292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60,081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54,445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3,112</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286,983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286,350</w:t>
            </w: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16.16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w:t>
            </w: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18,662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17,724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18,211</w:t>
            </w:r>
          </w:p>
        </w:tc>
      </w:tr>
      <w:tr>
        <w:trPr>
          <w:trHeight w:val="50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6"/>
              </w:rPr>
              <w:t xml:space="preserve">2016 quarter ended </w:t>
            </w:r>
            <w:r>
              <w:rPr>
                <w:rFonts w:ascii="Arial" w:cs="Arial" w:eastAsia="Arial" w:hAnsi="Arial"/>
                <w:sz w:val="8"/>
                <w:szCs w:val="8"/>
                <w:b w:val="1"/>
                <w:bCs w:val="1"/>
                <w:color w:val="auto"/>
                <w:w w:val="96"/>
              </w:rPr>
              <w:t>(1)(3)(4)</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238,627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81,269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81,428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78,743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65,818</w:t>
            </w: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(19,664)</w:t>
            </w: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Altisource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(20,384)</w:t>
            </w:r>
          </w:p>
        </w:tc>
      </w:tr>
      <w:tr>
        <w:trPr>
          <w:trHeight w:val="270"/>
        </w:trPr>
        <w:tc>
          <w:tcPr>
            <w:tcW w:w="60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60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18,788</w:t>
            </w: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18,788</w:t>
            </w: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40" w:lineRule="exact"/>
        <w:rPr>
          <w:sz w:val="20"/>
          <w:szCs w:val="20"/>
          <w:color w:val="auto"/>
        </w:rPr>
      </w:pPr>
    </w:p>
    <w:p>
      <w:pPr>
        <w:ind w:left="260" w:hanging="252"/>
        <w:spacing w:after="0" w:line="216" w:lineRule="auto"/>
        <w:tabs>
          <w:tab w:leader="none" w:pos="2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The sum of quarterly amounts, including per share amounts, may not equal amounts reported for year-to-date periods. This is due to the effects of rounding and changes in the number of weighted average shares outstanding for each period.</w:t>
      </w:r>
    </w:p>
    <w:p>
      <w:pPr>
        <w:spacing w:after="0" w:line="1" w:lineRule="exact"/>
        <w:rPr>
          <w:rFonts w:ascii="Arial" w:cs="Arial" w:eastAsia="Arial" w:hAnsi="Arial"/>
          <w:sz w:val="25"/>
          <w:szCs w:val="25"/>
          <w:color w:val="auto"/>
          <w:vertAlign w:val="superscript"/>
        </w:rPr>
      </w:pPr>
    </w:p>
    <w:p>
      <w:pPr>
        <w:jc w:val="both"/>
        <w:ind w:left="260" w:hanging="252"/>
        <w:spacing w:after="0" w:line="237" w:lineRule="auto"/>
        <w:tabs>
          <w:tab w:leader="none" w:pos="2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an NOL of $1.3 billion and a deferred tax asset, net of valuation allowance, of $300.9 million as of December 31, 2017. The NOL has a 17 year life. This deferred tax asset was partially offset by the impact of other changes in U.S. and Luxembourg income tax rates of $6.3 million and an increase in certain foreign income tax reserves (and related interest) of $10.5 million. See Note 21.</w:t>
      </w:r>
    </w:p>
    <w:p>
      <w:pPr>
        <w:spacing w:after="0" w:line="2" w:lineRule="exact"/>
        <w:rPr>
          <w:rFonts w:ascii="Arial" w:cs="Arial" w:eastAsia="Arial" w:hAnsi="Arial"/>
          <w:sz w:val="25"/>
          <w:szCs w:val="25"/>
          <w:color w:val="auto"/>
          <w:vertAlign w:val="superscript"/>
        </w:rPr>
      </w:pPr>
    </w:p>
    <w:p>
      <w:pPr>
        <w:ind w:left="260" w:hanging="252"/>
        <w:spacing w:after="0" w:line="180" w:lineRule="auto"/>
        <w:tabs>
          <w:tab w:leader="none" w:pos="2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We acquired Granite on July 29, 2016. See Note 5.</w:t>
      </w:r>
    </w:p>
    <w:p>
      <w:pPr>
        <w:spacing w:after="0" w:line="2" w:lineRule="exact"/>
        <w:rPr>
          <w:rFonts w:ascii="Arial" w:cs="Arial" w:eastAsia="Arial" w:hAnsi="Arial"/>
          <w:sz w:val="25"/>
          <w:szCs w:val="25"/>
          <w:color w:val="auto"/>
          <w:vertAlign w:val="superscript"/>
        </w:rPr>
      </w:pPr>
    </w:p>
    <w:p>
      <w:pPr>
        <w:ind w:left="260" w:hanging="252"/>
        <w:spacing w:after="0" w:line="208" w:lineRule="auto"/>
        <w:tabs>
          <w:tab w:leader="none" w:pos="2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2016, Altisource recorded a litigation settlement loss of $32.0 million in connection with a litigation matter. Also during the fourth quarter of 2016, Altisource recorded an insurance recovery related to this litigation settlement of $4.0 million. See Note 19.</w:t>
      </w: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2017,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As a result of this assessment, management concluded that, as of December 31, 2017, our internal control over financial reporting was effective in providing reasonable assurance regarding the reliability of financial reporting and the preparation of financial statements for external purposes in accordance with generally accepted accounting principles. Mayer Hoffman McCann P.C. has independently assessed the effectiveness of our internal control over financial reporting and its report is included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December 31, 2017,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2018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2018 annual meeting of shareholders to be filed pursuant to Regulation 14A under the Exchange Act.</w:t>
      </w:r>
    </w:p>
    <w:p>
      <w:pPr>
        <w:spacing w:after="0" w:line="112"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2018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2018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2018 annual meeting of shareholders to be filed pursuant to Regulation 14A under the Exchange Act.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337" w:lineRule="exact"/>
        <w:rPr>
          <w:sz w:val="20"/>
          <w:szCs w:val="20"/>
          <w:color w:val="auto"/>
        </w:rPr>
      </w:pPr>
    </w:p>
    <w:p>
      <w:pPr>
        <w:ind w:left="1300" w:hanging="126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85" w:lineRule="exact"/>
        <w:rPr>
          <w:sz w:val="20"/>
          <w:szCs w:val="20"/>
          <w:color w:val="auto"/>
        </w:rPr>
      </w:pPr>
    </w:p>
    <w:p>
      <w:pPr>
        <w:ind w:left="1300" w:right="8580" w:hanging="1265"/>
        <w:spacing w:after="0" w:line="510"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300" w:hanging="126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8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Schedule II - </w:t>
      </w:r>
      <w:r>
        <w:rPr>
          <w:rFonts w:ascii="Arial" w:cs="Arial" w:eastAsia="Arial" w:hAnsi="Arial"/>
          <w:sz w:val="18"/>
          <w:szCs w:val="18"/>
          <w:i w:val="1"/>
          <w:iCs w:val="1"/>
          <w:color w:val="auto"/>
        </w:rPr>
        <w:t>Valuation and Qualifying Accounts</w:t>
      </w:r>
      <w:r>
        <w:rPr>
          <w:rFonts w:ascii="Arial" w:cs="Arial" w:eastAsia="Arial" w:hAnsi="Arial"/>
          <w:sz w:val="18"/>
          <w:szCs w:val="18"/>
          <w:color w:val="auto"/>
        </w:rPr>
        <w:t xml:space="preserve"> - included below.</w:t>
      </w:r>
    </w:p>
    <w:p>
      <w:pPr>
        <w:spacing w:after="0" w:line="184" w:lineRule="exact"/>
        <w:rPr>
          <w:rFonts w:ascii="Arial" w:cs="Arial" w:eastAsia="Arial" w:hAnsi="Arial"/>
          <w:sz w:val="18"/>
          <w:szCs w:val="18"/>
          <w:color w:val="auto"/>
        </w:rPr>
      </w:pPr>
    </w:p>
    <w:p>
      <w:pPr>
        <w:ind w:left="1300" w:hanging="126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5"/>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60" w:type="dxa"/>
            <w:vAlign w:val="bottom"/>
            <w:gridSpan w:val="5"/>
          </w:tcPr>
          <w:p>
            <w:pPr>
              <w:ind w:left="4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340" w:type="dxa"/>
            <w:vAlign w:val="bottom"/>
            <w:gridSpan w:val="3"/>
          </w:tcPr>
          <w:p>
            <w:pPr>
              <w:ind w:left="40"/>
              <w:spacing w:after="0"/>
              <w:rPr>
                <w:rFonts w:ascii="Arial" w:cs="Arial" w:eastAsia="Arial" w:hAnsi="Arial"/>
                <w:sz w:val="18"/>
                <w:szCs w:val="18"/>
                <w:color w:val="0000FF"/>
              </w:rPr>
            </w:pPr>
            <w:hyperlink r:id="rId22">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Form of Separation Agreement between Altisource Portfolio Solutions S.A. and Ocwen Financial Corporation (incorporated by reference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w w:val="97"/>
              </w:rPr>
            </w:pPr>
            <w:hyperlink r:id="rId22">
              <w:r>
                <w:rPr>
                  <w:rFonts w:ascii="Arial" w:cs="Arial" w:eastAsia="Arial" w:hAnsi="Arial"/>
                  <w:sz w:val="18"/>
                  <w:szCs w:val="18"/>
                  <w:color w:val="0000FF"/>
                  <w:w w:val="97"/>
                </w:rPr>
                <w:t>to Exhibit 2.1 of the Registrant’s Form 10-12B/A — Amendment No. 1 to Form 10 as filed with the Commission on June 29, 2009)</w:t>
              </w:r>
            </w:hyperlink>
          </w:p>
        </w:tc>
        <w:tc>
          <w:tcPr>
            <w:tcW w:w="40" w:type="dxa"/>
            <w:vAlign w:val="bottom"/>
            <w:gridSpan w:val="2"/>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23">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Separation Agreement, dated as of December 21, 2012, between Altisource Residential Corporation and Altisource Portfolio Solutions S.A.</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(incorporated by reference to Exhibit 2.1 to the Company’s Form 8-K filed on December 28, 2012)</w:t>
              </w:r>
            </w:hyperlink>
          </w:p>
        </w:tc>
        <w:tc>
          <w:tcPr>
            <w:tcW w:w="40" w:type="dxa"/>
            <w:vAlign w:val="bottom"/>
            <w:gridSpan w:val="2"/>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24">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5"/>
              </w:rPr>
            </w:pPr>
            <w:hyperlink r:id="rId24">
              <w:r>
                <w:rPr>
                  <w:rFonts w:ascii="Arial" w:cs="Arial" w:eastAsia="Arial" w:hAnsi="Arial"/>
                  <w:sz w:val="18"/>
                  <w:szCs w:val="18"/>
                  <w:color w:val="0000FF"/>
                  <w:w w:val="95"/>
                </w:rPr>
                <w:t>Separation Agreement, dated as of December 21, 2012, between Altisource Asset Management Corporation and Altisource Portfolio</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Solutions S.A. (incorporated by reference to Exhibit 2.2 to the Company’s Form 8-K filed on December 28, 2012)</w:t>
              </w:r>
            </w:hyperlink>
          </w:p>
        </w:tc>
        <w:tc>
          <w:tcPr>
            <w:tcW w:w="184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25">
              <w:r>
                <w:rPr>
                  <w:rFonts w:ascii="Arial" w:cs="Arial" w:eastAsia="Arial" w:hAnsi="Arial"/>
                  <w:sz w:val="18"/>
                  <w:szCs w:val="18"/>
                  <w:color w:val="0000FF"/>
                </w:rPr>
                <w:t>2.</w:t>
              </w:r>
              <w:r>
                <w:rPr>
                  <w:rFonts w:ascii="Arial" w:cs="Arial" w:eastAsia="Arial" w:hAnsi="Arial"/>
                  <w:sz w:val="18"/>
                  <w:szCs w:val="18"/>
                  <w:u w:val="single" w:color="auto"/>
                  <w:color w:val="0000FF"/>
                </w:rPr>
                <w:t>4</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Purchase and Sale Agreement, dated as of March 29, 2013, by and among Altisource Portfolio Solutions, Inc., Altisource Solutions S.à r.l.,</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Ocwen Financial Corporation, Homeward Residential, Inc. and Power Valuation Services, Inc. (incorporated by reference to Exhibit 2.1 to</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the Company’s Form 8-K filed on April 4, 2013)</w:t>
              </w:r>
            </w:hyperlink>
          </w:p>
        </w:tc>
      </w:tr>
      <w:tr>
        <w:trPr>
          <w:trHeight w:val="20"/>
        </w:trPr>
        <w:tc>
          <w:tcPr>
            <w:tcW w:w="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26">
              <w:r>
                <w:rPr>
                  <w:rFonts w:ascii="Arial" w:cs="Arial" w:eastAsia="Arial" w:hAnsi="Arial"/>
                  <w:sz w:val="18"/>
                  <w:szCs w:val="18"/>
                  <w:color w:val="0000FF"/>
                </w:rPr>
                <w:t>2.</w:t>
              </w:r>
              <w:r>
                <w:rPr>
                  <w:rFonts w:ascii="Arial" w:cs="Arial" w:eastAsia="Arial" w:hAnsi="Arial"/>
                  <w:sz w:val="18"/>
                  <w:szCs w:val="18"/>
                  <w:u w:val="single" w:color="auto"/>
                  <w:color w:val="0000FF"/>
                </w:rPr>
                <w:t>5</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Purchase and Sale Agreement, dated as of August 19, 2013, by and among Altisource Portfolio Solutions S.A., Altisource Solutions S.à r.l.</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and the Equity Interestholders of Equator, LLC (incorporated by reference to Exhibit 2.1 to the Company’s Form 8-K filed on August 21,</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26">
              <w:r>
                <w:rPr>
                  <w:rFonts w:ascii="Arial" w:cs="Arial" w:eastAsia="Arial" w:hAnsi="Arial"/>
                  <w:sz w:val="18"/>
                  <w:szCs w:val="18"/>
                  <w:color w:val="0000FF"/>
                  <w:w w:val="86"/>
                </w:rPr>
                <w:t>2013)</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2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Amended and Restated Articles of Incorporation of Altisource Portfolio Solutions S.A. (incorporated by reference to Exhibit 3.1 to the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Company’s Form 10-Q filed on August 9, 2017)</w:t>
              </w:r>
            </w:hyperlink>
          </w:p>
        </w:tc>
        <w:tc>
          <w:tcPr>
            <w:tcW w:w="656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28">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Separation Agreement, dated as of August 10, 2009, by and between Altisource Portfolio Solutions S.A.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(incorporated by reference to Exhibit 10.1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28">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29">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Tax Matters Agreement, dated as of August 10, 2009, by and between Altisource Solutions S.à r.l.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(incorporated by reference to Exhibit 10.2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29">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30">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9"/>
              </w:rPr>
            </w:pPr>
            <w:hyperlink r:id="rId30">
              <w:r>
                <w:rPr>
                  <w:rFonts w:ascii="Arial" w:cs="Arial" w:eastAsia="Arial" w:hAnsi="Arial"/>
                  <w:sz w:val="18"/>
                  <w:szCs w:val="18"/>
                  <w:color w:val="0000FF"/>
                  <w:w w:val="99"/>
                </w:rPr>
                <w:t>Transition Services Agreement, dated as of August 10, 2009, by and between Altisource Solutions S.à r.l. and Ocwen Financial</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Corporation (incorporated by reference to Exhibit 10.3 of the Registrant’s Current Report on Form 8-K as filed with the Commission on</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August 13, 2009)</w:t>
              </w:r>
            </w:hyperlink>
          </w:p>
        </w:tc>
        <w:tc>
          <w:tcPr>
            <w:tcW w:w="40" w:type="dxa"/>
            <w:vAlign w:val="bottom"/>
            <w:gridSpan w:val="2"/>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31">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Employee Matters Agreement, dated as of August 10, 2009, by and between Altisource Solutions S.à r.l.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(incorporated by reference to Exhibit 10.4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31">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32">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Technology Products Services Agreement, dated as of August 10, 2009, by and between Altisource Solutions S.à r.l. and Ocwen Financial</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Corporation (incorporated by reference to Exhibit 10.5 of the Registrant’s Current Report on Form 8-K as filed with the Commission on</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August 13, 2009)</w:t>
              </w:r>
            </w:hyperlink>
          </w:p>
        </w:tc>
        <w:tc>
          <w:tcPr>
            <w:tcW w:w="40" w:type="dxa"/>
            <w:vAlign w:val="bottom"/>
            <w:gridSpan w:val="2"/>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8"/>
              </w:rPr>
            </w:pPr>
            <w:hyperlink r:id="rId33">
              <w:r>
                <w:rPr>
                  <w:rFonts w:ascii="Arial" w:cs="Arial" w:eastAsia="Arial" w:hAnsi="Arial"/>
                  <w:sz w:val="18"/>
                  <w:szCs w:val="18"/>
                  <w:color w:val="0000FF"/>
                  <w:w w:val="98"/>
                </w:rPr>
                <w:t>Services Agreement, dated as of August 10, 2009, by and between Altisource Solutions S.à r.l.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33">
              <w:r>
                <w:rPr>
                  <w:rFonts w:ascii="Arial" w:cs="Arial" w:eastAsia="Arial" w:hAnsi="Arial"/>
                  <w:sz w:val="18"/>
                  <w:szCs w:val="18"/>
                  <w:color w:val="0000FF"/>
                  <w:w w:val="95"/>
                </w:rPr>
                <w:t>(incorporated by reference to Exhibit 10.6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33">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Data Center and Disaster Recovery Services Agreement, dated as of August 10, 2009, by and between Altisource Solutions S.à r.l. and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Ocwen Financial Corporation (incorporated by reference to Exhibit 10.7 of the Registrant’s Current Report on Form 8-K as filed with the</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Commission on August 13, 2009)</w:t>
              </w:r>
            </w:hyperlink>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08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00"/>
          </w:cols>
          <w:pgMar w:left="240" w:top="125" w:right="259" w:bottom="108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860" w:type="dxa"/>
            <w:vAlign w:val="bottom"/>
          </w:tcPr>
          <w:p>
            <w:pPr>
              <w:spacing w:after="0"/>
              <w:rPr>
                <w:sz w:val="17"/>
                <w:szCs w:val="17"/>
                <w:color w:val="auto"/>
              </w:rPr>
            </w:pPr>
          </w:p>
        </w:tc>
        <w:tc>
          <w:tcPr>
            <w:tcW w:w="10060" w:type="dxa"/>
            <w:vAlign w:val="bottom"/>
            <w:gridSpan w:val="14"/>
          </w:tcPr>
          <w:p>
            <w:pPr>
              <w:spacing w:after="0"/>
              <w:rPr>
                <w:rFonts w:ascii="Arial" w:cs="Arial" w:eastAsia="Arial" w:hAnsi="Arial"/>
                <w:sz w:val="18"/>
                <w:szCs w:val="18"/>
                <w:color w:val="0000FF"/>
                <w:w w:val="98"/>
              </w:rPr>
            </w:pPr>
            <w:hyperlink r:id="rId35">
              <w:r>
                <w:rPr>
                  <w:rFonts w:ascii="Arial" w:cs="Arial" w:eastAsia="Arial" w:hAnsi="Arial"/>
                  <w:sz w:val="18"/>
                  <w:szCs w:val="18"/>
                  <w:color w:val="0000FF"/>
                  <w:w w:val="98"/>
                </w:rPr>
                <w:t>Intellectual Property Agreement, dated as of August 10, 2009, by and between Altisource Solutions S.à r.l. and Ocwen Financial</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Corporation (incorporated by reference to Exhibit 10.8 of the Registrant’s Current Report on Form 8-K as filed with the Commission on</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August 13, 2009)</w:t>
              </w:r>
            </w:hyperlink>
          </w:p>
        </w:tc>
        <w:tc>
          <w:tcPr>
            <w:tcW w:w="8800" w:type="dxa"/>
            <w:vAlign w:val="bottom"/>
            <w:gridSpan w:val="9"/>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9</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4"/>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Altisource Portfolio Solutions S.A. 2009 Equity Incentive Plan, dated as of August 7, 2009 (incorporated by reference from Exhibit 10.8 to</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Amendment No. 1 to the Registration Statement on Form 10 of Altisource Portfolio Solutions S.A. as filed with the Commission on June</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29, 2009)</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4"/>
          </w:tcPr>
          <w:p>
            <w:pPr>
              <w:spacing w:after="0"/>
              <w:rPr>
                <w:rFonts w:ascii="Arial" w:cs="Arial" w:eastAsia="Arial" w:hAnsi="Arial"/>
                <w:sz w:val="18"/>
                <w:szCs w:val="18"/>
                <w:color w:val="0000FF"/>
                <w:w w:val="97"/>
              </w:rPr>
            </w:pPr>
            <w:hyperlink r:id="rId37">
              <w:r>
                <w:rPr>
                  <w:rFonts w:ascii="Arial" w:cs="Arial" w:eastAsia="Arial" w:hAnsi="Arial"/>
                  <w:sz w:val="18"/>
                  <w:szCs w:val="18"/>
                  <w:color w:val="0000FF"/>
                  <w:w w:val="97"/>
                </w:rPr>
                <w:t>Employment Contract between Altisource Solutions S.à r.l. and William B. Shepro (incorporated by reference from Exhibit 10.9 to</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Amendment No. 1 to the Registration Statement on Form 10 of Altisource Portfolio Solutions S.A. as filed with the Commission on June</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29, 2009)</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11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4"/>
          </w:tcPr>
          <w:p>
            <w:pPr>
              <w:spacing w:after="0"/>
              <w:rPr>
                <w:rFonts w:ascii="Arial" w:cs="Arial" w:eastAsia="Arial" w:hAnsi="Arial"/>
                <w:sz w:val="18"/>
                <w:szCs w:val="18"/>
                <w:color w:val="0000FF"/>
                <w:w w:val="98"/>
              </w:rPr>
            </w:pPr>
            <w:hyperlink r:id="rId38">
              <w:r>
                <w:rPr>
                  <w:rFonts w:ascii="Arial" w:cs="Arial" w:eastAsia="Arial" w:hAnsi="Arial"/>
                  <w:sz w:val="18"/>
                  <w:szCs w:val="18"/>
                  <w:color w:val="0000FF"/>
                  <w:w w:val="98"/>
                </w:rPr>
                <w:t>Employment Contract between Altisource Solutions S.à r.l. and Kevin J. Wilcox (incorporated by reference from Exhibit 10.11 to</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Amendment No. 1 to the Registration Statement on Form 10 of Altisource Portfolio Solutions S.A. as filed with the Commission on June</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38">
              <w:r>
                <w:rPr>
                  <w:rFonts w:ascii="Arial" w:cs="Arial" w:eastAsia="Arial" w:hAnsi="Arial"/>
                  <w:sz w:val="18"/>
                  <w:szCs w:val="18"/>
                  <w:color w:val="0000FF"/>
                  <w:w w:val="86"/>
                </w:rPr>
                <w:t>29, 2009)</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060" w:type="dxa"/>
            <w:vAlign w:val="bottom"/>
            <w:gridSpan w:val="14"/>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Purchase and Sale Agreement, dated as of February 12, 2010, by and among Altisource Portfolio Solutions S.A., and the Equity Interest</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Holders of The Mortgage Partnership of America, L.L.C. and the Management Owners (incorporated by reference to Exhibit 10.12 of the</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Company’s 10-K as filed with the Commission on March 17, 2010)</w:t>
              </w:r>
            </w:hyperlink>
          </w:p>
        </w:tc>
        <w:tc>
          <w:tcPr>
            <w:tcW w:w="5200" w:type="dxa"/>
            <w:vAlign w:val="bottom"/>
            <w:gridSpan w:val="8"/>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4"/>
          </w:tcPr>
          <w:p>
            <w:pPr>
              <w:spacing w:after="0"/>
              <w:rPr>
                <w:rFonts w:ascii="Arial" w:cs="Arial" w:eastAsia="Arial" w:hAnsi="Arial"/>
                <w:sz w:val="18"/>
                <w:szCs w:val="18"/>
                <w:color w:val="0000FF"/>
                <w:w w:val="96"/>
              </w:rPr>
            </w:pPr>
            <w:hyperlink r:id="rId40">
              <w:r>
                <w:rPr>
                  <w:rFonts w:ascii="Arial" w:cs="Arial" w:eastAsia="Arial" w:hAnsi="Arial"/>
                  <w:sz w:val="18"/>
                  <w:szCs w:val="18"/>
                  <w:color w:val="0000FF"/>
                  <w:w w:val="96"/>
                </w:rPr>
                <w:t>Form of Put Option Agreements (incorporated by reference to Exhibit 10.13 of the Company’s 10-K as filed with the Commission on</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March 17, 2010)</w:t>
              </w:r>
            </w:hyperlink>
          </w:p>
        </w:tc>
        <w:tc>
          <w:tcPr>
            <w:tcW w:w="8860" w:type="dxa"/>
            <w:vAlign w:val="bottom"/>
            <w:tcBorders>
              <w:top w:val="single" w:sz="8" w:color="0000FF"/>
            </w:tcBorders>
            <w:gridSpan w:val="11"/>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14</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4"/>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Form of Non-qualified Stock Option Agreement, pursuant to the 2009 Equity Incentive Plan (incorporated by reference to Exhibit 10.14 of</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53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the Company’s 10-K as filed with the Commission on February 18, 2011)</w:t>
              </w:r>
            </w:hyperlink>
          </w:p>
        </w:tc>
        <w:tc>
          <w:tcPr>
            <w:tcW w:w="4760" w:type="dxa"/>
            <w:vAlign w:val="bottom"/>
            <w:tcBorders>
              <w:top w:val="single" w:sz="8" w:color="0000FF"/>
            </w:tcBorders>
            <w:gridSpan w:val="7"/>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060" w:type="dxa"/>
            <w:vAlign w:val="bottom"/>
            <w:gridSpan w:val="14"/>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First Amendment to the Transition Services Agreement, dated as of August 10, 2011, by and between Ocwen Financial Corporation and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7"/>
              </w:rPr>
            </w:pPr>
            <w:hyperlink r:id="rId42">
              <w:r>
                <w:rPr>
                  <w:rFonts w:ascii="Arial" w:cs="Arial" w:eastAsia="Arial" w:hAnsi="Arial"/>
                  <w:sz w:val="18"/>
                  <w:szCs w:val="18"/>
                  <w:color w:val="0000FF"/>
                  <w:w w:val="97"/>
                </w:rPr>
                <w:t>Altisource Solutions S.à r.l. (incorporated by reference to Exhibit 10.1 of the Company’s Form 8-K as filed with the Commission on</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August 16, 2011)</w:t>
              </w:r>
            </w:hyperlink>
          </w:p>
        </w:tc>
        <w:tc>
          <w:tcPr>
            <w:tcW w:w="8820" w:type="dxa"/>
            <w:vAlign w:val="bottom"/>
            <w:gridSpan w:val="10"/>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16</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4"/>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Employment Agreement dated March 13, 2012 between Altisource Solutions S.à r.l. and Michelle D. Esterman (incorporated by reference</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to Exhibit 10.1 of the Company’s Form 8-K as filed with the Commission on March 16, 2012)</w:t>
              </w:r>
            </w:hyperlink>
          </w:p>
        </w:tc>
      </w:tr>
      <w:tr>
        <w:trPr>
          <w:trHeight w:val="20"/>
        </w:trPr>
        <w:tc>
          <w:tcPr>
            <w:tcW w:w="1260" w:type="dxa"/>
            <w:vAlign w:val="bottom"/>
            <w:gridSpan w:val="3"/>
          </w:tcPr>
          <w:p>
            <w:pPr>
              <w:spacing w:after="0" w:line="20" w:lineRule="exact"/>
              <w:rPr>
                <w:sz w:val="1"/>
                <w:szCs w:val="1"/>
                <w:color w:val="auto"/>
              </w:rPr>
            </w:pPr>
          </w:p>
        </w:tc>
        <w:tc>
          <w:tcPr>
            <w:tcW w:w="678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0060" w:type="dxa"/>
            <w:vAlign w:val="bottom"/>
            <w:gridSpan w:val="14"/>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Support Services Agreement, dated as of August 10, 2012, by and between Ocwen Mortgage Servicing, Inc. and Altisource Solutions S.à</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2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r.l. (incorporated by reference to Exhibit 10.1 of the Company’s Form 8-K filed on August 16, 2012)</w:t>
              </w:r>
            </w:hyperlink>
          </w:p>
        </w:tc>
        <w:tc>
          <w:tcPr>
            <w:tcW w:w="2820" w:type="dxa"/>
            <w:vAlign w:val="bottom"/>
            <w:tcBorders>
              <w:top w:val="single" w:sz="8" w:color="0000FF"/>
            </w:tcBorders>
            <w:gridSpan w:val="4"/>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18</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4"/>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First Amendment to the Employment Contract dated as of August 15, 2012 between Altisource Solutions S.à r.l. and William B. Shepro</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(incorporated by reference to Exhibit 10.1 of the Company’s Form 8-K filed on August 20, 2012)</w:t>
              </w:r>
            </w:hyperlink>
          </w:p>
        </w:tc>
      </w:tr>
      <w:tr>
        <w:trPr>
          <w:trHeight w:val="20"/>
        </w:trPr>
        <w:tc>
          <w:tcPr>
            <w:tcW w:w="1260" w:type="dxa"/>
            <w:vAlign w:val="bottom"/>
            <w:gridSpan w:val="3"/>
          </w:tcPr>
          <w:p>
            <w:pPr>
              <w:spacing w:after="0" w:line="20" w:lineRule="exact"/>
              <w:rPr>
                <w:sz w:val="1"/>
                <w:szCs w:val="1"/>
                <w:color w:val="auto"/>
              </w:rPr>
            </w:pPr>
          </w:p>
        </w:tc>
        <w:tc>
          <w:tcPr>
            <w:tcW w:w="7000" w:type="dxa"/>
            <w:vAlign w:val="bottom"/>
            <w:tcBorders>
              <w:right w:val="single" w:sz="8" w:color="0000FF"/>
            </w:tcBorders>
            <w:gridSpan w:val="9"/>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19</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4"/>
          </w:tcPr>
          <w:p>
            <w:pPr>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First Amendment to the Employment Contract dated as of August 15, 2012 between Altisource Solutions S.à r.l. and Kevin J. Wilcox</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(incorporated by reference to Exhibit 10.2 of the Company’s Form 8-K filed on August 20, 2012)</w:t>
              </w:r>
            </w:hyperlink>
          </w:p>
        </w:tc>
      </w:tr>
      <w:tr>
        <w:trPr>
          <w:trHeight w:val="20"/>
        </w:trPr>
        <w:tc>
          <w:tcPr>
            <w:tcW w:w="1260" w:type="dxa"/>
            <w:vAlign w:val="bottom"/>
            <w:gridSpan w:val="3"/>
          </w:tcPr>
          <w:p>
            <w:pPr>
              <w:spacing w:after="0" w:line="20" w:lineRule="exact"/>
              <w:rPr>
                <w:sz w:val="1"/>
                <w:szCs w:val="1"/>
                <w:color w:val="auto"/>
              </w:rPr>
            </w:pPr>
          </w:p>
        </w:tc>
        <w:tc>
          <w:tcPr>
            <w:tcW w:w="7000" w:type="dxa"/>
            <w:vAlign w:val="bottom"/>
            <w:tcBorders>
              <w:right w:val="single" w:sz="8" w:color="0000FF"/>
            </w:tcBorders>
            <w:gridSpan w:val="9"/>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10060" w:type="dxa"/>
            <w:vAlign w:val="bottom"/>
            <w:gridSpan w:val="14"/>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Services Agreement, dated as of October 1, 2012, by and between Ocwen Mortgage Servicing, Inc. and Altisource Solutions S.à r.l.</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0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(incorporated by reference to Exhibit 10.1 of the Company’s Form 8-K filed on October 5, 2012)</w:t>
              </w:r>
            </w:hyperlink>
          </w:p>
        </w:tc>
        <w:tc>
          <w:tcPr>
            <w:tcW w:w="3060" w:type="dxa"/>
            <w:vAlign w:val="bottom"/>
            <w:tcBorders>
              <w:top w:val="single" w:sz="8" w:color="0000FF"/>
            </w:tcBorders>
            <w:gridSpan w:val="5"/>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10060" w:type="dxa"/>
            <w:vAlign w:val="bottom"/>
            <w:gridSpan w:val="14"/>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Technology Products Services Agreement, dated as of October 1, 2012, by and between Ocwen Mortgage Servicing, Inc. and Altisource</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Solutions S.à r.l. (incorporated by reference to Exhibit 10.2 of the Company’s Form 8-K filed on October 5, 2012)</w:t>
              </w:r>
            </w:hyperlink>
          </w:p>
        </w:tc>
      </w:tr>
      <w:tr>
        <w:trPr>
          <w:trHeight w:val="20"/>
        </w:trPr>
        <w:tc>
          <w:tcPr>
            <w:tcW w:w="1260" w:type="dxa"/>
            <w:vAlign w:val="bottom"/>
            <w:gridSpan w:val="3"/>
          </w:tcPr>
          <w:p>
            <w:pPr>
              <w:spacing w:after="0" w:line="20" w:lineRule="exact"/>
              <w:rPr>
                <w:sz w:val="1"/>
                <w:szCs w:val="1"/>
                <w:color w:val="auto"/>
              </w:rPr>
            </w:pPr>
          </w:p>
        </w:tc>
        <w:tc>
          <w:tcPr>
            <w:tcW w:w="7480" w:type="dxa"/>
            <w:vAlign w:val="bottom"/>
            <w:gridSpan w:val="11"/>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10060" w:type="dxa"/>
            <w:vAlign w:val="bottom"/>
            <w:gridSpan w:val="14"/>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Data Center and Disaster Recovery Agreement, dated as of October 1, 2012, by and between Ocwen Mortgage Servicing, Inc. and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Altisource Solutions S.à r.l. (incorporated by reference to Exhibit 10.3 of the Company’s Form 8-K filed on October 5, 2012)</w:t>
              </w:r>
            </w:hyperlink>
          </w:p>
        </w:tc>
        <w:tc>
          <w:tcPr>
            <w:tcW w:w="1060" w:type="dxa"/>
            <w:vAlign w:val="bottom"/>
            <w:tcBorders>
              <w:top w:val="single" w:sz="8" w:color="0000FF"/>
            </w:tcBorders>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10060" w:type="dxa"/>
            <w:vAlign w:val="bottom"/>
            <w:gridSpan w:val="14"/>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Intellectual Property Agreement, dated as of October 1, 2012, by and between Ocwen Mortgage Servicing, Inc. and Altisource Solutions</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4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S.à r.l. (incorporated by reference to Exhibit 10.4 of the Company’s Form 8-K filed on October 5, 2012)</w:t>
              </w:r>
            </w:hyperlink>
          </w:p>
        </w:tc>
        <w:tc>
          <w:tcPr>
            <w:tcW w:w="2580" w:type="dxa"/>
            <w:vAlign w:val="bottom"/>
            <w:tcBorders>
              <w:top w:val="single" w:sz="8" w:color="0000FF"/>
            </w:tcBorders>
            <w:gridSpan w:val="3"/>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10060" w:type="dxa"/>
            <w:vAlign w:val="bottom"/>
            <w:gridSpan w:val="14"/>
          </w:tcPr>
          <w:p>
            <w:pPr>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First Amendment to Support Services Agreement, dated as of October 1, 2012, by and between Ocwen Mortgage Servicing, Inc. and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Altisource Solutions S.à r.l. (incorporated by reference to Exhibit 10.5 of the Company’s Form 8-K filed on October 5, 2012)</w:t>
              </w:r>
            </w:hyperlink>
          </w:p>
        </w:tc>
        <w:tc>
          <w:tcPr>
            <w:tcW w:w="1060" w:type="dxa"/>
            <w:vAlign w:val="bottom"/>
            <w:tcBorders>
              <w:top w:val="single" w:sz="8" w:color="0000FF"/>
            </w:tcBorders>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10060" w:type="dxa"/>
            <w:vAlign w:val="bottom"/>
            <w:gridSpan w:val="14"/>
          </w:tcPr>
          <w:p>
            <w:pPr>
              <w:spacing w:after="0"/>
              <w:rPr>
                <w:rFonts w:ascii="Arial" w:cs="Arial" w:eastAsia="Arial" w:hAnsi="Arial"/>
                <w:sz w:val="18"/>
                <w:szCs w:val="18"/>
                <w:color w:val="0000FF"/>
                <w:w w:val="95"/>
              </w:rPr>
            </w:pPr>
            <w:hyperlink r:id="rId52">
              <w:r>
                <w:rPr>
                  <w:rFonts w:ascii="Arial" w:cs="Arial" w:eastAsia="Arial" w:hAnsi="Arial"/>
                  <w:sz w:val="18"/>
                  <w:szCs w:val="18"/>
                  <w:color w:val="0000FF"/>
                  <w:w w:val="95"/>
                </w:rPr>
                <w:t>First Amendment to Services Agreement, dated as of October 1, 2012, by and between Ocwen Financial Corporation and Altisource</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Solutions S.à r.l. (incorporated by reference to Exhibit 10.6 of the Company’s Form 8-K filed on October 5, 2012)</w:t>
              </w:r>
            </w:hyperlink>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360"/>
          </w:cols>
          <w:pgMar w:left="240" w:top="125" w:right="29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10060" w:type="dxa"/>
            <w:vAlign w:val="bottom"/>
            <w:gridSpan w:val="13"/>
          </w:tcPr>
          <w:p>
            <w:pPr>
              <w:spacing w:after="0"/>
              <w:rPr>
                <w:rFonts w:ascii="Arial" w:cs="Arial" w:eastAsia="Arial" w:hAnsi="Arial"/>
                <w:sz w:val="18"/>
                <w:szCs w:val="18"/>
                <w:color w:val="0000FF"/>
                <w:w w:val="96"/>
              </w:rPr>
            </w:pPr>
            <w:hyperlink r:id="rId53">
              <w:r>
                <w:rPr>
                  <w:rFonts w:ascii="Arial" w:cs="Arial" w:eastAsia="Arial" w:hAnsi="Arial"/>
                  <w:sz w:val="18"/>
                  <w:szCs w:val="18"/>
                  <w:color w:val="0000FF"/>
                  <w:w w:val="96"/>
                </w:rPr>
                <w:t>First Amendment to Technology Products and Services Agreement, dated as of October 1, 2012, by and between Ocwen Financial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Corporation and Altisource Solutions S.à r.l. (incorporated by reference to Exhibit 10.7 of the Company’s Form 8-K filed on October 5,</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53">
              <w:r>
                <w:rPr>
                  <w:rFonts w:ascii="Arial" w:cs="Arial" w:eastAsia="Arial" w:hAnsi="Arial"/>
                  <w:sz w:val="18"/>
                  <w:szCs w:val="18"/>
                  <w:color w:val="0000FF"/>
                  <w:w w:val="86"/>
                </w:rPr>
                <w:t>2012)</w:t>
              </w:r>
            </w:hyperlink>
          </w:p>
        </w:tc>
        <w:tc>
          <w:tcPr>
            <w:tcW w:w="6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10060" w:type="dxa"/>
            <w:vAlign w:val="bottom"/>
            <w:gridSpan w:val="13"/>
          </w:tcPr>
          <w:p>
            <w:pPr>
              <w:spacing w:after="0"/>
              <w:rPr>
                <w:rFonts w:ascii="Arial" w:cs="Arial" w:eastAsia="Arial" w:hAnsi="Arial"/>
                <w:sz w:val="18"/>
                <w:szCs w:val="18"/>
                <w:color w:val="0000FF"/>
                <w:w w:val="95"/>
              </w:rPr>
            </w:pPr>
            <w:hyperlink r:id="rId54">
              <w:r>
                <w:rPr>
                  <w:rFonts w:ascii="Arial" w:cs="Arial" w:eastAsia="Arial" w:hAnsi="Arial"/>
                  <w:sz w:val="18"/>
                  <w:szCs w:val="18"/>
                  <w:color w:val="0000FF"/>
                  <w:w w:val="95"/>
                </w:rPr>
                <w:t>First Amendment to Data Center and Disaster Recovery Agreement, dated as of October 1, 2012, by and between Ocwen Financial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Corporation and Altisource Solutions S.à r.l. (incorporated by reference to Exhibit 10.8 of the Company’s Form 8-K filed on October 5,</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54">
              <w:r>
                <w:rPr>
                  <w:rFonts w:ascii="Arial" w:cs="Arial" w:eastAsia="Arial" w:hAnsi="Arial"/>
                  <w:sz w:val="18"/>
                  <w:szCs w:val="18"/>
                  <w:color w:val="0000FF"/>
                  <w:w w:val="86"/>
                </w:rPr>
                <w:t>2012)</w:t>
              </w:r>
            </w:hyperlink>
          </w:p>
        </w:tc>
        <w:tc>
          <w:tcPr>
            <w:tcW w:w="6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10060" w:type="dxa"/>
            <w:vAlign w:val="bottom"/>
            <w:gridSpan w:val="13"/>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First Amendment to Intellectual Property Agreement, dated as of October 1, 2012, by and between Ocwen Financial Corporation and</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Altisource Solutions S.à r.l. (incorporated by reference to Exhibit 10.9 of the Company’s Form 8-K filed on October 5, 2012)</w:t>
              </w:r>
            </w:hyperlink>
          </w:p>
        </w:tc>
        <w:tc>
          <w:tcPr>
            <w:tcW w:w="1060" w:type="dxa"/>
            <w:vAlign w:val="bottom"/>
            <w:tcBorders>
              <w:top w:val="single" w:sz="8" w:color="0000FF"/>
            </w:tcBorders>
            <w:gridSpan w:val="2"/>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10060" w:type="dxa"/>
            <w:vAlign w:val="bottom"/>
            <w:gridSpan w:val="13"/>
          </w:tcPr>
          <w:p>
            <w:pPr>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Credit Agreement, dated as of November 27, 2012, among Altisource Solutions S.à r.l., as borrower, the Company and certain of the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Company’s wholly-owned subsidiaries, as guarantors, Bank of America, N.A., as Administrative Agent and Collateral Agent, Bank of</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America, N.A., Barclays Bank PLC and Citigroup Global Markets Inc., as Lead Arrangers and Barclays Bank PLC and Citigroup Global</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Markets Inc., as Co-Syndication Agents, and certain lenders party thereto from time to time (incorporated by reference to Exhibit 10.1 of</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gridSpan w:val="13"/>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the Company’s Form 8-K filed on December 3,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10060" w:type="dxa"/>
            <w:vAlign w:val="bottom"/>
            <w:gridSpan w:val="13"/>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Support Services Agreement, dated as of December 21, 2012, between Altisource Residential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(incorporated by reference to Exhibit 10.1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10060" w:type="dxa"/>
            <w:vAlign w:val="bottom"/>
            <w:gridSpan w:val="13"/>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Support Services Agreement, dated as of December 21, 2012, between Altisource Asset Management Corporation and Altisource Solutions</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S.à r.l. (incorporated by reference to Exhibit 10.2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10060" w:type="dxa"/>
            <w:vAlign w:val="bottom"/>
            <w:gridSpan w:val="13"/>
          </w:tcPr>
          <w:p>
            <w:pPr>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Tax Matters Agreement, dated as of December 21, 2012, between Altisource Residential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(incorporated by reference to Exhibit 10.3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10060" w:type="dxa"/>
            <w:vAlign w:val="bottom"/>
            <w:gridSpan w:val="13"/>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Tax Matters Agreement, dated as of December 21, 2012, between Altisource Asset Management Corporation and Altisource Solutions S.à</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r.l. (incorporated by reference to Exhibit 10.4 of the Company’s Form 8-K filed on December 28, 2012)</w:t>
              </w:r>
            </w:hyperlink>
          </w:p>
        </w:tc>
        <w:tc>
          <w:tcPr>
            <w:tcW w:w="2600" w:type="dxa"/>
            <w:vAlign w:val="bottom"/>
            <w:tcBorders>
              <w:top w:val="single" w:sz="8" w:color="0000FF"/>
            </w:tcBorders>
            <w:gridSpan w:val="7"/>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34</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3"/>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Master Services Agreement, dated as of December 21, 2012, between Altisource Residential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(incorporated by reference to Exhibit 10.5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10060" w:type="dxa"/>
            <w:vAlign w:val="bottom"/>
            <w:gridSpan w:val="13"/>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Trademark License Agreement, dated as of December 21, 2012, between Altisource Residential Corporation and Altisource Solutions S.à</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r.l. (incorporated by reference to Exhibit 10.6 of the Company’s Form 8-K filed on December 28, 2012)</w:t>
              </w:r>
            </w:hyperlink>
          </w:p>
        </w:tc>
        <w:tc>
          <w:tcPr>
            <w:tcW w:w="2600" w:type="dxa"/>
            <w:vAlign w:val="bottom"/>
            <w:tcBorders>
              <w:top w:val="single" w:sz="8" w:color="0000FF"/>
            </w:tcBorders>
            <w:gridSpan w:val="7"/>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10060" w:type="dxa"/>
            <w:vAlign w:val="bottom"/>
            <w:gridSpan w:val="13"/>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Trademark License Agreement, dated as of December 21, 2012, between Altisource Asset Management Corporation and Altisource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84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Solutions S.à r.l. (incorporated by reference to Exhibit 10.7 of the Company’s Form 8-K filed on December 28, 2012)</w:t>
              </w:r>
            </w:hyperlink>
          </w:p>
        </w:tc>
        <w:tc>
          <w:tcPr>
            <w:tcW w:w="1600" w:type="dxa"/>
            <w:vAlign w:val="bottom"/>
            <w:tcBorders>
              <w:top w:val="single" w:sz="8" w:color="0000FF"/>
            </w:tcBorders>
            <w:gridSpan w:val="4"/>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10060" w:type="dxa"/>
            <w:vAlign w:val="bottom"/>
            <w:gridSpan w:val="13"/>
          </w:tcPr>
          <w:p>
            <w:pPr>
              <w:spacing w:after="0"/>
              <w:rPr>
                <w:rFonts w:ascii="Arial" w:cs="Arial" w:eastAsia="Arial" w:hAnsi="Arial"/>
                <w:sz w:val="18"/>
                <w:szCs w:val="18"/>
                <w:color w:val="0000FF"/>
                <w:w w:val="99"/>
              </w:rPr>
            </w:pPr>
            <w:hyperlink r:id="rId64">
              <w:r>
                <w:rPr>
                  <w:rFonts w:ascii="Arial" w:cs="Arial" w:eastAsia="Arial" w:hAnsi="Arial"/>
                  <w:sz w:val="18"/>
                  <w:szCs w:val="18"/>
                  <w:color w:val="0000FF"/>
                  <w:w w:val="99"/>
                </w:rPr>
                <w:t>Technology Products Services Agreement, between Altisource Asset Management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(incorporated by reference to Exhibit 10.8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10060" w:type="dxa"/>
            <w:vAlign w:val="bottom"/>
            <w:gridSpan w:val="13"/>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Senior Unsecured Term Loan Agreement, dated as of December 27, 2012, among Altisource Solutions S.à r.l., as Lender, Ocwen Financial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Corporation, as Borrower, and certain subsidiaries of Ocwen Financial Corporation, as Guarantors (incorporated by reference to Exhibit</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Company’s Form 8-K filed on December 31, 2012)</w:t>
              </w:r>
            </w:hyperlink>
          </w:p>
        </w:tc>
        <w:tc>
          <w:tcPr>
            <w:tcW w:w="5540" w:type="dxa"/>
            <w:vAlign w:val="bottom"/>
            <w:gridSpan w:val="9"/>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10060" w:type="dxa"/>
            <w:vAlign w:val="bottom"/>
            <w:gridSpan w:val="13"/>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Second Amendment to Services Agreement, dated as of March 29, 2013, by and between Ocwen Financial Corporation and Altisource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Solutions S.à r.l. (incorporated by reference to Exhibit 10.1 of the Company’s Form 8-K filed on April 4, 2013)</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980" w:type="dxa"/>
            <w:vAlign w:val="bottom"/>
            <w:gridSpan w:val="6"/>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10060" w:type="dxa"/>
            <w:vAlign w:val="bottom"/>
            <w:gridSpan w:val="13"/>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Second Amendment to Technology Products Services Agreement, dated as of March 29, 2013, by and between Ocwen Financial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Corporation and Altisource Solutions S.à r.l. (incorporated by reference to Exhibit 10.2 of the Company’s Form 8-K filed on April 4, 2013)</w:t>
              </w:r>
            </w:hyperlink>
          </w:p>
        </w:tc>
        <w:tc>
          <w:tcPr>
            <w:tcW w:w="40" w:type="dxa"/>
            <w:vAlign w:val="bottom"/>
            <w:tcBorders>
              <w:top w:val="single" w:sz="8" w:color="0000FF"/>
            </w:tcBorders>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10060" w:type="dxa"/>
            <w:vAlign w:val="bottom"/>
            <w:gridSpan w:val="13"/>
          </w:tcPr>
          <w:p>
            <w:pPr>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Second Amendment to Data Center and Disaster Recovery Services Agreement, dated as of March 29, 2013, by and between Ocwen</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5"/>
              </w:rPr>
            </w:pPr>
            <w:hyperlink r:id="rId68">
              <w:r>
                <w:rPr>
                  <w:rFonts w:ascii="Arial" w:cs="Arial" w:eastAsia="Arial" w:hAnsi="Arial"/>
                  <w:sz w:val="18"/>
                  <w:szCs w:val="18"/>
                  <w:color w:val="0000FF"/>
                  <w:w w:val="95"/>
                </w:rPr>
                <w:t>Financial Corporation and Altisource Solutions S.à r.l. (incorporated by reference to Exhibit 10.3 of the Company’s Form 8-K filed 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April 4, 2013)</w:t>
              </w:r>
            </w:hyperlink>
          </w:p>
        </w:tc>
        <w:tc>
          <w:tcPr>
            <w:tcW w:w="9040" w:type="dxa"/>
            <w:vAlign w:val="bottom"/>
            <w:gridSpan w:val="11"/>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10060" w:type="dxa"/>
            <w:vAlign w:val="bottom"/>
            <w:gridSpan w:val="13"/>
          </w:tcPr>
          <w:p>
            <w:pPr>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Second Amendment to Intellectual Property Agreement, dated as of March 29, 2013, by and between Ocwen Financial Corporation and</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Altisource Solutions S.à r.l. (incorporated by reference to Exhibit 10.4 of the Company’s Form 8-K filed on April 4, 2013)</w:t>
              </w:r>
            </w:hyperlink>
          </w:p>
        </w:tc>
      </w:tr>
      <w:tr>
        <w:trPr>
          <w:trHeight w:val="62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20" w:type="dxa"/>
            <w:vAlign w:val="bottom"/>
            <w:tcBorders>
              <w:top w:val="single" w:sz="8" w:color="0000FF"/>
            </w:tcBorders>
            <w:gridSpan w:val="5"/>
          </w:tcPr>
          <w:p>
            <w:pPr>
              <w:ind w:left="4280"/>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7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43</w:t>
              </w:r>
            </w:hyperlink>
          </w:p>
        </w:tc>
        <w:tc>
          <w:tcPr>
            <w:tcW w:w="86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First Amendment to Services Agreement, dated as of March 29, 2013, by and between Ocwen Mortgage Servicing, Inc. and Altisource</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Solutions S.à r.l. (incorporated by reference to Exhibit 10.5 of the Company’s Form 8-K filed on April 4, 2013)</w:t>
              </w:r>
            </w:hyperlink>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7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44</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First Amendment to Technology Products Services Agreement, dated as of March 29, 2013, by and between Ocwen Mortgage Servicing,</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FF"/>
                <w:w w:val="98"/>
              </w:rPr>
            </w:pPr>
            <w:hyperlink r:id="rId71">
              <w:r>
                <w:rPr>
                  <w:rFonts w:ascii="Arial" w:cs="Arial" w:eastAsia="Arial" w:hAnsi="Arial"/>
                  <w:sz w:val="18"/>
                  <w:szCs w:val="18"/>
                  <w:color w:val="0000FF"/>
                  <w:w w:val="98"/>
                </w:rPr>
                <w:t>Inc. and Altisource Solutions S.à r.l. (incorporated by reference to Exhibit 10.6 of the Company’s Form 8-K filed on April 4, 2013)</w:t>
              </w:r>
            </w:hyperlink>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7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45</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6"/>
              </w:rPr>
            </w:pPr>
            <w:hyperlink r:id="rId72">
              <w:r>
                <w:rPr>
                  <w:rFonts w:ascii="Arial" w:cs="Arial" w:eastAsia="Arial" w:hAnsi="Arial"/>
                  <w:sz w:val="18"/>
                  <w:szCs w:val="18"/>
                  <w:color w:val="0000FF"/>
                  <w:w w:val="96"/>
                </w:rPr>
                <w:t>First Amendment to Data Center and Disaster Recovery Services Agreement, dated as of March 29, 2013, by and between Ocwen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Mortgage Servicing, Inc. and Altisource Solutions S.à r.l. (incorporated by reference to Exhibit 10.7 of the Company’s Form 8-K filed 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April 4, 2013)</w:t>
              </w:r>
            </w:hyperlink>
          </w:p>
        </w:tc>
        <w:tc>
          <w:tcPr>
            <w:tcW w:w="9040" w:type="dxa"/>
            <w:vAlign w:val="bottom"/>
            <w:gridSpan w:val="15"/>
          </w:tcPr>
          <w:p>
            <w:pPr>
              <w:spacing w:after="0"/>
              <w:rPr>
                <w:sz w:val="17"/>
                <w:szCs w:val="17"/>
                <w:color w:val="auto"/>
              </w:rPr>
            </w:pPr>
          </w:p>
        </w:tc>
      </w:tr>
      <w:tr>
        <w:trPr>
          <w:trHeight w:val="372"/>
        </w:trPr>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7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46</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First Amendment to Intellectual Property Agreement, dated as of March 29, 2013, by and between Ocwen Mortgage Servicing, Inc. and</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Altisource Solutions S.à r.l. (incorporated by reference to Exhibit 10.8 of the Company’s Form 8-K filed on April 4, 2013)</w:t>
              </w:r>
            </w:hyperlink>
          </w:p>
        </w:tc>
        <w:tc>
          <w:tcPr>
            <w:tcW w:w="1260" w:type="dxa"/>
            <w:vAlign w:val="bottom"/>
            <w:gridSpan w:val="3"/>
          </w:tcPr>
          <w:p>
            <w:pPr>
              <w:spacing w:after="0"/>
              <w:rPr>
                <w:sz w:val="17"/>
                <w:szCs w:val="17"/>
                <w:color w:val="auto"/>
              </w:rPr>
            </w:pPr>
          </w:p>
        </w:tc>
      </w:tr>
      <w:tr>
        <w:trPr>
          <w:trHeight w:val="372"/>
        </w:trPr>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7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47</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Agreement, dated as of April 12, 2013, by and among Altisource Solutions S.à r.l., Ocwen Financial Corporation and Ocwen Mortgage</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Servicing, Inc. (incorporated by reference to Exhibit 10.1 of the Company’s Form 8-K filed on April 18, 2013)</w:t>
              </w:r>
            </w:hyperlink>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7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48</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4"/>
              </w:rPr>
            </w:pPr>
            <w:hyperlink r:id="rId75">
              <w:r>
                <w:rPr>
                  <w:rFonts w:ascii="Arial" w:cs="Arial" w:eastAsia="Arial" w:hAnsi="Arial"/>
                  <w:sz w:val="18"/>
                  <w:szCs w:val="18"/>
                  <w:color w:val="0000FF"/>
                  <w:w w:val="94"/>
                </w:rPr>
                <w:t>Amendment No. 1 to Credit Agreement, dated as of May 7, 2013, among Altisource Solutions S.à r.l., as borrower, Altisource Portfolio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Solutions S.A., Bank of America, N.A., as administrative agent and incremental term lender and the other lenders party thereto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(incorporated by reference to Exhibit 10.1 of the Company’s Form 8-K filed on May 13, 2013)</w:t>
              </w:r>
            </w:hyperlink>
          </w:p>
        </w:tc>
        <w:tc>
          <w:tcPr>
            <w:tcW w:w="3240" w:type="dxa"/>
            <w:vAlign w:val="bottom"/>
            <w:gridSpan w:val="8"/>
          </w:tcPr>
          <w:p>
            <w:pPr>
              <w:spacing w:after="0"/>
              <w:rPr>
                <w:sz w:val="17"/>
                <w:szCs w:val="17"/>
                <w:color w:val="auto"/>
              </w:rPr>
            </w:pPr>
          </w:p>
        </w:tc>
      </w:tr>
      <w:tr>
        <w:trPr>
          <w:trHeight w:val="372"/>
        </w:trPr>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7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49</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6"/>
              </w:rPr>
            </w:pPr>
            <w:hyperlink r:id="rId76">
              <w:r>
                <w:rPr>
                  <w:rFonts w:ascii="Arial" w:cs="Arial" w:eastAsia="Arial" w:hAnsi="Arial"/>
                  <w:sz w:val="18"/>
                  <w:szCs w:val="18"/>
                  <w:color w:val="0000FF"/>
                  <w:w w:val="96"/>
                </w:rPr>
                <w:t>Amendment No. 2 to Credit Agreement, dated as of December 9, 2013, among Altisource Solutions S.à r.l., as borrower, Altisource</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76">
              <w:r>
                <w:rPr>
                  <w:rFonts w:ascii="Arial" w:cs="Arial" w:eastAsia="Arial" w:hAnsi="Arial"/>
                  <w:sz w:val="18"/>
                  <w:szCs w:val="18"/>
                  <w:color w:val="0000FF"/>
                  <w:w w:val="95"/>
                </w:rPr>
                <w:t>Portfolio Solutions S.A., Bank of America, N.A., as Administrative Agent and the Lenders party thereto (incorporated by reference to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Exhibit 10.1 of the Company’s Form 8-K filed on December 11, 2013)</w:t>
              </w:r>
            </w:hyperlink>
          </w:p>
        </w:tc>
        <w:tc>
          <w:tcPr>
            <w:tcW w:w="4980" w:type="dxa"/>
            <w:vAlign w:val="bottom"/>
            <w:gridSpan w:val="10"/>
          </w:tcPr>
          <w:p>
            <w:pPr>
              <w:spacing w:after="0"/>
              <w:rPr>
                <w:sz w:val="17"/>
                <w:szCs w:val="17"/>
                <w:color w:val="auto"/>
              </w:rPr>
            </w:pPr>
          </w:p>
        </w:tc>
      </w:tr>
      <w:tr>
        <w:trPr>
          <w:trHeight w:val="372"/>
        </w:trPr>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7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50</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Amendment No. 3 to Credit Agreement, dated as of August 1, 2014, among Altisource Solutions S.à r.l., as borrower, Altisource Portfolio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Arial" w:cs="Arial" w:eastAsia="Arial" w:hAnsi="Arial"/>
                <w:sz w:val="18"/>
                <w:szCs w:val="18"/>
                <w:color w:val="0000FF"/>
                <w:w w:val="99"/>
              </w:rPr>
            </w:pPr>
            <w:hyperlink r:id="rId77">
              <w:r>
                <w:rPr>
                  <w:rFonts w:ascii="Arial" w:cs="Arial" w:eastAsia="Arial" w:hAnsi="Arial"/>
                  <w:sz w:val="18"/>
                  <w:szCs w:val="18"/>
                  <w:color w:val="0000FF"/>
                  <w:w w:val="99"/>
                </w:rPr>
                <w:t>Solutions S.A., Bank of America, N.A., as Administrative Agent and incremental term lender and the other lenders party thereto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9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(incorporated by reference to Exhibit 10.1 of the Company’s Form 8-K filed on August 6, 2014)</w:t>
              </w:r>
            </w:hyperlink>
          </w:p>
        </w:tc>
        <w:tc>
          <w:tcPr>
            <w:tcW w:w="3140" w:type="dxa"/>
            <w:vAlign w:val="bottom"/>
            <w:gridSpan w:val="7"/>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8">
              <w:r>
                <w:rPr>
                  <w:rFonts w:ascii="Arial" w:cs="Arial" w:eastAsia="Arial" w:hAnsi="Arial"/>
                  <w:sz w:val="18"/>
                  <w:szCs w:val="18"/>
                  <w:color w:val="0000FF"/>
                </w:rPr>
                <w:t>10.</w:t>
              </w:r>
              <w:r>
                <w:rPr>
                  <w:rFonts w:ascii="Arial" w:cs="Arial" w:eastAsia="Arial" w:hAnsi="Arial"/>
                  <w:sz w:val="18"/>
                  <w:szCs w:val="18"/>
                  <w:u w:val="single" w:color="auto"/>
                  <w:color w:val="0000FF"/>
                </w:rPr>
                <w:t>51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Form of Cash Retention Award Agreement (incorporated by reference to Exhibit 10.1 of the Company’s Form 8-K filed on April 21, 2015)</w:t>
              </w:r>
            </w:hyperlink>
          </w:p>
        </w:tc>
      </w:tr>
      <w:tr>
        <w:trPr>
          <w:trHeight w:val="20"/>
        </w:trPr>
        <w:tc>
          <w:tcPr>
            <w:tcW w:w="4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9">
              <w:r>
                <w:rPr>
                  <w:rFonts w:ascii="Arial" w:cs="Arial" w:eastAsia="Arial" w:hAnsi="Arial"/>
                  <w:sz w:val="18"/>
                  <w:szCs w:val="18"/>
                  <w:color w:val="0000FF"/>
                </w:rPr>
                <w:t>10.</w:t>
              </w:r>
              <w:r>
                <w:rPr>
                  <w:rFonts w:ascii="Arial" w:cs="Arial" w:eastAsia="Arial" w:hAnsi="Arial"/>
                  <w:sz w:val="18"/>
                  <w:szCs w:val="18"/>
                  <w:u w:val="single" w:color="auto"/>
                  <w:color w:val="0000FF"/>
                </w:rPr>
                <w:t>52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6"/>
              </w:rPr>
            </w:pPr>
            <w:hyperlink r:id="rId79">
              <w:r>
                <w:rPr>
                  <w:rFonts w:ascii="Arial" w:cs="Arial" w:eastAsia="Arial" w:hAnsi="Arial"/>
                  <w:sz w:val="18"/>
                  <w:szCs w:val="18"/>
                  <w:color w:val="0000FF"/>
                  <w:w w:val="96"/>
                </w:rPr>
                <w:t>Form of Restricted Stock Award Agreement (incorporated by reference to Exhibit 10.2 of the Company’s Form 8-K filed on April 21,</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79">
              <w:r>
                <w:rPr>
                  <w:rFonts w:ascii="Arial" w:cs="Arial" w:eastAsia="Arial" w:hAnsi="Arial"/>
                  <w:sz w:val="18"/>
                  <w:szCs w:val="18"/>
                  <w:color w:val="0000FF"/>
                  <w:w w:val="86"/>
                </w:rPr>
                <w:t>2015)</w:t>
              </w:r>
            </w:hyperlink>
          </w:p>
        </w:tc>
        <w:tc>
          <w:tcPr>
            <w:tcW w:w="6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r>
      <w:tr>
        <w:trPr>
          <w:trHeight w:val="385"/>
        </w:trPr>
        <w:tc>
          <w:tcPr>
            <w:tcW w:w="1260" w:type="dxa"/>
            <w:vAlign w:val="bottom"/>
            <w:gridSpan w:val="2"/>
          </w:tcPr>
          <w:p>
            <w:pPr>
              <w:spacing w:after="0"/>
              <w:rPr>
                <w:rFonts w:ascii="Arial" w:cs="Arial" w:eastAsia="Arial" w:hAnsi="Arial"/>
                <w:sz w:val="18"/>
                <w:szCs w:val="18"/>
                <w:color w:val="0000FF"/>
              </w:rPr>
            </w:pPr>
            <w:hyperlink r:id="rId80">
              <w:r>
                <w:rPr>
                  <w:rFonts w:ascii="Arial" w:cs="Arial" w:eastAsia="Arial" w:hAnsi="Arial"/>
                  <w:sz w:val="18"/>
                  <w:szCs w:val="18"/>
                  <w:color w:val="0000FF"/>
                </w:rPr>
                <w:t>10.</w:t>
              </w:r>
              <w:r>
                <w:rPr>
                  <w:rFonts w:ascii="Arial" w:cs="Arial" w:eastAsia="Arial" w:hAnsi="Arial"/>
                  <w:sz w:val="18"/>
                  <w:szCs w:val="18"/>
                  <w:u w:val="single" w:color="auto"/>
                  <w:color w:val="0000FF"/>
                </w:rPr>
                <w:t>53</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Form of Non-Qualified Stock Option Award Agreement (incorporated by reference to Exhibit 10.3 of the Company’s Form 10-Q filed on</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July 23, 2015)</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1">
              <w:r>
                <w:rPr>
                  <w:rFonts w:ascii="Arial" w:cs="Arial" w:eastAsia="Arial" w:hAnsi="Arial"/>
                  <w:sz w:val="18"/>
                  <w:szCs w:val="18"/>
                  <w:color w:val="0000FF"/>
                </w:rPr>
                <w:t>10.</w:t>
              </w:r>
              <w:r>
                <w:rPr>
                  <w:rFonts w:ascii="Arial" w:cs="Arial" w:eastAsia="Arial" w:hAnsi="Arial"/>
                  <w:sz w:val="18"/>
                  <w:szCs w:val="18"/>
                  <w:u w:val="single" w:color="auto"/>
                  <w:color w:val="0000FF"/>
                </w:rPr>
                <w:t>54</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5"/>
              </w:rPr>
            </w:pPr>
            <w:hyperlink r:id="rId81">
              <w:r>
                <w:rPr>
                  <w:rFonts w:ascii="Arial" w:cs="Arial" w:eastAsia="Arial" w:hAnsi="Arial"/>
                  <w:sz w:val="18"/>
                  <w:szCs w:val="18"/>
                  <w:color w:val="0000FF"/>
                  <w:w w:val="95"/>
                </w:rPr>
                <w:t>Employment Agreement dated April 30, 2013 between Altisource Solutions S.à r.l. and Vivek Bhandari (incorporated by reference to</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50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Exhibit 10.60 of the Company’s Form 10-K filed on March 15, 2016)</w:t>
              </w:r>
            </w:hyperlink>
          </w:p>
        </w:tc>
        <w:tc>
          <w:tcPr>
            <w:tcW w:w="5060" w:type="dxa"/>
            <w:vAlign w:val="bottom"/>
            <w:tcBorders>
              <w:top w:val="single" w:sz="8" w:color="0000FF"/>
            </w:tcBorders>
            <w:gridSpan w:val="11"/>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2">
              <w:r>
                <w:rPr>
                  <w:rFonts w:ascii="Arial" w:cs="Arial" w:eastAsia="Arial" w:hAnsi="Arial"/>
                  <w:sz w:val="18"/>
                  <w:szCs w:val="18"/>
                  <w:color w:val="0000FF"/>
                </w:rPr>
                <w:t>10.</w:t>
              </w:r>
              <w:r>
                <w:rPr>
                  <w:rFonts w:ascii="Arial" w:cs="Arial" w:eastAsia="Arial" w:hAnsi="Arial"/>
                  <w:sz w:val="18"/>
                  <w:szCs w:val="18"/>
                  <w:u w:val="single" w:color="auto"/>
                  <w:color w:val="0000FF"/>
                </w:rPr>
                <w:t>55</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4"/>
              </w:rPr>
            </w:pPr>
            <w:hyperlink r:id="rId82">
              <w:r>
                <w:rPr>
                  <w:rFonts w:ascii="Arial" w:cs="Arial" w:eastAsia="Arial" w:hAnsi="Arial"/>
                  <w:sz w:val="18"/>
                  <w:szCs w:val="18"/>
                  <w:color w:val="0000FF"/>
                  <w:w w:val="94"/>
                </w:rPr>
                <w:t>Employment Agreement dated June 17, 2011 between Altisource Solutions S.à r.l. and Joseph A. Davila (incorporated by reference to</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50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Exhibit 10.61 of the Company’s Form 10-K filed on March 15, 2016)</w:t>
              </w:r>
            </w:hyperlink>
          </w:p>
        </w:tc>
        <w:tc>
          <w:tcPr>
            <w:tcW w:w="5060" w:type="dxa"/>
            <w:vAlign w:val="bottom"/>
            <w:tcBorders>
              <w:top w:val="single" w:sz="8" w:color="0000FF"/>
            </w:tcBorders>
            <w:gridSpan w:val="11"/>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3">
              <w:r>
                <w:rPr>
                  <w:rFonts w:ascii="Arial" w:cs="Arial" w:eastAsia="Arial" w:hAnsi="Arial"/>
                  <w:sz w:val="18"/>
                  <w:szCs w:val="18"/>
                  <w:color w:val="0000FF"/>
                </w:rPr>
                <w:t>10.</w:t>
              </w:r>
              <w:r>
                <w:rPr>
                  <w:rFonts w:ascii="Arial" w:cs="Arial" w:eastAsia="Arial" w:hAnsi="Arial"/>
                  <w:sz w:val="18"/>
                  <w:szCs w:val="18"/>
                  <w:u w:val="single" w:color="auto"/>
                  <w:color w:val="0000FF"/>
                </w:rPr>
                <w:t>56</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Amended and Restated Employment Agreement effective as of October 1, 2014 between Altisource Solutions S.à r.l. and Gregory J. Ritts</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1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(incorporated by reference to Exhibit 10.63 of the Company’s Form 10-K filed on March 15, 2016)</w:t>
              </w:r>
            </w:hyperlink>
          </w:p>
        </w:tc>
        <w:tc>
          <w:tcPr>
            <w:tcW w:w="2920" w:type="dxa"/>
            <w:vAlign w:val="bottom"/>
            <w:tcBorders>
              <w:top w:val="single" w:sz="8" w:color="0000FF"/>
            </w:tcBorders>
            <w:gridSpan w:val="5"/>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57</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2"/>
              </w:rPr>
            </w:pPr>
            <w:hyperlink r:id="rId84">
              <w:r>
                <w:rPr>
                  <w:rFonts w:ascii="Arial" w:cs="Arial" w:eastAsia="Arial" w:hAnsi="Arial"/>
                  <w:sz w:val="18"/>
                  <w:szCs w:val="18"/>
                  <w:color w:val="0000FF"/>
                  <w:w w:val="92"/>
                </w:rPr>
                <w:t>Non-Qualified Stock Option Award Agreement between the Company and Gregory J. Ritts dated as of August 29, 2016 (incorporated by</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reference to Exhibit 10.1 of the Company’s Form 10-Q filed on October 27, 2016)</w:t>
              </w:r>
            </w:hyperlink>
          </w:p>
        </w:tc>
        <w:tc>
          <w:tcPr>
            <w:tcW w:w="4140" w:type="dxa"/>
            <w:vAlign w:val="bottom"/>
            <w:tcBorders>
              <w:top w:val="single" w:sz="8" w:color="0000FF"/>
            </w:tcBorders>
            <w:gridSpan w:val="9"/>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5">
              <w:r>
                <w:rPr>
                  <w:rFonts w:ascii="Arial" w:cs="Arial" w:eastAsia="Arial" w:hAnsi="Arial"/>
                  <w:sz w:val="18"/>
                  <w:szCs w:val="18"/>
                  <w:color w:val="0000FF"/>
                </w:rPr>
                <w:t>10.</w:t>
              </w:r>
              <w:r>
                <w:rPr>
                  <w:rFonts w:ascii="Arial" w:cs="Arial" w:eastAsia="Arial" w:hAnsi="Arial"/>
                  <w:sz w:val="18"/>
                  <w:szCs w:val="18"/>
                  <w:u w:val="single" w:color="auto"/>
                  <w:color w:val="0000FF"/>
                </w:rPr>
                <w:t>58</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Non-Qualified Stock Option Award Agreement between the Company and Vivek Bhandari dated as of August 29, 2016 (incorporated by</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reference to Exhibit 10.2 of the Company’s Form 10-Q filed on October 27, 2016)</w:t>
              </w:r>
            </w:hyperlink>
          </w:p>
        </w:tc>
        <w:tc>
          <w:tcPr>
            <w:tcW w:w="4140" w:type="dxa"/>
            <w:vAlign w:val="bottom"/>
            <w:tcBorders>
              <w:top w:val="single" w:sz="8" w:color="0000FF"/>
            </w:tcBorders>
            <w:gridSpan w:val="9"/>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6">
              <w:r>
                <w:rPr>
                  <w:rFonts w:ascii="Arial" w:cs="Arial" w:eastAsia="Arial" w:hAnsi="Arial"/>
                  <w:sz w:val="18"/>
                  <w:szCs w:val="18"/>
                  <w:color w:val="0000FF"/>
                </w:rPr>
                <w:t>10.</w:t>
              </w:r>
              <w:r>
                <w:rPr>
                  <w:rFonts w:ascii="Arial" w:cs="Arial" w:eastAsia="Arial" w:hAnsi="Arial"/>
                  <w:sz w:val="18"/>
                  <w:szCs w:val="18"/>
                  <w:u w:val="single" w:color="auto"/>
                  <w:color w:val="0000FF"/>
                </w:rPr>
                <w:t>59</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6"/>
              </w:rPr>
            </w:pPr>
            <w:hyperlink r:id="rId86">
              <w:r>
                <w:rPr>
                  <w:rFonts w:ascii="Arial" w:cs="Arial" w:eastAsia="Arial" w:hAnsi="Arial"/>
                  <w:sz w:val="18"/>
                  <w:szCs w:val="18"/>
                  <w:color w:val="0000FF"/>
                  <w:w w:val="96"/>
                </w:rPr>
                <w:t>Form of Director Restricted Share Award Agreement (incorporated by reference to Exhibit 10.1 of the Company’s Form 8-K filed on</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August 24, 2016)</w:t>
              </w:r>
            </w:hyperlink>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r>
      <w:tr>
        <w:trPr>
          <w:trHeight w:val="372"/>
        </w:trPr>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8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60</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Amendment and Waiver Agreement dated September 30, 2016 between Altisource Solutions S.à r.l. and Altisource Residential Corporation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9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(incorporated by reference to Exhibit 10.1 of the Company’s Form 8-K filed on October 3, 2016)</w:t>
              </w:r>
            </w:hyperlink>
          </w:p>
        </w:tc>
        <w:tc>
          <w:tcPr>
            <w:tcW w:w="3080" w:type="dxa"/>
            <w:vAlign w:val="bottom"/>
            <w:gridSpan w:val="6"/>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8">
              <w:r>
                <w:rPr>
                  <w:rFonts w:ascii="Arial" w:cs="Arial" w:eastAsia="Arial" w:hAnsi="Arial"/>
                  <w:sz w:val="18"/>
                  <w:szCs w:val="18"/>
                  <w:color w:val="0000FF"/>
                </w:rPr>
                <w:t>10.</w:t>
              </w:r>
              <w:r>
                <w:rPr>
                  <w:rFonts w:ascii="Arial" w:cs="Arial" w:eastAsia="Arial" w:hAnsi="Arial"/>
                  <w:sz w:val="18"/>
                  <w:szCs w:val="18"/>
                  <w:u w:val="single" w:color="auto"/>
                  <w:color w:val="0000FF"/>
                </w:rPr>
                <w:t>61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Form of Non-Qualified Stock Option Award Agreement (2017 Performance-Based Stock Options) (incorporated by reference to Exhibit</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of the Company’s Form 8-K filed on April 13, 2017)</w:t>
              </w:r>
            </w:hyperlink>
          </w:p>
        </w:tc>
        <w:tc>
          <w:tcPr>
            <w:tcW w:w="5900" w:type="dxa"/>
            <w:vAlign w:val="bottom"/>
            <w:tcBorders>
              <w:top w:val="single" w:sz="8" w:color="0000FF"/>
            </w:tcBorders>
            <w:gridSpan w:val="12"/>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9">
              <w:r>
                <w:rPr>
                  <w:rFonts w:ascii="Arial" w:cs="Arial" w:eastAsia="Arial" w:hAnsi="Arial"/>
                  <w:sz w:val="18"/>
                  <w:szCs w:val="18"/>
                  <w:color w:val="0000FF"/>
                </w:rPr>
                <w:t>10.</w:t>
              </w:r>
              <w:r>
                <w:rPr>
                  <w:rFonts w:ascii="Arial" w:cs="Arial" w:eastAsia="Arial" w:hAnsi="Arial"/>
                  <w:sz w:val="18"/>
                  <w:szCs w:val="18"/>
                  <w:u w:val="single" w:color="auto"/>
                  <w:color w:val="0000FF"/>
                </w:rPr>
                <w:t>62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7"/>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Form of Non-Qualified Stock Option Award Agreement (Service Revenue Stock Options) (incorporated by reference to Exhibit 10.2 of the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3"/>
              </w:rPr>
            </w:pPr>
            <w:hyperlink r:id="rId89">
              <w:r>
                <w:rPr>
                  <w:rFonts w:ascii="Arial" w:cs="Arial" w:eastAsia="Arial" w:hAnsi="Arial"/>
                  <w:sz w:val="18"/>
                  <w:szCs w:val="18"/>
                  <w:color w:val="0000FF"/>
                  <w:w w:val="93"/>
                </w:rPr>
                <w:t>Company’s Form 8-K filed on April 13, 2017)</w:t>
              </w:r>
            </w:hyperlink>
          </w:p>
        </w:tc>
        <w:tc>
          <w:tcPr>
            <w:tcW w:w="6720" w:type="dxa"/>
            <w:vAlign w:val="bottom"/>
            <w:tcBorders>
              <w:top w:val="single" w:sz="8" w:color="0000FF"/>
            </w:tcBorders>
            <w:gridSpan w:val="13"/>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360"/>
          </w:cols>
          <w:pgMar w:left="240" w:top="125" w:right="29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0" w:type="dxa"/>
            <w:vAlign w:val="bottom"/>
            <w:gridSpan w:val="3"/>
          </w:tcPr>
          <w:p>
            <w:pPr>
              <w:spacing w:after="0"/>
              <w:rPr>
                <w:rFonts w:ascii="Arial" w:cs="Arial" w:eastAsia="Arial" w:hAnsi="Arial"/>
                <w:sz w:val="18"/>
                <w:szCs w:val="18"/>
                <w:color w:val="0000FF"/>
                <w:w w:val="93"/>
              </w:rPr>
            </w:pPr>
            <w:hyperlink r:id="rId9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63</w:t>
              </w:r>
            </w:hyperlink>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14"/>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Form of Restricted Stock Award Agreement (2017 Performance-Based Restricted Shares) (incorporated by reference to Exhibit 10.3 of the</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r:id="rId90">
              <w:r>
                <w:rPr>
                  <w:rFonts w:ascii="Arial" w:cs="Arial" w:eastAsia="Arial" w:hAnsi="Arial"/>
                  <w:sz w:val="18"/>
                  <w:szCs w:val="18"/>
                  <w:color w:val="0000FF"/>
                  <w:w w:val="93"/>
                </w:rPr>
                <w:t>Company’s Form 8-K filed on April 13, 2017)</w:t>
              </w:r>
            </w:hyperlink>
          </w:p>
        </w:tc>
        <w:tc>
          <w:tcPr>
            <w:tcW w:w="6720" w:type="dxa"/>
            <w:vAlign w:val="bottom"/>
            <w:tcBorders>
              <w:top w:val="single" w:sz="8" w:color="0000FF"/>
            </w:tcBorders>
            <w:gridSpan w:val="11"/>
          </w:tcPr>
          <w:p>
            <w:pPr>
              <w:spacing w:after="0"/>
              <w:rPr>
                <w:sz w:val="17"/>
                <w:szCs w:val="17"/>
                <w:color w:val="auto"/>
              </w:rPr>
            </w:pPr>
          </w:p>
        </w:tc>
      </w:tr>
      <w:tr>
        <w:trPr>
          <w:trHeight w:val="372"/>
        </w:trPr>
        <w:tc>
          <w:tcPr>
            <w:tcW w:w="440" w:type="dxa"/>
            <w:vAlign w:val="bottom"/>
            <w:gridSpan w:val="3"/>
          </w:tcPr>
          <w:p>
            <w:pPr>
              <w:spacing w:after="0"/>
              <w:rPr>
                <w:rFonts w:ascii="Arial" w:cs="Arial" w:eastAsia="Arial" w:hAnsi="Arial"/>
                <w:sz w:val="18"/>
                <w:szCs w:val="18"/>
                <w:color w:val="0000FF"/>
                <w:w w:val="93"/>
              </w:rPr>
            </w:pPr>
            <w:hyperlink r:id="rId9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64</w:t>
              </w:r>
            </w:hyperlink>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14"/>
          </w:tcPr>
          <w:p>
            <w:pPr>
              <w:spacing w:after="0"/>
              <w:rPr>
                <w:rFonts w:ascii="Arial" w:cs="Arial" w:eastAsia="Arial" w:hAnsi="Arial"/>
                <w:sz w:val="18"/>
                <w:szCs w:val="18"/>
                <w:color w:val="0000FF"/>
                <w:w w:val="98"/>
              </w:rPr>
            </w:pPr>
            <w:hyperlink r:id="rId91">
              <w:r>
                <w:rPr>
                  <w:rFonts w:ascii="Arial" w:cs="Arial" w:eastAsia="Arial" w:hAnsi="Arial"/>
                  <w:sz w:val="18"/>
                  <w:szCs w:val="18"/>
                  <w:color w:val="0000FF"/>
                  <w:w w:val="98"/>
                </w:rPr>
                <w:t>Form of Restricted Stock Award Agreement (Service-Based Restricted Shares) (incorporated by reference to Exhibit 10.4 of the</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r:id="rId91">
              <w:r>
                <w:rPr>
                  <w:rFonts w:ascii="Arial" w:cs="Arial" w:eastAsia="Arial" w:hAnsi="Arial"/>
                  <w:sz w:val="18"/>
                  <w:szCs w:val="18"/>
                  <w:color w:val="0000FF"/>
                  <w:w w:val="93"/>
                </w:rPr>
                <w:t>Company’s Form 8-K filed on April 13, 2017)</w:t>
              </w:r>
            </w:hyperlink>
          </w:p>
        </w:tc>
        <w:tc>
          <w:tcPr>
            <w:tcW w:w="6720" w:type="dxa"/>
            <w:vAlign w:val="bottom"/>
            <w:tcBorders>
              <w:top w:val="single" w:sz="8" w:color="0000FF"/>
            </w:tcBorders>
            <w:gridSpan w:val="11"/>
          </w:tcPr>
          <w:p>
            <w:pPr>
              <w:spacing w:after="0"/>
              <w:rPr>
                <w:sz w:val="17"/>
                <w:szCs w:val="17"/>
                <w:color w:val="auto"/>
              </w:rPr>
            </w:pPr>
          </w:p>
        </w:tc>
      </w:tr>
      <w:tr>
        <w:trPr>
          <w:trHeight w:val="372"/>
        </w:trPr>
        <w:tc>
          <w:tcPr>
            <w:tcW w:w="440" w:type="dxa"/>
            <w:vAlign w:val="bottom"/>
            <w:gridSpan w:val="3"/>
          </w:tcPr>
          <w:p>
            <w:pPr>
              <w:spacing w:after="0"/>
              <w:rPr>
                <w:rFonts w:ascii="Arial" w:cs="Arial" w:eastAsia="Arial" w:hAnsi="Arial"/>
                <w:sz w:val="18"/>
                <w:szCs w:val="18"/>
                <w:color w:val="0000FF"/>
                <w:w w:val="93"/>
              </w:rPr>
            </w:pPr>
            <w:hyperlink r:id="rId9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65</w:t>
              </w:r>
            </w:hyperlink>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14"/>
          </w:tcPr>
          <w:p>
            <w:pPr>
              <w:spacing w:after="0"/>
              <w:rPr>
                <w:rFonts w:ascii="Arial" w:cs="Arial" w:eastAsia="Arial" w:hAnsi="Arial"/>
                <w:sz w:val="18"/>
                <w:szCs w:val="18"/>
                <w:color w:val="0000FF"/>
                <w:w w:val="91"/>
              </w:rPr>
            </w:pPr>
            <w:hyperlink r:id="rId92">
              <w:r>
                <w:rPr>
                  <w:rFonts w:ascii="Arial" w:cs="Arial" w:eastAsia="Arial" w:hAnsi="Arial"/>
                  <w:sz w:val="18"/>
                  <w:szCs w:val="18"/>
                  <w:color w:val="0000FF"/>
                  <w:w w:val="91"/>
                </w:rPr>
                <w:t>Employment Agreement dated August 3, 2017 between Altisource Solutions S.à r.l. and Indroneel Chatterjee (incorporated by reference to</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Exhibit 10.5 of the Company’s Form 10-Q filed on October 26, 2017)</w:t>
              </w:r>
            </w:hyperlink>
          </w:p>
        </w:tc>
        <w:tc>
          <w:tcPr>
            <w:tcW w:w="5040" w:type="dxa"/>
            <w:vAlign w:val="bottom"/>
            <w:tcBorders>
              <w:top w:val="single" w:sz="8" w:color="0000FF"/>
            </w:tcBorders>
            <w:gridSpan w:val="10"/>
          </w:tcPr>
          <w:p>
            <w:pPr>
              <w:spacing w:after="0"/>
              <w:rPr>
                <w:sz w:val="17"/>
                <w:szCs w:val="17"/>
                <w:color w:val="auto"/>
              </w:rPr>
            </w:pPr>
          </w:p>
        </w:tc>
      </w:tr>
      <w:tr>
        <w:trPr>
          <w:trHeight w:val="372"/>
        </w:trPr>
        <w:tc>
          <w:tcPr>
            <w:tcW w:w="440" w:type="dxa"/>
            <w:vAlign w:val="bottom"/>
            <w:gridSpan w:val="3"/>
          </w:tcPr>
          <w:p>
            <w:pPr>
              <w:spacing w:after="0"/>
              <w:rPr>
                <w:rFonts w:ascii="Arial" w:cs="Arial" w:eastAsia="Arial" w:hAnsi="Arial"/>
                <w:sz w:val="18"/>
                <w:szCs w:val="18"/>
                <w:color w:val="0000FF"/>
                <w:w w:val="93"/>
              </w:rPr>
            </w:pPr>
            <w:hyperlink r:id="rId9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66</w:t>
              </w:r>
            </w:hyperlink>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14"/>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Non-Qualified Stock Option Award Agreement between the Company and Indroneel Chatterjee dated as of October 5, 2017 (incorporated</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1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by reference to Exhibit 10.6 of the Company’s Form 10-Q filed on October 26, 2017)</w:t>
              </w:r>
            </w:hyperlink>
          </w:p>
        </w:tc>
        <w:tc>
          <w:tcPr>
            <w:tcW w:w="3920" w:type="dxa"/>
            <w:vAlign w:val="bottom"/>
            <w:tcBorders>
              <w:top w:val="single" w:sz="8" w:color="0000FF"/>
            </w:tcBorders>
            <w:gridSpan w:val="5"/>
          </w:tcPr>
          <w:p>
            <w:pPr>
              <w:spacing w:after="0"/>
              <w:rPr>
                <w:sz w:val="17"/>
                <w:szCs w:val="17"/>
                <w:color w:val="auto"/>
              </w:rPr>
            </w:pPr>
          </w:p>
        </w:tc>
      </w:tr>
      <w:tr>
        <w:trPr>
          <w:trHeight w:val="372"/>
        </w:trPr>
        <w:tc>
          <w:tcPr>
            <w:tcW w:w="440" w:type="dxa"/>
            <w:vAlign w:val="bottom"/>
            <w:gridSpan w:val="3"/>
          </w:tcPr>
          <w:p>
            <w:pPr>
              <w:spacing w:after="0"/>
              <w:rPr>
                <w:rFonts w:ascii="Arial" w:cs="Arial" w:eastAsia="Arial" w:hAnsi="Arial"/>
                <w:sz w:val="18"/>
                <w:szCs w:val="18"/>
                <w:color w:val="0000FF"/>
                <w:w w:val="93"/>
              </w:rPr>
            </w:pPr>
            <w:hyperlink r:id="rId9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67</w:t>
              </w:r>
            </w:hyperlink>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14"/>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Restricted Stock Award Agreement between the Company and Indroneel Chatterjee dated as of October 5, 2017 (incorporated by reference</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to Exhibit 10.7 of the Company’s Form 10-Q filed on October 26, 2017)</w:t>
              </w:r>
            </w:hyperlink>
          </w:p>
        </w:tc>
      </w:tr>
      <w:tr>
        <w:trPr>
          <w:trHeight w:val="20"/>
        </w:trPr>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93"/>
              </w:rPr>
            </w:pPr>
            <w:hyperlink r:id="rId9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68</w:t>
              </w:r>
            </w:hyperlink>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14"/>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Cooperative Brokerage Agreement, dated as of August 28, 2017, between REALHome Services and Solutions, Inc., REALHome Services</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and Solutions - CT, Inc. and New Residential Sales Corp. (incorporated by reference to Exhibit 10.8 of the Company’s Form 10-Q filed 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gridSpan w:val="14"/>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October 26, 2017)</w:t>
              </w:r>
            </w:hyperlink>
          </w:p>
        </w:tc>
      </w:tr>
      <w:tr>
        <w:trPr>
          <w:trHeight w:val="20"/>
        </w:trPr>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93"/>
              </w:rPr>
            </w:pPr>
            <w:hyperlink r:id="rId9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69</w:t>
              </w:r>
            </w:hyperlink>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14"/>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Letter Agreement, dated as of August 28, 2017, between New Residential Investment Corp., New Residential Mortgage LLC, REALHome</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Services and Solutions, Inc., REALHome Services and Solutions - CT, Inc. and Altisource Solutions S.à r.l. (incorporated by reference to</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Exhibit 10.9 of the Company’s Form 10-Q filed on October 26, 2017)</w:t>
              </w:r>
            </w:hyperlink>
          </w:p>
        </w:tc>
        <w:tc>
          <w:tcPr>
            <w:tcW w:w="5040" w:type="dxa"/>
            <w:vAlign w:val="bottom"/>
            <w:gridSpan w:val="10"/>
          </w:tcPr>
          <w:p>
            <w:pPr>
              <w:spacing w:after="0"/>
              <w:rPr>
                <w:sz w:val="17"/>
                <w:szCs w:val="17"/>
                <w:color w:val="auto"/>
              </w:rPr>
            </w:pPr>
          </w:p>
        </w:tc>
      </w:tr>
      <w:tr>
        <w:trPr>
          <w:trHeight w:val="372"/>
        </w:trPr>
        <w:tc>
          <w:tcPr>
            <w:tcW w:w="440" w:type="dxa"/>
            <w:vAlign w:val="bottom"/>
            <w:gridSpan w:val="3"/>
          </w:tcPr>
          <w:p>
            <w:pPr>
              <w:spacing w:after="0"/>
              <w:rPr>
                <w:rFonts w:ascii="Arial" w:cs="Arial" w:eastAsia="Arial" w:hAnsi="Arial"/>
                <w:sz w:val="18"/>
                <w:szCs w:val="18"/>
                <w:color w:val="0000FF"/>
                <w:w w:val="93"/>
              </w:rPr>
            </w:pPr>
            <w:hyperlink r:id="rId9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70</w:t>
              </w:r>
            </w:hyperlink>
          </w:p>
        </w:tc>
        <w:tc>
          <w:tcPr>
            <w:tcW w:w="82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FF"/>
                <w:w w:val="93"/>
              </w:rPr>
            </w:pPr>
            <w:hyperlink r:id="rId97">
              <w:r>
                <w:rPr>
                  <w:rFonts w:ascii="Arial" w:cs="Arial" w:eastAsia="Arial" w:hAnsi="Arial"/>
                  <w:sz w:val="18"/>
                  <w:szCs w:val="18"/>
                  <w:color w:val="0000FF"/>
                  <w:w w:val="93"/>
                </w:rPr>
                <w:t>Amendment No. 4 to Credit Agreement, dated as of December 1, 2017, among Altisource Solutions S.à r.l., Altisource Holdings S.à r.l.,</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7"/>
              </w:rPr>
            </w:pPr>
            <w:hyperlink r:id="rId97">
              <w:r>
                <w:rPr>
                  <w:rFonts w:ascii="Arial" w:cs="Arial" w:eastAsia="Arial" w:hAnsi="Arial"/>
                  <w:sz w:val="18"/>
                  <w:szCs w:val="18"/>
                  <w:color w:val="0000FF"/>
                  <w:w w:val="97"/>
                </w:rPr>
                <w:t>Altisource Portfolio Solutions S.A., Bank of America, N.A, as Administrative Agent, and the Lenders party thereto (incorporated by</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9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reference to Exhibit 10.1 of the Company’s Form 8-K filed on December 7, 2017)</w:t>
              </w:r>
            </w:hyperlink>
          </w:p>
        </w:tc>
        <w:tc>
          <w:tcPr>
            <w:tcW w:w="4160" w:type="dxa"/>
            <w:vAlign w:val="bottom"/>
            <w:gridSpan w:val="8"/>
          </w:tcPr>
          <w:p>
            <w:pPr>
              <w:spacing w:after="0"/>
              <w:rPr>
                <w:sz w:val="17"/>
                <w:szCs w:val="17"/>
                <w:color w:val="auto"/>
              </w:rPr>
            </w:pPr>
          </w:p>
        </w:tc>
      </w:tr>
      <w:tr>
        <w:trPr>
          <w:trHeight w:val="372"/>
        </w:trPr>
        <w:tc>
          <w:tcPr>
            <w:tcW w:w="440" w:type="dxa"/>
            <w:vAlign w:val="bottom"/>
            <w:gridSpan w:val="3"/>
          </w:tcPr>
          <w:p>
            <w:pPr>
              <w:spacing w:after="0"/>
              <w:rPr>
                <w:rFonts w:ascii="Arial" w:cs="Arial" w:eastAsia="Arial" w:hAnsi="Arial"/>
                <w:sz w:val="18"/>
                <w:szCs w:val="18"/>
                <w:color w:val="0000FF"/>
                <w:w w:val="93"/>
              </w:rPr>
            </w:pPr>
            <w:hyperlink w:anchor="page11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71</w:t>
              </w:r>
            </w:hyperlink>
          </w:p>
        </w:tc>
        <w:tc>
          <w:tcPr>
            <w:tcW w:w="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p>
        </w:tc>
        <w:tc>
          <w:tcPr>
            <w:tcW w:w="10060" w:type="dxa"/>
            <w:vAlign w:val="bottom"/>
            <w:gridSpan w:val="14"/>
          </w:tcPr>
          <w:p>
            <w:pPr>
              <w:spacing w:after="0"/>
              <w:rPr>
                <w:rFonts w:ascii="Arial" w:cs="Arial" w:eastAsia="Arial" w:hAnsi="Arial"/>
                <w:sz w:val="18"/>
                <w:szCs w:val="18"/>
                <w:color w:val="0000FF"/>
                <w:w w:val="90"/>
              </w:rPr>
            </w:pPr>
            <w:hyperlink w:anchor="page111">
              <w:r>
                <w:rPr>
                  <w:rFonts w:ascii="Arial" w:cs="Arial" w:eastAsia="Arial" w:hAnsi="Arial"/>
                  <w:sz w:val="18"/>
                  <w:szCs w:val="18"/>
                  <w:color w:val="0000FF"/>
                  <w:w w:val="90"/>
                </w:rPr>
                <w:t>First Amendment to the Cooperative Brokerage Agreement, dated as of November 16, 2017, between REALHome Services and Solutions,</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1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w:anchor="page111">
              <w:r>
                <w:rPr>
                  <w:rFonts w:ascii="Arial" w:cs="Arial" w:eastAsia="Arial" w:hAnsi="Arial"/>
                  <w:sz w:val="18"/>
                  <w:szCs w:val="18"/>
                  <w:color w:val="0000FF"/>
                  <w:w w:val="91"/>
                </w:rPr>
                <w:t>Inc., REALHome Services and Solutions - CT, Inc. and New Residential Sales Corp.</w:t>
              </w:r>
            </w:hyperlink>
          </w:p>
        </w:tc>
        <w:tc>
          <w:tcPr>
            <w:tcW w:w="3940" w:type="dxa"/>
            <w:vAlign w:val="bottom"/>
            <w:tcBorders>
              <w:top w:val="single" w:sz="8" w:color="0000FF"/>
            </w:tcBorders>
            <w:gridSpan w:val="6"/>
          </w:tcPr>
          <w:p>
            <w:pPr>
              <w:spacing w:after="0"/>
              <w:rPr>
                <w:sz w:val="17"/>
                <w:szCs w:val="17"/>
                <w:color w:val="auto"/>
              </w:rPr>
            </w:pPr>
          </w:p>
        </w:tc>
      </w:tr>
      <w:tr>
        <w:trPr>
          <w:trHeight w:val="372"/>
        </w:trPr>
        <w:tc>
          <w:tcPr>
            <w:tcW w:w="440" w:type="dxa"/>
            <w:vAlign w:val="bottom"/>
            <w:gridSpan w:val="3"/>
          </w:tcPr>
          <w:p>
            <w:pPr>
              <w:spacing w:after="0"/>
              <w:rPr>
                <w:rFonts w:ascii="Arial" w:cs="Arial" w:eastAsia="Arial" w:hAnsi="Arial"/>
                <w:sz w:val="18"/>
                <w:szCs w:val="18"/>
                <w:color w:val="0000FF"/>
                <w:w w:val="93"/>
              </w:rPr>
            </w:pPr>
            <w:hyperlink w:anchor="page11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72</w:t>
              </w:r>
            </w:hyperlink>
          </w:p>
        </w:tc>
        <w:tc>
          <w:tcPr>
            <w:tcW w:w="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p>
        </w:tc>
        <w:tc>
          <w:tcPr>
            <w:tcW w:w="10060" w:type="dxa"/>
            <w:vAlign w:val="bottom"/>
            <w:gridSpan w:val="14"/>
          </w:tcPr>
          <w:p>
            <w:pPr>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Second Amendment to the Cooperative Brokerage Agreement, dated as of January 18, 2018, between REALHome Services and Solutions,</w:t>
              </w:r>
            </w:hyperlink>
          </w:p>
        </w:tc>
      </w:tr>
      <w:tr>
        <w:trPr>
          <w:trHeight w:val="196"/>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113">
              <w:r>
                <w:rPr>
                  <w:rFonts w:ascii="Arial" w:cs="Arial" w:eastAsia="Arial" w:hAnsi="Arial"/>
                  <w:sz w:val="18"/>
                  <w:szCs w:val="18"/>
                  <w:color w:val="0000FF"/>
                </w:rPr>
                <w:t>Inc., REALHome Services and Solutions - CT, Inc. and New Residential Sales Corp.</w:t>
              </w:r>
            </w:hyperlink>
          </w:p>
        </w:tc>
      </w:tr>
      <w:tr>
        <w:trPr>
          <w:trHeight w:val="385"/>
        </w:trPr>
        <w:tc>
          <w:tcPr>
            <w:tcW w:w="440" w:type="dxa"/>
            <w:vAlign w:val="bottom"/>
            <w:gridSpan w:val="3"/>
          </w:tcPr>
          <w:p>
            <w:pPr>
              <w:spacing w:after="0"/>
              <w:rPr>
                <w:rFonts w:ascii="Arial" w:cs="Arial" w:eastAsia="Arial" w:hAnsi="Arial"/>
                <w:sz w:val="18"/>
                <w:szCs w:val="18"/>
                <w:color w:val="0000FF"/>
                <w:w w:val="89"/>
              </w:rPr>
            </w:pPr>
            <w:hyperlink w:anchor="page119">
              <w:r>
                <w:rPr>
                  <w:rFonts w:ascii="Arial" w:cs="Arial" w:eastAsia="Arial" w:hAnsi="Arial"/>
                  <w:sz w:val="18"/>
                  <w:szCs w:val="18"/>
                  <w:color w:val="0000FF"/>
                  <w:w w:val="89"/>
                </w:rPr>
                <w:t>21.</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6100" w:type="dxa"/>
            <w:vAlign w:val="bottom"/>
            <w:tcBorders>
              <w:top w:val="single" w:sz="8" w:color="0000FF"/>
            </w:tcBorders>
            <w:gridSpan w:val="7"/>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Subsidiaries of the Registrant.</w:t>
              </w:r>
            </w:hyperlink>
          </w:p>
        </w:tc>
        <w:tc>
          <w:tcPr>
            <w:tcW w:w="3960" w:type="dxa"/>
            <w:vAlign w:val="bottom"/>
            <w:gridSpan w:val="7"/>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89"/>
              </w:rPr>
            </w:pPr>
            <w:hyperlink w:anchor="page121">
              <w:r>
                <w:rPr>
                  <w:rFonts w:ascii="Arial" w:cs="Arial" w:eastAsia="Arial" w:hAnsi="Arial"/>
                  <w:sz w:val="18"/>
                  <w:szCs w:val="18"/>
                  <w:color w:val="0000FF"/>
                  <w:w w:val="89"/>
                </w:rPr>
                <w:t>23.</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Consent of Independent Registered Public Accounting Firm (Mayer Hoffman McCann P.C.).</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20" w:type="dxa"/>
            <w:vAlign w:val="bottom"/>
            <w:gridSpan w:val="10"/>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89"/>
              </w:rPr>
            </w:pPr>
            <w:hyperlink w:anchor="page122">
              <w:r>
                <w:rPr>
                  <w:rFonts w:ascii="Arial" w:cs="Arial" w:eastAsia="Arial" w:hAnsi="Arial"/>
                  <w:sz w:val="18"/>
                  <w:szCs w:val="18"/>
                  <w:color w:val="0000FF"/>
                  <w:w w:val="89"/>
                </w:rPr>
                <w:t>23.</w:t>
              </w:r>
              <w:r>
                <w:rPr>
                  <w:rFonts w:ascii="Arial" w:cs="Arial" w:eastAsia="Arial" w:hAnsi="Arial"/>
                  <w:sz w:val="18"/>
                  <w:szCs w:val="18"/>
                  <w:u w:val="single" w:color="auto"/>
                  <w:color w:val="0000FF"/>
                  <w:w w:val="89"/>
                </w:rPr>
                <w:t>2</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Consent of Independent Registered Public Accounting Firm (Deloitte &amp; Touche LLP).</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20" w:type="dxa"/>
            <w:vAlign w:val="bottom"/>
            <w:gridSpan w:val="10"/>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89"/>
              </w:rPr>
            </w:pPr>
            <w:hyperlink w:anchor="page123">
              <w:r>
                <w:rPr>
                  <w:rFonts w:ascii="Arial" w:cs="Arial" w:eastAsia="Arial" w:hAnsi="Arial"/>
                  <w:sz w:val="18"/>
                  <w:szCs w:val="18"/>
                  <w:color w:val="0000FF"/>
                  <w:w w:val="89"/>
                </w:rPr>
                <w:t>31.</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Section 302 Certification of the Chief Executive Officer pursuant to Exchange Act Rule 13a-14(a).</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60" w:type="dxa"/>
            <w:vAlign w:val="bottom"/>
            <w:gridSpan w:val="12"/>
            <w:shd w:val="clear" w:color="auto" w:fill="0000FF"/>
          </w:tcPr>
          <w:p>
            <w:pPr>
              <w:spacing w:after="0" w:line="20" w:lineRule="exact"/>
              <w:rPr>
                <w:sz w:val="1"/>
                <w:szCs w:val="1"/>
                <w:color w:val="auto"/>
              </w:rPr>
            </w:pPr>
          </w:p>
        </w:tc>
        <w:tc>
          <w:tcPr>
            <w:tcW w:w="24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89"/>
              </w:rPr>
            </w:pPr>
            <w:hyperlink w:anchor="page124">
              <w:r>
                <w:rPr>
                  <w:rFonts w:ascii="Arial" w:cs="Arial" w:eastAsia="Arial" w:hAnsi="Arial"/>
                  <w:sz w:val="18"/>
                  <w:szCs w:val="18"/>
                  <w:color w:val="0000FF"/>
                  <w:w w:val="89"/>
                </w:rPr>
                <w:t>31.</w:t>
              </w:r>
              <w:r>
                <w:rPr>
                  <w:rFonts w:ascii="Arial" w:cs="Arial" w:eastAsia="Arial" w:hAnsi="Arial"/>
                  <w:sz w:val="18"/>
                  <w:szCs w:val="18"/>
                  <w:u w:val="single" w:color="auto"/>
                  <w:color w:val="0000FF"/>
                  <w:w w:val="89"/>
                </w:rPr>
                <w:t>2</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Section 302 Certification of the Chief Financial Officer pursuant to Exchange Act Rule 13a-14(a).</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60" w:type="dxa"/>
            <w:vAlign w:val="bottom"/>
            <w:gridSpan w:val="12"/>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89"/>
              </w:rPr>
            </w:pPr>
            <w:hyperlink w:anchor="page125">
              <w:r>
                <w:rPr>
                  <w:rFonts w:ascii="Arial" w:cs="Arial" w:eastAsia="Arial" w:hAnsi="Arial"/>
                  <w:sz w:val="18"/>
                  <w:szCs w:val="18"/>
                  <w:color w:val="0000FF"/>
                  <w:w w:val="89"/>
                </w:rPr>
                <w:t>32.</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FF"/>
                <w:w w:val="97"/>
              </w:rPr>
            </w:pPr>
            <w:hyperlink w:anchor="page125">
              <w:r>
                <w:rPr>
                  <w:rFonts w:ascii="Arial" w:cs="Arial" w:eastAsia="Arial" w:hAnsi="Arial"/>
                  <w:sz w:val="18"/>
                  <w:szCs w:val="18"/>
                  <w:color w:val="0000FF"/>
                  <w:w w:val="97"/>
                </w:rPr>
                <w:t>Certification of the Chief Executive Officer and Chief Financial Officer pursuant to Section 906 of the Sarbanes-Oxley Act of 2002.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520" w:type="dxa"/>
            <w:vAlign w:val="bottom"/>
            <w:gridSpan w:val="1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98"/>
        </w:trPr>
        <w:tc>
          <w:tcPr>
            <w:tcW w:w="400" w:type="dxa"/>
            <w:vAlign w:val="bottom"/>
            <w:gridSpan w:val="2"/>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w w:val="92"/>
              </w:rPr>
              <w:t>Pursuant to Rule 405 of Regulation S-T, the following financial information from the Company’s Annual Report on Form 10-K for the year</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w w:val="97"/>
              </w:rPr>
              <w:t>ended December 31, 2017 is formatted in XBRL interactive data files: (i) Consolidated Balance Sheets at December 31, 2017 and</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w w:val="91"/>
              </w:rPr>
              <w:t>December 31, 2016; (ii) Consolidated Statements of Operations and Comprehensive Income for each of the years in the three-year period</w:t>
            </w: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w w:val="90"/>
              </w:rPr>
              <w:t>ended December 31, 2017; (iii) Consolidated Statements of Equity for each of the years in the three-year period ended December 31, 2017</w:t>
            </w:r>
          </w:p>
        </w:tc>
      </w:tr>
    </w:tbl>
    <w:p>
      <w:pPr>
        <w:ind w:left="1300" w:right="40"/>
        <w:spacing w:after="0" w:line="257" w:lineRule="auto"/>
        <w:rPr>
          <w:sz w:val="20"/>
          <w:szCs w:val="20"/>
          <w:color w:val="auto"/>
        </w:rPr>
      </w:pPr>
      <w:r>
        <w:rPr>
          <w:rFonts w:ascii="Arial" w:cs="Arial" w:eastAsia="Arial" w:hAnsi="Arial"/>
          <w:sz w:val="18"/>
          <w:szCs w:val="18"/>
          <w:color w:val="auto"/>
        </w:rPr>
        <w:t>(iv) Consolidated Statements of Cash Flows for each of the years in the three-year period ended December 31, 2017; (v) Notes to Consolidated Financial Statements; and (vi) Financial Statement Schedule.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171" w:lineRule="exact"/>
        <w:rPr>
          <w:sz w:val="20"/>
          <w:szCs w:val="20"/>
          <w:color w:val="auto"/>
        </w:rPr>
      </w:pPr>
    </w:p>
    <w:p>
      <w:pPr>
        <w:ind w:left="1180" w:hanging="1145"/>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180" w:hanging="1145"/>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130" w:lineRule="exact"/>
        <w:rPr>
          <w:sz w:val="20"/>
          <w:szCs w:val="20"/>
          <w:color w:val="auto"/>
        </w:rPr>
      </w:pPr>
    </w:p>
    <w:p>
      <w:pPr>
        <w:ind w:left="1180" w:hanging="1145"/>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ectPr>
          <w:pgSz w:w="11900" w:h="16838" w:orient="portrait"/>
          <w:cols w:equalWidth="0" w:num="1">
            <w:col w:w="11400"/>
          </w:cols>
          <w:pgMar w:left="240" w:top="125" w:right="2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00"/>
          </w:cols>
          <w:pgMar w:left="240" w:top="125" w:right="25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Balance at Beginning</w:t>
            </w: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Charged to Expenses</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Charged to Other</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Deductions Note </w:t>
            </w:r>
            <w:r>
              <w:rPr>
                <w:rFonts w:ascii="Arial" w:cs="Arial" w:eastAsia="Arial" w:hAnsi="Arial"/>
                <w:sz w:val="8"/>
                <w:szCs w:val="8"/>
                <w:b w:val="1"/>
                <w:bCs w:val="1"/>
                <w:color w:val="auto"/>
              </w:rPr>
              <w:t>(2)</w:t>
            </w:r>
          </w:p>
        </w:tc>
        <w:tc>
          <w:tcPr>
            <w:tcW w:w="120" w:type="dxa"/>
            <w:vAlign w:val="bottom"/>
          </w:tcPr>
          <w:p>
            <w:pPr>
              <w:spacing w:after="0"/>
              <w:rPr>
                <w:sz w:val="13"/>
                <w:szCs w:val="13"/>
                <w:color w:val="auto"/>
              </w:rPr>
            </w:pPr>
          </w:p>
        </w:tc>
        <w:tc>
          <w:tcPr>
            <w:tcW w:w="1240" w:type="dxa"/>
            <w:vAlign w:val="bottom"/>
          </w:tcPr>
          <w:p>
            <w:pPr>
              <w:jc w:val="right"/>
              <w:ind w:right="54"/>
              <w:spacing w:after="0" w:line="153"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of Period</w:t>
            </w: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Accounts Note </w:t>
            </w:r>
            <w:r>
              <w:rPr>
                <w:rFonts w:ascii="Arial" w:cs="Arial" w:eastAsia="Arial" w:hAnsi="Arial"/>
                <w:sz w:val="8"/>
                <w:szCs w:val="8"/>
                <w:b w:val="1"/>
                <w:bCs w:val="1"/>
                <w:color w:val="auto"/>
                <w:w w:val="90"/>
              </w:rPr>
              <w:t>(1)</w:t>
            </w: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Deductions from asset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2017</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10,424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10,579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Year 2016</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18,456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2015</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18,456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2017</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42,816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46,283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Year 2016</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2015</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line="222" w:lineRule="auto"/>
        <w:tabs>
          <w:tab w:leader="none" w:pos="26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For allowance for doubtful accounts, primarily includes amounts previously written off which were credited directly to this account when recovered.</w:t>
      </w:r>
    </w:p>
    <w:p>
      <w:pPr>
        <w:spacing w:after="0" w:line="2" w:lineRule="exact"/>
        <w:rPr>
          <w:rFonts w:ascii="Arial" w:cs="Arial" w:eastAsia="Arial" w:hAnsi="Arial"/>
          <w:sz w:val="24"/>
          <w:szCs w:val="24"/>
          <w:color w:val="auto"/>
          <w:vertAlign w:val="superscript"/>
        </w:rPr>
      </w:pPr>
    </w:p>
    <w:p>
      <w:pPr>
        <w:ind w:left="260" w:hanging="252"/>
        <w:spacing w:after="0" w:line="186" w:lineRule="auto"/>
        <w:tabs>
          <w:tab w:leader="none" w:pos="26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For allowance for doubtful accounts, amounts written off as uncollectible or transferred to other accounts or utilized.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329"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Altisource Portfolio Solutions S.A.</w:t>
      </w:r>
    </w:p>
    <w:p>
      <w:pPr>
        <w:spacing w:after="0" w:line="364"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8"/>
          <w:szCs w:val="18"/>
          <w:color w:val="auto"/>
        </w:rPr>
        <w:t>By:</w:t>
        <w:tab/>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Pr>
          <w:p>
            <w:pPr>
              <w:ind w:left="100"/>
              <w:spacing w:after="0"/>
              <w:rPr>
                <w:sz w:val="20"/>
                <w:szCs w:val="20"/>
                <w:color w:val="auto"/>
              </w:rPr>
            </w:pPr>
            <w:r>
              <w:rPr>
                <w:rFonts w:ascii="Arial" w:cs="Arial" w:eastAsia="Arial" w:hAnsi="Arial"/>
                <w:sz w:val="18"/>
                <w:szCs w:val="18"/>
                <w:color w:val="auto"/>
              </w:rPr>
              <w:t>William B. Shepro</w:t>
            </w:r>
          </w:p>
        </w:tc>
      </w:tr>
      <w:tr>
        <w:trPr>
          <w:trHeight w:val="270"/>
        </w:trPr>
        <w:tc>
          <w:tcPr>
            <w:tcW w:w="44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72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4760" w:type="dxa"/>
            <w:vAlign w:val="bottom"/>
            <w:gridSpan w:val="3"/>
          </w:tcPr>
          <w:p>
            <w:pPr>
              <w:spacing w:after="0"/>
              <w:rPr>
                <w:sz w:val="20"/>
                <w:szCs w:val="20"/>
                <w:color w:val="auto"/>
              </w:rPr>
            </w:pPr>
            <w:r>
              <w:rPr>
                <w:rFonts w:ascii="Arial" w:cs="Arial" w:eastAsia="Arial" w:hAnsi="Arial"/>
                <w:sz w:val="18"/>
                <w:szCs w:val="18"/>
                <w:color w:val="auto"/>
              </w:rPr>
              <w:t>By:  /s/ Michelle D. Esterman</w:t>
            </w:r>
          </w:p>
        </w:tc>
      </w:tr>
      <w:tr>
        <w:trPr>
          <w:trHeight w:val="27"/>
        </w:trPr>
        <w:tc>
          <w:tcPr>
            <w:tcW w:w="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Pr>
          <w:p>
            <w:pPr>
              <w:ind w:left="100"/>
              <w:spacing w:after="0"/>
              <w:rPr>
                <w:sz w:val="20"/>
                <w:szCs w:val="20"/>
                <w:color w:val="auto"/>
              </w:rPr>
            </w:pPr>
            <w:r>
              <w:rPr>
                <w:rFonts w:ascii="Arial" w:cs="Arial" w:eastAsia="Arial" w:hAnsi="Arial"/>
                <w:sz w:val="18"/>
                <w:szCs w:val="18"/>
                <w:color w:val="auto"/>
              </w:rPr>
              <w:t>Michelle D. Esterman</w:t>
            </w:r>
          </w:p>
        </w:tc>
      </w:tr>
      <w:tr>
        <w:trPr>
          <w:trHeight w:val="270"/>
        </w:trPr>
        <w:tc>
          <w:tcPr>
            <w:tcW w:w="44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720" w:type="dxa"/>
            <w:vAlign w:val="bottom"/>
          </w:tcPr>
          <w:p>
            <w:pPr>
              <w:ind w:left="100"/>
              <w:spacing w:after="0"/>
              <w:rPr>
                <w:sz w:val="20"/>
                <w:szCs w:val="20"/>
                <w:color w:val="auto"/>
              </w:rPr>
            </w:pPr>
            <w:r>
              <w:rPr>
                <w:rFonts w:ascii="Arial" w:cs="Arial" w:eastAsia="Arial" w:hAnsi="Arial"/>
                <w:sz w:val="18"/>
                <w:szCs w:val="18"/>
                <w:color w:val="auto"/>
              </w:rPr>
              <w:t>Executive Vice President, Finance</w:t>
            </w: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40"/>
        </w:trPr>
        <w:tc>
          <w:tcPr>
            <w:tcW w:w="2640" w:type="dxa"/>
            <w:vAlign w:val="bottom"/>
          </w:tcPr>
          <w:p>
            <w:pPr>
              <w:ind w:left="40"/>
              <w:spacing w:after="0"/>
              <w:rPr>
                <w:sz w:val="20"/>
                <w:szCs w:val="20"/>
                <w:color w:val="auto"/>
              </w:rPr>
            </w:pPr>
            <w:r>
              <w:rPr>
                <w:rFonts w:ascii="Arial" w:cs="Arial" w:eastAsia="Arial" w:hAnsi="Arial"/>
                <w:sz w:val="18"/>
                <w:szCs w:val="18"/>
                <w:color w:val="auto"/>
              </w:rPr>
              <w:t>/s/ Timo Vättö</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of the Board of Directors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22, 2018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Timo Vättö</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Director and Chief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22, 2018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20" w:type="dxa"/>
            <w:vAlign w:val="bottom"/>
          </w:tcPr>
          <w:p>
            <w:pPr>
              <w:spacing w:after="0"/>
              <w:rPr>
                <w:sz w:val="20"/>
                <w:szCs w:val="20"/>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Orin S. Kramer</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22, 2018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Orin S. Kramer</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W. Michael Linn</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22, 2018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W. Michael Linn</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Joseph L. Morettini</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22, 2018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Joseph L. Morettini</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Roland Müller-Ineichen</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22, 2018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Roland Müller-Ineichen</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Indroneel Chatterjee</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22, 2018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Indroneel Chatterjee</w:t>
            </w:r>
          </w:p>
        </w:tc>
        <w:tc>
          <w:tcPr>
            <w:tcW w:w="120" w:type="dxa"/>
            <w:vAlign w:val="bottom"/>
          </w:tcPr>
          <w:p>
            <w:pPr>
              <w:spacing w:after="0"/>
              <w:rPr>
                <w:sz w:val="20"/>
                <w:szCs w:val="20"/>
                <w:color w:val="auto"/>
              </w:rPr>
            </w:pPr>
          </w:p>
        </w:tc>
        <w:tc>
          <w:tcPr>
            <w:tcW w:w="6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(Principal Financial Officer)</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Michelle D. Esterman</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Executive Vice President, Finance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22, 2018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Michelle D. Esterman</w:t>
            </w:r>
          </w:p>
        </w:tc>
        <w:tc>
          <w:tcPr>
            <w:tcW w:w="120" w:type="dxa"/>
            <w:vAlign w:val="bottom"/>
          </w:tcPr>
          <w:p>
            <w:pPr>
              <w:spacing w:after="0"/>
              <w:rPr>
                <w:sz w:val="20"/>
                <w:szCs w:val="20"/>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EXECUTION COPY</w:t>
      </w:r>
    </w:p>
    <w:p>
      <w:pPr>
        <w:spacing w:after="0" w:line="230"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CONFIDENTIAL INFORMATION CONTAINED IN THIS DOCUMENT, MARKED BY [***], HAS BEEN OMITTED AND FILED SEPARATELY WITH THE SECURITIES AND EXCHANGE COMMISSION PURSUANT TO RULE 24B-2 UNDER THE SECURITIES EXCHANGE ACT OF 1934, AS AMENDED.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COOPERATIVE BROKERAGE AGREEMENT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First Amendment to Cooperative Brokerage Agreement (this “First Amendment”) is made as of November 16, 2017, and is by and between REALHome Services and Solutions, Inc., a Florida corporation (“RHSS, Inc.”), REALHome Services and Solutions - CT, Inc., a Connecticut corporation (“RHSS-CT”), and New Residential Sales Corp., a Delaware Corporation (“NRZ Brokerage”).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August 28, 2017, RHSS, Inc., RHSS-CT and NRZ Brokerage (collectively, the “Parties”) entered into that certain Cooperative</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Agreement (as amended, restated, supplemented or otherwise modified from time to time, the “CBA”);</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CBA as set forth herein; and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capitalized terms not otherwise defined herein shall have the meanings ascribed them in the CBA.</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1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mutual promises herein made, and in consideration of the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covenants herein contained, each of the parties agree as follows:</w:t>
      </w:r>
    </w:p>
    <w:p>
      <w:pPr>
        <w:spacing w:after="0" w:line="85" w:lineRule="exact"/>
        <w:rPr>
          <w:sz w:val="20"/>
          <w:szCs w:val="20"/>
          <w:color w:val="auto"/>
        </w:rPr>
      </w:pPr>
    </w:p>
    <w:p>
      <w:pPr>
        <w:ind w:left="1440" w:hanging="784"/>
        <w:spacing w:after="0"/>
        <w:tabs>
          <w:tab w:leader="none" w:pos="1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3(a) of the CBA is hereby deleted in its entirety, and inserted in lieu thereof is the following Section 3(a), as follows:</w:t>
      </w:r>
    </w:p>
    <w:p>
      <w:pPr>
        <w:spacing w:after="0" w:line="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auto"/>
        </w:rPr>
        <w:t>“(a) NRZ Brokerage shall refer all listings and all sales of all REO Properties in the Covered Portfolios in the jurisdiction(s) in which NRZ Brokerage possesses all requisite licenses and approvals to engage in the conduct set forth in this Agreement, which REO Property NRZ Brokerage has been engaged to list, market, or sell and has the contractual and legal authority to refer to RHSS (the “</w:t>
      </w:r>
      <w:r>
        <w:rPr>
          <w:rFonts w:ascii="Arial" w:cs="Arial" w:eastAsia="Arial" w:hAnsi="Arial"/>
          <w:sz w:val="17"/>
          <w:szCs w:val="17"/>
          <w:u w:val="single" w:color="auto"/>
          <w:color w:val="auto"/>
        </w:rPr>
        <w:t>Subject REO Referrals</w:t>
      </w:r>
      <w:r>
        <w:rPr>
          <w:rFonts w:ascii="Arial" w:cs="Arial" w:eastAsia="Arial" w:hAnsi="Arial"/>
          <w:sz w:val="17"/>
          <w:szCs w:val="17"/>
          <w:color w:val="auto"/>
        </w:rPr>
        <w:t xml:space="preserve">”) during the term of this Agreement. In connection with any such referrals, RHSS and the applicable New Residential entity shall enter into separate listing agreements from time to time, substantially in the form and substance attached hereto as </w:t>
      </w:r>
      <w:r>
        <w:rPr>
          <w:rFonts w:ascii="Arial" w:cs="Arial" w:eastAsia="Arial" w:hAnsi="Arial"/>
          <w:sz w:val="17"/>
          <w:szCs w:val="17"/>
          <w:u w:val="single" w:color="auto"/>
          <w:color w:val="auto"/>
        </w:rPr>
        <w:t>Exhibit 3</w:t>
      </w:r>
      <w:r>
        <w:rPr>
          <w:rFonts w:ascii="Arial" w:cs="Arial" w:eastAsia="Arial" w:hAnsi="Arial"/>
          <w:sz w:val="17"/>
          <w:szCs w:val="17"/>
          <w:color w:val="auto"/>
        </w:rPr>
        <w:t xml:space="preserve">, which such listing agreement may be executed by RHSS as appointed through power of attorney granted by the applicable New Residential entity. In the event of any conflict between any listing agreement and this Agreement, this Agreement will control. With respect to those Subject REO Referrals that constitute Existing REO Properties, NRZ Brokerage agrees it shall not take any action that interferes with RHSS acting as the listing broker and such Existing REO Properties shall be excluded from payment of any Commissions hereunder, except to the extent the Existing REO Properties are de-listed in accordance with </w:t>
      </w:r>
      <w:r>
        <w:rPr>
          <w:rFonts w:ascii="Arial" w:cs="Arial" w:eastAsia="Arial" w:hAnsi="Arial"/>
          <w:sz w:val="17"/>
          <w:szCs w:val="17"/>
          <w:u w:val="single" w:color="auto"/>
          <w:color w:val="auto"/>
        </w:rPr>
        <w:t>Section 3(e)</w:t>
      </w:r>
      <w:r>
        <w:rPr>
          <w:rFonts w:ascii="Arial" w:cs="Arial" w:eastAsia="Arial" w:hAnsi="Arial"/>
          <w:sz w:val="17"/>
          <w:szCs w:val="17"/>
          <w:color w:val="auto"/>
        </w:rPr>
        <w:t xml:space="preserve"> below, in which case Commissions shall be payable hereunder once the properties are relisted in accordance with this Agreement. Subject to the terms hereof, NRZ Brokerage hereby grants RHSS the right to list, market and/or sell the REO Properties associated with the Subject REO Referrals via the Hubzu</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platform or another online auction platform, charging a buyer’s premium totaling up to [***] percent ([***]%) of the Net Sales Price, subject to a minimum of $[***], and, only if the buyer’s premium is [***] percent ([***]%) subject to a minimum of $[***], a technology fee of [***] $[***] in the event a property is auctioned or, regardless of the buyer’s premium, a technology fee of [***] $[***] in the event a property is not auctioned.”</w:t>
      </w:r>
    </w:p>
    <w:p>
      <w:pPr>
        <w:spacing w:after="0" w:line="216" w:lineRule="exact"/>
        <w:rPr>
          <w:sz w:val="20"/>
          <w:szCs w:val="20"/>
          <w:color w:val="auto"/>
        </w:rPr>
      </w:pPr>
    </w:p>
    <w:p>
      <w:pPr>
        <w:ind w:firstLine="656"/>
        <w:spacing w:after="0" w:line="324" w:lineRule="auto"/>
        <w:tabs>
          <w:tab w:leader="none" w:pos="14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with respect to Section 3(a) of the CBA, all provisions of the CBA shall remain unchanged and effective and are incorporated herein by reference.</w:t>
      </w:r>
    </w:p>
    <w:p>
      <w:pPr>
        <w:sectPr>
          <w:pgSz w:w="11900" w:h="16838" w:orient="portrait"/>
          <w:cols w:equalWidth="0" w:num="1">
            <w:col w:w="11420"/>
          </w:cols>
          <w:pgMar w:left="240" w:top="580" w:right="239" w:bottom="1440" w:gutter="0" w:footer="0" w:header="0"/>
        </w:sectPr>
      </w:pPr>
    </w:p>
    <w:bookmarkStart w:id="111" w:name="page112"/>
    <w:bookmarkEnd w:id="111"/>
    <w:p>
      <w:pPr>
        <w:ind w:left="1440" w:hanging="784"/>
        <w:spacing w:after="0"/>
        <w:tabs>
          <w:tab w:leader="none" w:pos="1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First Amendment may be executed in counterparts, each of which shall be deemed an original, but all of which constitute one and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 instrument.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REALHome Services and Solutions, Inc.</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color w:val="auto"/>
              </w:rPr>
              <w:t>/s/ Min L. Alexander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Min L. Alexander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20"/>
              <w:spacing w:after="0"/>
              <w:rPr>
                <w:sz w:val="20"/>
                <w:szCs w:val="20"/>
                <w:color w:val="auto"/>
              </w:rPr>
            </w:pPr>
            <w:r>
              <w:rPr>
                <w:rFonts w:ascii="Arial" w:cs="Arial" w:eastAsia="Arial" w:hAnsi="Arial"/>
                <w:sz w:val="18"/>
                <w:szCs w:val="18"/>
                <w:color w:val="auto"/>
              </w:rPr>
              <w:t>November 16, 2017</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831"/>
        </w:trPr>
        <w:tc>
          <w:tcPr>
            <w:tcW w:w="64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REALHome Services and Solutions - CT, Inc.</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color w:val="auto"/>
              </w:rPr>
              <w:t>/s/ Min L. Alexander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Min L. Alexander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20"/>
              <w:spacing w:after="0"/>
              <w:rPr>
                <w:sz w:val="20"/>
                <w:szCs w:val="20"/>
                <w:color w:val="auto"/>
              </w:rPr>
            </w:pPr>
            <w:r>
              <w:rPr>
                <w:rFonts w:ascii="Arial" w:cs="Arial" w:eastAsia="Arial" w:hAnsi="Arial"/>
                <w:sz w:val="18"/>
                <w:szCs w:val="18"/>
                <w:color w:val="auto"/>
              </w:rPr>
              <w:t>November 16, 2017</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831"/>
        </w:trPr>
        <w:tc>
          <w:tcPr>
            <w:tcW w:w="64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New Residential Sales Corp.</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color w:val="auto"/>
              </w:rPr>
              <w:t>/s/ Nicola Santoro, Jr.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Nicola Santoro, Jr.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20"/>
              <w:spacing w:after="0"/>
              <w:rPr>
                <w:sz w:val="20"/>
                <w:szCs w:val="20"/>
                <w:color w:val="auto"/>
              </w:rPr>
            </w:pPr>
            <w:r>
              <w:rPr>
                <w:rFonts w:ascii="Arial" w:cs="Arial" w:eastAsia="Arial" w:hAnsi="Arial"/>
                <w:sz w:val="18"/>
                <w:szCs w:val="18"/>
                <w:color w:val="auto"/>
              </w:rPr>
              <w:t>November 16, 2017</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61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10.72</w:t>
      </w:r>
    </w:p>
    <w:p>
      <w:pPr>
        <w:spacing w:after="0" w:line="225"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EXECUTION COPY</w:t>
      </w:r>
    </w:p>
    <w:p>
      <w:pPr>
        <w:spacing w:after="0" w:line="230"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CONFIDENTIAL INFORMATION CONTAINED IN THIS DOCUMENT, MARKED BY [***], HAS BEEN OMITTED AND FILED SEPARATELY WITH THE SECURITIES AND EXCHANGE COMMISSION PURSUANT TO RULE 24B-2 UNDER THE SECURITIES EXCHANGE ACT OF 1934, AS AMENDED.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COOPERATIVE BROKERAGE AGREEMENT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SECOND AMENDMENT TO COOPERATIVE BROKERAGE AGREEMENT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Second Amendment</w:t>
      </w:r>
      <w:r>
        <w:rPr>
          <w:rFonts w:ascii="Arial" w:cs="Arial" w:eastAsia="Arial" w:hAnsi="Arial"/>
          <w:sz w:val="16"/>
          <w:szCs w:val="16"/>
          <w:color w:val="auto"/>
        </w:rPr>
        <w:t>”) is made as effective as of the Second Amendment Effective Date, and is by and among REALHome Services and Solutions, Inc., a Florida corporation (“</w:t>
      </w:r>
      <w:r>
        <w:rPr>
          <w:rFonts w:ascii="Arial" w:cs="Arial" w:eastAsia="Arial" w:hAnsi="Arial"/>
          <w:sz w:val="16"/>
          <w:szCs w:val="16"/>
          <w:u w:val="single" w:color="auto"/>
          <w:color w:val="auto"/>
        </w:rPr>
        <w:t>RHSS, Inc.</w:t>
      </w:r>
      <w:r>
        <w:rPr>
          <w:rFonts w:ascii="Arial" w:cs="Arial" w:eastAsia="Arial" w:hAnsi="Arial"/>
          <w:sz w:val="16"/>
          <w:szCs w:val="16"/>
          <w:color w:val="auto"/>
        </w:rPr>
        <w:t>”), REALHome Services and Solutions - CT, Inc., a Connecticut corporation (“</w:t>
      </w:r>
      <w:r>
        <w:rPr>
          <w:rFonts w:ascii="Arial" w:cs="Arial" w:eastAsia="Arial" w:hAnsi="Arial"/>
          <w:sz w:val="16"/>
          <w:szCs w:val="16"/>
          <w:u w:val="single" w:color="auto"/>
          <w:color w:val="auto"/>
        </w:rPr>
        <w:t>RHSS CT</w:t>
      </w:r>
      <w:r>
        <w:rPr>
          <w:rFonts w:ascii="Arial" w:cs="Arial" w:eastAsia="Arial" w:hAnsi="Arial"/>
          <w:sz w:val="16"/>
          <w:szCs w:val="16"/>
          <w:color w:val="auto"/>
        </w:rPr>
        <w:t>”), and New Residential Sales Corp., a Delaware Corporation (“</w:t>
      </w:r>
      <w:r>
        <w:rPr>
          <w:rFonts w:ascii="Arial" w:cs="Arial" w:eastAsia="Arial" w:hAnsi="Arial"/>
          <w:sz w:val="16"/>
          <w:szCs w:val="16"/>
          <w:u w:val="single" w:color="auto"/>
          <w:color w:val="auto"/>
        </w:rPr>
        <w:t>NRZ Brokerage</w:t>
      </w:r>
      <w:r>
        <w:rPr>
          <w:rFonts w:ascii="Arial" w:cs="Arial" w:eastAsia="Arial" w:hAnsi="Arial"/>
          <w:sz w:val="16"/>
          <w:szCs w:val="16"/>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August 28, 2017, RHSS, Inc., RHSS CT, and NRZ Brokerage entered into that certain Cooperative Brokerage Agreement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CBA</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RHSS, Inc., RHSS CT, and NRZ Brokerage desire to amend the CBA, in the manner set forth herein;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capitalized terms not otherwise defined herein shall have the meanings ascribed to them in the CBA.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mutual promises herein made, and in consideration of the representations, warranties,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herein contained, each of parties agree as follows:</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2(b) of the CBA is hereby deleted in its entirety, and inserted in lieu thereof is the following Section 2(b) of the CBA, as follows:</w:t>
      </w:r>
    </w:p>
    <w:p>
      <w:pPr>
        <w:spacing w:after="0" w:line="225"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Acquisition Date</w:t>
      </w:r>
      <w:r>
        <w:rPr>
          <w:rFonts w:ascii="Arial" w:cs="Arial" w:eastAsia="Arial" w:hAnsi="Arial"/>
          <w:sz w:val="18"/>
          <w:szCs w:val="18"/>
          <w:color w:val="auto"/>
        </w:rPr>
        <w:t>” means, with respect to a given Portfolio, the first date upon which such Portfolio meets the definition of a Covered Portfolio.”</w:t>
      </w:r>
    </w:p>
    <w:p>
      <w:pPr>
        <w:spacing w:after="0" w:line="170"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Section 2(q) of the CBA is hereby deleted in its entirety, and inserted in lieu thereof is the following Section 2(q) of the CBA, as follows:</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color w:val="auto"/>
        </w:rPr>
        <w:t>“(q)</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Covered Portfolios</w:t>
      </w:r>
      <w:r>
        <w:rPr>
          <w:rFonts w:ascii="Arial" w:cs="Arial" w:eastAsia="Arial" w:hAnsi="Arial"/>
          <w:sz w:val="16"/>
          <w:szCs w:val="16"/>
          <w:color w:val="auto"/>
        </w:rPr>
        <w:t>” means, individually or collectively,</w:t>
      </w:r>
    </w:p>
    <w:p>
      <w:pPr>
        <w:spacing w:after="0" w:line="225" w:lineRule="exact"/>
        <w:rPr>
          <w:sz w:val="20"/>
          <w:szCs w:val="20"/>
          <w:color w:val="auto"/>
        </w:rPr>
      </w:pPr>
    </w:p>
    <w:p>
      <w:pPr>
        <w:jc w:val="both"/>
        <w:ind w:left="1300" w:firstLine="653"/>
        <w:spacing w:after="0" w:line="302" w:lineRule="auto"/>
        <w:tabs>
          <w:tab w:leader="none" w:pos="2288"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All Portfolios identified on </w:t>
      </w:r>
      <w:r>
        <w:rPr>
          <w:rFonts w:ascii="Arial" w:cs="Arial" w:eastAsia="Arial" w:hAnsi="Arial"/>
          <w:sz w:val="16"/>
          <w:szCs w:val="16"/>
          <w:u w:val="single" w:color="auto"/>
          <w:color w:val="auto"/>
        </w:rPr>
        <w:t>Exhibit 1A</w:t>
      </w:r>
      <w:r>
        <w:rPr>
          <w:rFonts w:ascii="Arial" w:cs="Arial" w:eastAsia="Arial" w:hAnsi="Arial"/>
          <w:sz w:val="16"/>
          <w:szCs w:val="16"/>
          <w:color w:val="auto"/>
        </w:rPr>
        <w:t xml:space="preserve"> attached hereto to the extent New Residential acquires the corresponding MSR Bundle; provided, however, that those Portfolios that are identified in a single written notification as HLSS Portfolios by New Residential to Altisource at least one (1) day prior to the Second Amendment Effective Date shall not be deemed Covered Portfolios until the business day following the Second Amendment Effective Date (all Portfolios in this subparagraph (q)(i) collectively being, the “</w:t>
      </w:r>
      <w:r>
        <w:rPr>
          <w:rFonts w:ascii="Arial" w:cs="Arial" w:eastAsia="Arial" w:hAnsi="Arial"/>
          <w:sz w:val="16"/>
          <w:szCs w:val="16"/>
          <w:u w:val="single" w:color="auto"/>
          <w:color w:val="auto"/>
        </w:rPr>
        <w:t>HLSS Portfolios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left="1300" w:firstLine="653"/>
        <w:spacing w:after="0" w:line="254" w:lineRule="auto"/>
        <w:tabs>
          <w:tab w:leader="none" w:pos="23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Portfolios associated with any MSR Bundle that New Residential (1) acquires from Ocwen, or (2) acquires from an entity into which Ocwen merged or which acquired Ocwen or all or substantially all of Ocwen’s assets (collectively “</w:t>
      </w:r>
      <w:r>
        <w:rPr>
          <w:rFonts w:ascii="Arial" w:cs="Arial" w:eastAsia="Arial" w:hAnsi="Arial"/>
          <w:sz w:val="18"/>
          <w:szCs w:val="18"/>
          <w:u w:val="single" w:color="auto"/>
          <w:color w:val="auto"/>
        </w:rPr>
        <w:t>Ocwen Successors</w:t>
      </w:r>
      <w:r>
        <w:rPr>
          <w:rFonts w:ascii="Arial" w:cs="Arial" w:eastAsia="Arial" w:hAnsi="Arial"/>
          <w:sz w:val="18"/>
          <w:szCs w:val="18"/>
          <w:color w:val="auto"/>
        </w:rPr>
        <w:t>”), provided, however, that Portfolios associated with any MSR Bundle that New Residential acquires from an Ocwen Successor shall be Covered Portfolios only if Ocwen owned the MSR Bundle immediately prior to the transaction pursuant to which the Ocwen Successor acquired the MSR Bundle (collectively, the “</w:t>
      </w:r>
      <w:r>
        <w:rPr>
          <w:rFonts w:ascii="Arial" w:cs="Arial" w:eastAsia="Arial" w:hAnsi="Arial"/>
          <w:sz w:val="18"/>
          <w:szCs w:val="18"/>
          <w:u w:val="single" w:color="auto"/>
          <w:color w:val="auto"/>
        </w:rPr>
        <w:t>Ocwen Portfolios</w:t>
      </w:r>
      <w:r>
        <w:rPr>
          <w:rFonts w:ascii="Arial" w:cs="Arial" w:eastAsia="Arial" w:hAnsi="Arial"/>
          <w:sz w:val="18"/>
          <w:szCs w:val="18"/>
          <w:color w:val="auto"/>
        </w:rPr>
        <w:t xml:space="preserve">”). Upon the transfer of any MSR Bundle to New Residential from Ocwen with respect to a Portfolio under this paragraph (ii), NRZ Brokerage will deliver to RHSS a schedule (to be attached hereto as </w:t>
      </w:r>
      <w:r>
        <w:rPr>
          <w:rFonts w:ascii="Arial" w:cs="Arial" w:eastAsia="Arial" w:hAnsi="Arial"/>
          <w:sz w:val="18"/>
          <w:szCs w:val="18"/>
          <w:u w:val="single" w:color="auto"/>
          <w:color w:val="auto"/>
        </w:rPr>
        <w:t>Exhibit 1B</w:t>
      </w:r>
      <w:r>
        <w:rPr>
          <w:rFonts w:ascii="Arial" w:cs="Arial" w:eastAsia="Arial" w:hAnsi="Arial"/>
          <w:sz w:val="18"/>
          <w:szCs w:val="18"/>
          <w:color w:val="auto"/>
        </w:rPr>
        <w:t>) of the Portfolios within the Ocwen Portfolios, which schedule shall be updated in the event that New Residential acquires additional Portfolios from Ocwen;</w:t>
      </w:r>
    </w:p>
    <w:p>
      <w:pPr>
        <w:sectPr>
          <w:pgSz w:w="11900" w:h="16838" w:orient="portrait"/>
          <w:cols w:equalWidth="0" w:num="1">
            <w:col w:w="11420"/>
          </w:cols>
          <w:pgMar w:left="240" w:top="580" w:right="239" w:bottom="1440" w:gutter="0" w:footer="0" w:header="0"/>
        </w:sectPr>
      </w:pPr>
    </w:p>
    <w:bookmarkStart w:id="113" w:name="page114"/>
    <w:bookmarkEnd w:id="113"/>
    <w:p>
      <w:pPr>
        <w:ind w:left="644" w:right="20" w:firstLine="653"/>
        <w:spacing w:after="0" w:line="342" w:lineRule="auto"/>
        <w:tabs>
          <w:tab w:leader="none" w:pos="17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Only upon PHH Mortgage Corporation’s approval of RHSS as a vendor, all Portfolios identified on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attached hereto (collectively, the “</w:t>
      </w:r>
      <w:r>
        <w:rPr>
          <w:rFonts w:ascii="Arial" w:cs="Arial" w:eastAsia="Arial" w:hAnsi="Arial"/>
          <w:sz w:val="16"/>
          <w:szCs w:val="16"/>
          <w:u w:val="single" w:color="auto"/>
          <w:color w:val="auto"/>
        </w:rPr>
        <w:t>PHH Portfolios</w:t>
      </w:r>
      <w:r>
        <w:rPr>
          <w:rFonts w:ascii="Arial" w:cs="Arial" w:eastAsia="Arial" w:hAnsi="Arial"/>
          <w:sz w:val="16"/>
          <w:szCs w:val="16"/>
          <w:color w:val="auto"/>
        </w:rPr>
        <w:t>”) to the extent New Residential acquires the corresponding MSR Bundle for the related Portfolio; and”</w:t>
      </w:r>
    </w:p>
    <w:p>
      <w:pPr>
        <w:spacing w:after="0" w:line="123" w:lineRule="exact"/>
        <w:rPr>
          <w:rFonts w:ascii="Arial" w:cs="Arial" w:eastAsia="Arial" w:hAnsi="Arial"/>
          <w:sz w:val="16"/>
          <w:szCs w:val="16"/>
          <w:color w:val="auto"/>
        </w:rPr>
      </w:pPr>
    </w:p>
    <w:p>
      <w:pPr>
        <w:jc w:val="both"/>
        <w:ind w:left="644" w:firstLine="653"/>
        <w:spacing w:after="0" w:line="259" w:lineRule="auto"/>
        <w:tabs>
          <w:tab w:leader="none" w:pos="1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Portfolios that correspond to any MSR Bundle that NRZ Brokerage and RHSS agree in writing from time to time that will be subject to this Agreement. Upon such agreement, NRZ Brokerage will deliver to RHSS a schedule of the Portfolios that shall become Covered Portfolios pursuant to this subparagraph (q)(iv), which schedule shall become an exhibit hereto and shall be updated in accordance with the Parties’ agreement.”</w:t>
      </w:r>
    </w:p>
    <w:p>
      <w:pPr>
        <w:spacing w:after="0" w:line="187" w:lineRule="exact"/>
        <w:rPr>
          <w:sz w:val="20"/>
          <w:szCs w:val="20"/>
          <w:color w:val="auto"/>
        </w:rPr>
      </w:pPr>
    </w:p>
    <w:p>
      <w:pPr>
        <w:ind w:left="4"/>
        <w:spacing w:after="0"/>
        <w:tabs>
          <w:tab w:leader="none" w:pos="303"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Section 2(tt) of the CBA is hereby deleted in its entirety, and inserted in lieu thereof is the following Section 2(tt) of the CBA, as follows:</w:t>
      </w:r>
    </w:p>
    <w:p>
      <w:pPr>
        <w:spacing w:after="0" w:line="225" w:lineRule="exact"/>
        <w:rPr>
          <w:sz w:val="20"/>
          <w:szCs w:val="20"/>
          <w:color w:val="auto"/>
        </w:rPr>
      </w:pPr>
    </w:p>
    <w:p>
      <w:pPr>
        <w:ind w:left="644"/>
        <w:spacing w:after="0"/>
        <w:tabs>
          <w:tab w:leader="none" w:pos="1103" w:val="left"/>
        </w:tabs>
        <w:rPr>
          <w:sz w:val="20"/>
          <w:szCs w:val="20"/>
          <w:color w:val="auto"/>
        </w:rPr>
      </w:pPr>
      <w:r>
        <w:rPr>
          <w:rFonts w:ascii="Arial" w:cs="Arial" w:eastAsia="Arial" w:hAnsi="Arial"/>
          <w:sz w:val="18"/>
          <w:szCs w:val="18"/>
          <w:color w:val="auto"/>
        </w:rPr>
        <w:t>“(tt)</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Portfolio</w:t>
      </w:r>
      <w:r>
        <w:rPr>
          <w:rFonts w:ascii="Arial" w:cs="Arial" w:eastAsia="Arial" w:hAnsi="Arial"/>
          <w:sz w:val="16"/>
          <w:szCs w:val="16"/>
          <w:color w:val="auto"/>
        </w:rPr>
        <w:t>” means a collection of mortgage loans that are the subject of a corresponding MSR Bundle.”</w:t>
      </w:r>
    </w:p>
    <w:p>
      <w:pPr>
        <w:spacing w:after="0" w:line="225" w:lineRule="exact"/>
        <w:rPr>
          <w:sz w:val="20"/>
          <w:szCs w:val="20"/>
          <w:color w:val="auto"/>
        </w:rPr>
      </w:pPr>
    </w:p>
    <w:p>
      <w:pPr>
        <w:ind w:left="4"/>
        <w:spacing w:after="0"/>
        <w:tabs>
          <w:tab w:leader="none" w:pos="303"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Section 2 of the CBA is hereby amended to insert the following subsections (rrr), (sss), (ttt) and (uuu) at the end of such Section 2, as follows:</w:t>
      </w:r>
    </w:p>
    <w:p>
      <w:pPr>
        <w:spacing w:after="0" w:line="225"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“(rrr) “</w:t>
      </w:r>
      <w:r>
        <w:rPr>
          <w:rFonts w:ascii="Arial" w:cs="Arial" w:eastAsia="Arial" w:hAnsi="Arial"/>
          <w:sz w:val="18"/>
          <w:szCs w:val="18"/>
          <w:u w:val="single" w:color="auto"/>
          <w:color w:val="auto"/>
        </w:rPr>
        <w:t>MSR Bundle</w:t>
      </w:r>
      <w:r>
        <w:rPr>
          <w:rFonts w:ascii="Arial" w:cs="Arial" w:eastAsia="Arial" w:hAnsi="Arial"/>
          <w:sz w:val="18"/>
          <w:szCs w:val="18"/>
          <w:color w:val="auto"/>
        </w:rPr>
        <w:t>” means (1) either the MSRs or New Rights to MSR for the related Portfolio and (2) the right to sell the related REO Properties that previously secured loans in such Portfolio.</w:t>
      </w:r>
    </w:p>
    <w:p>
      <w:pPr>
        <w:spacing w:after="0" w:line="170" w:lineRule="exact"/>
        <w:rPr>
          <w:sz w:val="20"/>
          <w:szCs w:val="20"/>
          <w:color w:val="auto"/>
        </w:rPr>
      </w:pPr>
    </w:p>
    <w:p>
      <w:pPr>
        <w:jc w:val="both"/>
        <w:ind w:left="4" w:firstLine="645"/>
        <w:spacing w:after="0" w:line="259" w:lineRule="auto"/>
        <w:tabs>
          <w:tab w:leader="none" w:pos="1203"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Ocwen Contract</w:t>
      </w:r>
      <w:r>
        <w:rPr>
          <w:rFonts w:ascii="Arial" w:cs="Arial" w:eastAsia="Arial" w:hAnsi="Arial"/>
          <w:sz w:val="18"/>
          <w:szCs w:val="18"/>
          <w:color w:val="auto"/>
        </w:rPr>
        <w:t>” means that certain Brokerage Services Agreement entered into between Ocwen Loan Servicing, LLC and New Residential (and for purposes of Section 8 thereto, New Residential Mortgage LLC), on and as of the Second Amendment Effective Date, under which New Residential obtains the right to designate the broker to market and list REO Properties associated with the Portfolios identified pursuant to Section 2(q)(i) herein.”</w:t>
      </w:r>
    </w:p>
    <w:p>
      <w:pPr>
        <w:spacing w:after="0" w:line="186" w:lineRule="exact"/>
        <w:rPr>
          <w:rFonts w:ascii="Arial" w:cs="Arial" w:eastAsia="Arial" w:hAnsi="Arial"/>
          <w:sz w:val="18"/>
          <w:szCs w:val="18"/>
          <w:color w:val="auto"/>
        </w:rPr>
      </w:pPr>
    </w:p>
    <w:p>
      <w:pPr>
        <w:jc w:val="both"/>
        <w:ind w:left="4" w:firstLine="645"/>
        <w:spacing w:after="0" w:line="279" w:lineRule="auto"/>
        <w:tabs>
          <w:tab w:leader="none" w:pos="1102"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Rights to MSR</w:t>
      </w:r>
      <w:r>
        <w:rPr>
          <w:rFonts w:ascii="Arial" w:cs="Arial" w:eastAsia="Arial" w:hAnsi="Arial"/>
          <w:sz w:val="17"/>
          <w:szCs w:val="17"/>
          <w:color w:val="auto"/>
        </w:rPr>
        <w:t xml:space="preserve">” means a right to an economic interest in a MSR together with a right to designate the broker to market and list REO Properties associated with such a MSR, but only to the extent New Residential acquires both such rights after August 28, 2017;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for the avoidance of doubt, the right to an economic interest in a MSR need not be acquired at the same time or as part of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as the right to designate the broker in order for the acquisition of both rights to constitute New Rights to MSR.</w:t>
      </w:r>
    </w:p>
    <w:p>
      <w:pPr>
        <w:spacing w:after="0" w:line="171" w:lineRule="exact"/>
        <w:rPr>
          <w:rFonts w:ascii="Arial" w:cs="Arial" w:eastAsia="Arial" w:hAnsi="Arial"/>
          <w:sz w:val="17"/>
          <w:szCs w:val="17"/>
          <w:color w:val="auto"/>
        </w:rPr>
      </w:pPr>
    </w:p>
    <w:p>
      <w:pPr>
        <w:ind w:left="1224" w:hanging="575"/>
        <w:spacing w:after="0"/>
        <w:tabs>
          <w:tab w:leader="none" w:pos="12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means January 18, 2018.”</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4 of the CBA is hereby deleted in its entirety, and inserted in lieu thereof is the following Section 4 of the CBA, as follows:</w:t>
      </w:r>
    </w:p>
    <w:p>
      <w:pPr>
        <w:spacing w:after="0" w:line="225" w:lineRule="exact"/>
        <w:rPr>
          <w:sz w:val="20"/>
          <w:szCs w:val="20"/>
          <w:color w:val="auto"/>
        </w:rPr>
      </w:pPr>
    </w:p>
    <w:p>
      <w:pPr>
        <w:ind w:left="644"/>
        <w:spacing w:after="0"/>
        <w:tabs>
          <w:tab w:leader="none" w:pos="1023"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656" w:right="20" w:firstLine="656"/>
        <w:spacing w:after="0" w:line="277" w:lineRule="auto"/>
        <w:tabs>
          <w:tab w:leader="none" w:pos="3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first sentence of Section 5(a)(1) of the CBA is hereby deleted in its entirety, and inserted in lieu thereof is the following first sentence of Section 5(a)(i) of the CBA, as follows:</w:t>
      </w:r>
    </w:p>
    <w:p>
      <w:pPr>
        <w:spacing w:after="0" w:line="170"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“(i) With respect to Subject REO Referrals that are from the HLSS Portfolio or the Ocwen Portfolio, in each case other than Existing REO Referrals, [***] REO Properties, or [***] REO Properties, which referral occurs prior to the date that is the earlier of (1) [***] months after the Acquisition Date related to the corresponding MSR Bundle for the Portfolio containing the loan that was previously secured by such REO Property, and (2) [***] months from the date of this Agreement:”</w:t>
      </w:r>
    </w:p>
    <w:p>
      <w:pPr>
        <w:spacing w:after="0" w:line="187" w:lineRule="exact"/>
        <w:rPr>
          <w:sz w:val="20"/>
          <w:szCs w:val="20"/>
          <w:color w:val="auto"/>
        </w:rPr>
      </w:pPr>
    </w:p>
    <w:p>
      <w:pPr>
        <w:ind w:left="-656" w:firstLine="656"/>
        <w:spacing w:after="0" w:line="277" w:lineRule="auto"/>
        <w:tabs>
          <w:tab w:leader="none" w:pos="3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first sentence of Section 5(a)(ii) of the CBA is hereby deleted in its entirety, and inserted in lieu thereof is the following first sentence of Section 5(a)(ii) of the CBA, as follows:</w:t>
      </w:r>
    </w:p>
    <w:p>
      <w:pPr>
        <w:spacing w:after="0" w:line="170" w:lineRule="exact"/>
        <w:rPr>
          <w:rFonts w:ascii="Arial" w:cs="Arial" w:eastAsia="Arial" w:hAnsi="Arial"/>
          <w:sz w:val="18"/>
          <w:szCs w:val="18"/>
          <w:color w:val="auto"/>
        </w:rPr>
      </w:pPr>
    </w:p>
    <w:p>
      <w:pPr>
        <w:jc w:val="both"/>
        <w:ind w:left="4" w:firstLine="645"/>
        <w:spacing w:after="0" w:line="257" w:lineRule="auto"/>
        <w:tabs>
          <w:tab w:leader="none" w:pos="11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With respect to Subject REO Referrals, in each case other than Existing REO Referrals, [***] REO Properties, or [***] REO Properties, that are from (1) the HLSS Portfolio or the Ocwen Portfolio, which referral occurs on or after the date which is the earlier of (a) [***] months after the Acquisition Date related to the corresponding MSR Bundle for the Portfolio containing the loan that was previously secured by such REO Property, and (b) [***] months from the date of this Agreement, or (2) the PHH Portfolio, which referral occurs at any time during the term of this Agreement:</w:t>
      </w:r>
    </w:p>
    <w:p>
      <w:pPr>
        <w:sectPr>
          <w:pgSz w:w="11900" w:h="16838" w:orient="portrait"/>
          <w:cols w:equalWidth="0" w:num="1">
            <w:col w:w="10764"/>
          </w:cols>
          <w:pgMar w:left="896" w:top="584" w:right="239" w:bottom="1440" w:gutter="0" w:footer="0" w:header="0"/>
        </w:sectPr>
      </w:pPr>
    </w:p>
    <w:bookmarkStart w:id="114" w:name="page115"/>
    <w:bookmarkEnd w:id="114"/>
    <w:p>
      <w:pPr>
        <w:spacing w:after="0"/>
        <w:tabs>
          <w:tab w:leader="none" w:pos="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Section 5(b) of the CBA is hereby deleted in its entirety, and inserted in lieu thereof is the following Section 5(b) of the CBA, as follows:</w:t>
      </w:r>
    </w:p>
    <w:p>
      <w:pPr>
        <w:spacing w:after="0" w:line="225"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Payment of Commissions.</w:t>
      </w:r>
    </w:p>
    <w:p>
      <w:pPr>
        <w:spacing w:after="0" w:line="225" w:lineRule="exact"/>
        <w:rPr>
          <w:sz w:val="20"/>
          <w:szCs w:val="20"/>
          <w:color w:val="auto"/>
        </w:rPr>
      </w:pPr>
    </w:p>
    <w:p>
      <w:pPr>
        <w:jc w:val="both"/>
        <w:ind w:firstLine="645"/>
        <w:spacing w:after="0" w:line="279" w:lineRule="auto"/>
        <w:tabs>
          <w:tab w:leader="none" w:pos="1024"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is the intent of the Parties that Commissions be paid to NRZ Brokerage by the escrow agent from the proceeds at the closing of the sale of any Subject REO Referrals (“</w:t>
      </w:r>
      <w:r>
        <w:rPr>
          <w:rFonts w:ascii="Arial" w:cs="Arial" w:eastAsia="Arial" w:hAnsi="Arial"/>
          <w:sz w:val="17"/>
          <w:szCs w:val="17"/>
          <w:u w:val="single" w:color="auto"/>
          <w:color w:val="auto"/>
        </w:rPr>
        <w:t>Closing</w:t>
      </w:r>
      <w:r>
        <w:rPr>
          <w:rFonts w:ascii="Arial" w:cs="Arial" w:eastAsia="Arial" w:hAnsi="Arial"/>
          <w:sz w:val="17"/>
          <w:szCs w:val="17"/>
          <w:color w:val="auto"/>
        </w:rPr>
        <w:t>”). RHSS shall wire or cause to be wired, the Commissions, in immediately available funds, to the bank account designated by NRZ Brokerage to RHSS in writing. RHSS shall provide NRZ Brokerage’s wiring instructions to the escrow agent. RHSS shall cause the Commissions to be documented in the relevant settlement statement prior to or at Closing.</w:t>
      </w:r>
    </w:p>
    <w:p>
      <w:pPr>
        <w:spacing w:after="0" w:line="171" w:lineRule="exact"/>
        <w:rPr>
          <w:rFonts w:ascii="Arial" w:cs="Arial" w:eastAsia="Arial" w:hAnsi="Arial"/>
          <w:sz w:val="17"/>
          <w:szCs w:val="17"/>
          <w:color w:val="auto"/>
        </w:rPr>
      </w:pPr>
    </w:p>
    <w:p>
      <w:pPr>
        <w:ind w:left="1060" w:hanging="415"/>
        <w:spacing w:after="0"/>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 regard to the periods (A) between the date of this Agreement and the Second Amendment Effective Date, and (B) from and after</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April 1, 2018: RHSS shall pay (or cause to be paid) to NRZ Brokerage (1) ninety percent (90%) of the total Commissions due NRZ Brokerage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arising out of sales of Subject REO Referrals within five (5) business days following the Closings for such sales of Subject REO Referrals and (2) inclusive of the amounts paid under clause (ii)(1), one hundred percent (100%) of the total Commissions due NRZ Brokerage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arising out of sales of Subject REO Referrals within fifteen (15) business days following the Closings for such sales of Subject REO Referrals.</w:t>
      </w:r>
    </w:p>
    <w:p>
      <w:pPr>
        <w:spacing w:after="0" w:line="191" w:lineRule="exact"/>
        <w:rPr>
          <w:rFonts w:ascii="Arial" w:cs="Arial" w:eastAsia="Arial" w:hAnsi="Arial"/>
          <w:sz w:val="16"/>
          <w:szCs w:val="16"/>
          <w:color w:val="auto"/>
        </w:rPr>
      </w:pPr>
    </w:p>
    <w:p>
      <w:pPr>
        <w:jc w:val="both"/>
        <w:ind w:firstLine="645"/>
        <w:spacing w:after="0" w:line="276" w:lineRule="auto"/>
        <w:tabs>
          <w:tab w:leader="none" w:pos="1104"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With regard to the period between the Second Amendment Effective Date, and March 31, 2018: RHSS shall pay (or cause to be paid) to NRZ Brokerage (A) ninety percent (90%) of the total Commissions due NRZ Brokerage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arising out of sales of Subject REO Referrals within ten (10) business days following the Closings for such sales of Subject REO Referrals and (B) inclusive of the amounts paid under clause (iii)(A), one hundred percent (100%) of the total Commissions due NRZ Brokerage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arising out of sales of Subject REO Referrals within twenty (20) business days following the Closings for such sales of Subject REO Referrals.</w:t>
      </w:r>
    </w:p>
    <w:p>
      <w:pPr>
        <w:spacing w:after="0" w:line="172" w:lineRule="exact"/>
        <w:rPr>
          <w:rFonts w:ascii="Arial" w:cs="Arial" w:eastAsia="Arial" w:hAnsi="Arial"/>
          <w:sz w:val="17"/>
          <w:szCs w:val="17"/>
          <w:color w:val="auto"/>
        </w:rPr>
      </w:pPr>
    </w:p>
    <w:p>
      <w:pPr>
        <w:jc w:val="both"/>
        <w:ind w:firstLine="645"/>
        <w:spacing w:after="0" w:line="259"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RHSS shall not be responsible for delays in timing of the payment of Commissions (and such delays shall not count towards the foregoing payment timelines) to the extent caused by Applicable Law restricting or precluding RHSS or the Altisource Affiliated Escrow Agent from making such payment or any litigation, court order, faulty wiring instructions provided by NRZ Brokerage and operational issues with the wiring or receiving bank.</w:t>
      </w:r>
    </w:p>
    <w:p>
      <w:pPr>
        <w:spacing w:after="0" w:line="186" w:lineRule="exact"/>
        <w:rPr>
          <w:rFonts w:ascii="Arial" w:cs="Arial" w:eastAsia="Arial" w:hAnsi="Arial"/>
          <w:sz w:val="18"/>
          <w:szCs w:val="18"/>
          <w:color w:val="auto"/>
        </w:rPr>
      </w:pPr>
    </w:p>
    <w:p>
      <w:pPr>
        <w:jc w:val="both"/>
        <w:ind w:firstLine="645"/>
        <w:spacing w:after="0" w:line="259" w:lineRule="auto"/>
        <w:tabs>
          <w:tab w:leader="none" w:pos="10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RHSS shall use its commercially reasonable efforts to remediate any issue(s) resulting in delayed payment to NRZ Brokerage. In the event that delays in payment to NRZ Brokerage, no matter the reason for the delay, impact more than 5% of the Commissions owed to NRZ Brokerage at any given time, RHSS shall provide to NRZ Brokerage a written action plan for remediating the delays and shall provide NRZ Brokerage with monthly status reports regarding RHSS’s progress under the applicable action plan.</w:t>
      </w:r>
    </w:p>
    <w:p>
      <w:pPr>
        <w:spacing w:after="0" w:line="186" w:lineRule="exact"/>
        <w:rPr>
          <w:rFonts w:ascii="Arial" w:cs="Arial" w:eastAsia="Arial" w:hAnsi="Arial"/>
          <w:sz w:val="18"/>
          <w:szCs w:val="18"/>
          <w:color w:val="auto"/>
        </w:rPr>
      </w:pPr>
    </w:p>
    <w:p>
      <w:pPr>
        <w:jc w:val="both"/>
        <w:ind w:firstLine="645"/>
        <w:spacing w:after="0" w:line="285" w:lineRule="auto"/>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NRZ Brokerage hereby provides RHSS with the authority to collect, and NRZ Brokerage will cooperate in RHSS’s collection of, any remaining amounts owed on the Commissions on NRZ Brokerage’s behalf. NRZ Brokerage understands and agrees that Commissions payable to NRZ Brokerage are its full and complete compensation under this Agreement and RHSS shall have no responsibility for any payments to other service providers unless directly engaged or agreed to in writing by RHSS. NRZ Brokerage shall provide “read-only” bank account access to RHSS for the purpose of tracking NRZ Brokerage’s receipt of Commissions; failure to do so (or to otherwise provide RHSS with substantially real-time information necessary for RHSS to determine whether all Commissions have been received by NRZ Brokerage) shall, solely with respect to the Commissions with respect to which NRZ Brokerage failed to provide such access and information, suspend any liability for RHSS due it any failure to deliver or cause to be delivered Commissions to NRZ Brokerage within the time period specified in the preceding paragraph and any termination rights associated therewith. If the monthly report shows that NRZ Brokerage has received more Commissions than to which it is entitled hereunder (due to timing issues or otherwise) or to the extent that RHSS is otherwise aware that NRZ Brokerage has received more Commissions than to which it is entitled hereunder (due to timing issues or otherwise), NRZ Brokerage shall remit such excess amounts to RHSS within two (2) business days of NRZ Brokerage’s knowledge of an overpayment or receipt of a written request from RHSS for such payment, which such request shall direct NRZ Brokerage to the monthly report that reflects such excess amounts or, if the related monthly report is insufficient for such purposes or has not been provided, shall include other supporting documentation; provided, however, that to the extent NRZ Brokerage believes that RHSS may have made a payment of Commissions to NRZ Brokerage in excess of the Commissions to which NRZ Brokerage is entitled, NRZ Brokerage shall notify RHSS of such belief within two (2) business days and shall reasonably cooperate with RHSS in investigating such excess payment.</w:t>
      </w:r>
    </w:p>
    <w:p>
      <w:pPr>
        <w:sectPr>
          <w:pgSz w:w="11900" w:h="16838" w:orient="portrait"/>
          <w:cols w:equalWidth="0" w:num="1">
            <w:col w:w="10760"/>
          </w:cols>
          <w:pgMar w:left="900" w:top="584" w:right="239" w:bottom="1440" w:gutter="0" w:footer="0" w:header="0"/>
        </w:sectPr>
      </w:pPr>
    </w:p>
    <w:bookmarkStart w:id="115" w:name="page116"/>
    <w:bookmarkEnd w:id="115"/>
    <w:p>
      <w:pPr>
        <w:ind w:left="660"/>
        <w:spacing w:after="0"/>
        <w:tabs>
          <w:tab w:leader="none" w:pos="9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Section 8 of the CBA is hereby deleted in its entirety, and inserted in lieu thereof is the following Section 8 of the CBA, as follows:</w:t>
      </w:r>
    </w:p>
    <w:p>
      <w:pPr>
        <w:spacing w:after="0" w:line="221"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u w:val="single" w:color="auto"/>
          <w:color w:val="auto"/>
        </w:rPr>
        <w:t>Opportunity to Bid</w:t>
      </w:r>
      <w:r>
        <w:rPr>
          <w:rFonts w:ascii="Arial" w:cs="Arial" w:eastAsia="Arial" w:hAnsi="Arial"/>
          <w:sz w:val="18"/>
          <w:szCs w:val="18"/>
          <w:color w:val="auto"/>
        </w:rPr>
        <w:t>. In the event that New Residential acquires any corresponding MSR Bundle in non-Covered Portfolios following execution of this Agreement, NRZ Brokerage shall provide RHSS and Altisource an opportunity to submit a proposal pursuant to which the Portfolios to which such corresponding MSR Bundle apply could become Covered Portfolios.”</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Section 10(a) of the CBA is hereby deleted in its entirety, and inserted in lieu thereof is the following Section 10(a) of the CBA, as follows:</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“(a) The Parties’ rights under this Agreement shall continue in full force and effect and shall not be affected by the sale (or other transfer of a Covered Portfolio) by New Residential of any MSR Bundle to New Residential Affiliate.”</w:t>
      </w:r>
    </w:p>
    <w:p>
      <w:pPr>
        <w:spacing w:after="0" w:line="170" w:lineRule="exact"/>
        <w:rPr>
          <w:sz w:val="20"/>
          <w:szCs w:val="20"/>
          <w:color w:val="auto"/>
        </w:rPr>
      </w:pPr>
    </w:p>
    <w:p>
      <w:pPr>
        <w:ind w:right="20" w:firstLine="656"/>
        <w:spacing w:after="0" w:line="277" w:lineRule="auto"/>
        <w:tabs>
          <w:tab w:leader="none" w:pos="10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14 of the CBA is hereby amended to change the address, facsimile number or other information of RHSS for the purpose of notices to such Party, as follows:</w:t>
      </w:r>
    </w:p>
    <w:p>
      <w:pPr>
        <w:spacing w:after="0" w:line="224" w:lineRule="exact"/>
        <w:rPr>
          <w:sz w:val="20"/>
          <w:szCs w:val="20"/>
          <w:color w:val="auto"/>
        </w:rPr>
      </w:pPr>
    </w:p>
    <w:p>
      <w:pPr>
        <w:ind w:left="40"/>
        <w:spacing w:after="0"/>
        <w:tabs>
          <w:tab w:leader="none" w:pos="2560" w:val="left"/>
        </w:tabs>
        <w:rPr>
          <w:sz w:val="20"/>
          <w:szCs w:val="20"/>
          <w:color w:val="auto"/>
        </w:rPr>
      </w:pPr>
      <w:r>
        <w:rPr>
          <w:rFonts w:ascii="Arial" w:cs="Arial" w:eastAsia="Arial" w:hAnsi="Arial"/>
          <w:sz w:val="18"/>
          <w:szCs w:val="18"/>
          <w:color w:val="auto"/>
        </w:rPr>
        <w:t>“If to RHSS:</w:t>
      </w:r>
      <w:r>
        <w:rPr>
          <w:sz w:val="20"/>
          <w:szCs w:val="20"/>
          <w:color w:val="auto"/>
        </w:rPr>
        <w:tab/>
      </w:r>
      <w:r>
        <w:rPr>
          <w:rFonts w:ascii="Arial" w:cs="Arial" w:eastAsia="Arial" w:hAnsi="Arial"/>
          <w:sz w:val="16"/>
          <w:szCs w:val="16"/>
          <w:color w:val="auto"/>
        </w:rPr>
        <w:t>REALHome Services and Solutions, Inc.</w:t>
      </w:r>
    </w:p>
    <w:p>
      <w:pPr>
        <w:spacing w:after="0" w:line="6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1000 Abernathy Road, Suite 245</w:t>
      </w:r>
    </w:p>
    <w:p>
      <w:pPr>
        <w:spacing w:after="0" w:line="6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Atlanta, GA 30328</w:t>
      </w:r>
    </w:p>
    <w:p>
      <w:pPr>
        <w:spacing w:after="0" w:line="63" w:lineRule="exact"/>
        <w:rPr>
          <w:sz w:val="20"/>
          <w:szCs w:val="20"/>
          <w:color w:val="auto"/>
        </w:rPr>
      </w:pPr>
    </w:p>
    <w:p>
      <w:pPr>
        <w:ind w:left="2580"/>
        <w:spacing w:after="0"/>
        <w:tabs>
          <w:tab w:leader="none" w:pos="34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Corporate Secretary</w:t>
      </w:r>
    </w:p>
    <w:p>
      <w:pPr>
        <w:spacing w:after="0" w:line="63" w:lineRule="exact"/>
        <w:rPr>
          <w:sz w:val="20"/>
          <w:szCs w:val="20"/>
          <w:color w:val="auto"/>
        </w:rPr>
      </w:pPr>
    </w:p>
    <w:p>
      <w:pPr>
        <w:ind w:left="2580"/>
        <w:spacing w:after="0"/>
        <w:tabs>
          <w:tab w:leader="none" w:pos="3280" w:val="left"/>
        </w:tabs>
        <w:rPr>
          <w:sz w:val="20"/>
          <w:szCs w:val="20"/>
          <w:color w:val="auto"/>
        </w:rPr>
      </w:pPr>
      <w:r>
        <w:rPr>
          <w:rFonts w:ascii="Arial" w:cs="Arial" w:eastAsia="Arial" w:hAnsi="Arial"/>
          <w:sz w:val="18"/>
          <w:szCs w:val="18"/>
          <w:color w:val="auto"/>
        </w:rPr>
        <w:t>Email:</w:t>
        <w:tab/>
        <w:t xml:space="preserve">contractmanagement@altisource.com </w:t>
      </w:r>
      <w:r>
        <w:rPr>
          <w:rFonts w:ascii="Arial" w:cs="Arial" w:eastAsia="Arial" w:hAnsi="Arial"/>
          <w:sz w:val="18"/>
          <w:szCs w:val="18"/>
          <w:i w:val="1"/>
          <w:iCs w:val="1"/>
          <w:u w:val="single" w:color="auto"/>
          <w:color w:val="auto"/>
        </w:rPr>
        <w:t>and</w:t>
      </w:r>
    </w:p>
    <w:p>
      <w:pPr>
        <w:spacing w:after="0" w:line="27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nrzinfo@altisource.com”</w:t>
      </w:r>
    </w:p>
    <w:p>
      <w:pPr>
        <w:spacing w:after="0" w:line="252" w:lineRule="exact"/>
        <w:rPr>
          <w:sz w:val="20"/>
          <w:szCs w:val="20"/>
          <w:color w:val="auto"/>
        </w:rPr>
      </w:pPr>
    </w:p>
    <w:p>
      <w:pPr>
        <w:ind w:left="1100" w:hanging="444"/>
        <w:spacing w:after="0"/>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Section 19(a)(vii) of the CBA is hereby deleted in its entirety, and inserted in lieu thereof is the following Section 19(a)(vii) of the CBA,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720" w:firstLine="648"/>
        <w:spacing w:after="0" w:line="257" w:lineRule="auto"/>
        <w:rPr>
          <w:sz w:val="20"/>
          <w:szCs w:val="20"/>
          <w:color w:val="auto"/>
        </w:rPr>
      </w:pPr>
      <w:r>
        <w:rPr>
          <w:rFonts w:ascii="Arial" w:cs="Arial" w:eastAsia="Arial" w:hAnsi="Arial"/>
          <w:sz w:val="18"/>
          <w:szCs w:val="18"/>
          <w:color w:val="auto"/>
        </w:rPr>
        <w:t xml:space="preserve">“(vii) </w:t>
      </w:r>
      <w:r>
        <w:rPr>
          <w:rFonts w:ascii="Arial" w:cs="Arial" w:eastAsia="Arial" w:hAnsi="Arial"/>
          <w:sz w:val="18"/>
          <w:szCs w:val="18"/>
          <w:i w:val="1"/>
          <w:iCs w:val="1"/>
          <w:color w:val="auto"/>
        </w:rPr>
        <w:t>Failure to Meet Performance Standards</w:t>
      </w:r>
      <w:r>
        <w:rPr>
          <w:rFonts w:ascii="Arial" w:cs="Arial" w:eastAsia="Arial" w:hAnsi="Arial"/>
          <w:sz w:val="18"/>
          <w:szCs w:val="18"/>
          <w:color w:val="auto"/>
        </w:rPr>
        <w:t xml:space="preserve">. By NRZ Brokerage, if RHSS’s Quarterly Performance Score for any Service Level Metric contained in the Performance Scorecard falls below the applicable threshold for such Service Level Metric specified in the Performance Scorecard for two consecutive calendar quarters;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RHSS’s Quarterly Performance Score for any Service Level Metric contained in the Performance Scorecard for the calendar quarter commencing January 1, 2018, and ending March 31, 2018, shall not be taken into account for the purposes of the application of this subsection (vii).”</w:t>
      </w:r>
    </w:p>
    <w:p>
      <w:pPr>
        <w:spacing w:after="0" w:line="188" w:lineRule="exact"/>
        <w:rPr>
          <w:sz w:val="20"/>
          <w:szCs w:val="20"/>
          <w:color w:val="auto"/>
        </w:rPr>
      </w:pPr>
    </w:p>
    <w:p>
      <w:pPr>
        <w:ind w:left="1100" w:hanging="444"/>
        <w:spacing w:after="0"/>
        <w:tabs>
          <w:tab w:leader="none" w:pos="11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Section 19(a)(viii) of the CBA is hereby deleted in its entirety, and inserted in lieu thereof is the following Section 19(a)(viii) of the CBA,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720" w:firstLine="648"/>
        <w:spacing w:after="0" w:line="271" w:lineRule="auto"/>
        <w:rPr>
          <w:sz w:val="20"/>
          <w:szCs w:val="20"/>
          <w:color w:val="auto"/>
        </w:rPr>
      </w:pPr>
      <w:r>
        <w:rPr>
          <w:rFonts w:ascii="Arial" w:cs="Arial" w:eastAsia="Arial" w:hAnsi="Arial"/>
          <w:sz w:val="17"/>
          <w:szCs w:val="17"/>
          <w:color w:val="auto"/>
        </w:rPr>
        <w:t xml:space="preserve">“(viii) </w:t>
      </w:r>
      <w:r>
        <w:rPr>
          <w:rFonts w:ascii="Arial" w:cs="Arial" w:eastAsia="Arial" w:hAnsi="Arial"/>
          <w:sz w:val="17"/>
          <w:szCs w:val="17"/>
          <w:i w:val="1"/>
          <w:iCs w:val="1"/>
          <w:color w:val="auto"/>
        </w:rPr>
        <w:t>Failure to Deliver Periodic Reports</w:t>
      </w:r>
      <w:r>
        <w:rPr>
          <w:rFonts w:ascii="Arial" w:cs="Arial" w:eastAsia="Arial" w:hAnsi="Arial"/>
          <w:sz w:val="17"/>
          <w:szCs w:val="17"/>
          <w:color w:val="auto"/>
        </w:rPr>
        <w:t xml:space="preserve">. By NRZ Brokerage, if RHSS fails to deliver periodic reports or other periodic deliverables by the due dates prescribed in the Vendor Management Addendum, which failure continues uncured (A) in the case of reports the Parties agree to and identify in writing are critical reports, for a period of [***] business days after the due date for such report, or (B) in the case of all other periodic reports or deliverables, for a period of [***] days after the due date for such report;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 the cure period in subsection (A) above shall be extended for an additional [***] business days in the event any such failure occurs during the period between the Second Amendment Effective Date, and March 31, 2018 and (II) the cure period in subsection (B) above shall be extended for an additional [***] days in the event any such failure occurs during the period between the Second Amendment Effective Date, and March 31, 2018. For the purpose of this Section 19(a)(viii), the following are critical reports:</w:t>
      </w:r>
    </w:p>
    <w:p>
      <w:pPr>
        <w:spacing w:after="0" w:line="179" w:lineRule="exact"/>
        <w:rPr>
          <w:sz w:val="20"/>
          <w:szCs w:val="20"/>
          <w:color w:val="auto"/>
        </w:rPr>
      </w:pPr>
    </w:p>
    <w:p>
      <w:pPr>
        <w:jc w:val="both"/>
        <w:ind w:left="1620" w:hanging="315"/>
        <w:spacing w:after="0" w:line="271"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Monthly Business Review Deck - To the extent it satisfies the reporting obligations set forth in Vendor Management Addendum Sections 2(b) and 2(c) and as also listed as numbers 1-4 (under the heading “SLA Based Operational Reporting”) in Exhibit 5B of this Agreement and 1-12 (under the heading “Non-SLA Based Operational Reporting”) in Exhibit 5B of this Agreement.</w:t>
      </w:r>
    </w:p>
    <w:p>
      <w:pPr>
        <w:ind w:left="1620" w:right="20" w:hanging="315"/>
        <w:spacing w:after="0" w:line="250"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Monthly New Listing report - To the extent it satisfies the reporting obligations set forth in Vendor Management Addendum Section 2(b) and as also listed as number 14 (under the heading “Non-SLA Based Operational Reporting”).</w:t>
      </w:r>
    </w:p>
    <w:p>
      <w:pPr>
        <w:ind w:left="1620" w:hanging="315"/>
        <w:spacing w:after="0" w:line="261"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Quarterly Results of Governmental Authority Examinations or Investigations - To the extent it satisfies the reporting obligation set forth in section 1(h) of the Vendor Management Addendum.</w:t>
      </w:r>
    </w:p>
    <w:p>
      <w:pPr>
        <w:sectPr>
          <w:pgSz w:w="11900" w:h="16838" w:orient="portrait"/>
          <w:cols w:equalWidth="0" w:num="1">
            <w:col w:w="11420"/>
          </w:cols>
          <w:pgMar w:left="240" w:top="584" w:right="239" w:bottom="1440" w:gutter="0" w:footer="0" w:header="0"/>
        </w:sectPr>
      </w:pPr>
    </w:p>
    <w:bookmarkStart w:id="116" w:name="page117"/>
    <w:bookmarkEnd w:id="116"/>
    <w:p>
      <w:pPr>
        <w:ind w:left="1620" w:hanging="315"/>
        <w:spacing w:after="0" w:line="258" w:lineRule="auto"/>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Quarterly Licensing Update - To the extent is satisfies the reporting obligation set forth in Section 1(g) of the Vendor Management Addendum.</w:t>
      </w:r>
    </w:p>
    <w:p>
      <w:pPr>
        <w:spacing w:after="0" w:line="1" w:lineRule="exact"/>
        <w:rPr>
          <w:rFonts w:ascii="Arial" w:cs="Arial" w:eastAsia="Arial" w:hAnsi="Arial"/>
          <w:sz w:val="18"/>
          <w:szCs w:val="18"/>
          <w:color w:val="auto"/>
        </w:rPr>
      </w:pPr>
    </w:p>
    <w:p>
      <w:pPr>
        <w:ind w:left="1620" w:hanging="315"/>
        <w:spacing w:after="0" w:line="261" w:lineRule="auto"/>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Quarterly Financial Statements - To the extent it satisfies the reporting obligation set forth in section 1(k) of the Vendor Management Addendum.”</w:t>
      </w:r>
    </w:p>
    <w:p>
      <w:pPr>
        <w:spacing w:after="0" w:line="183" w:lineRule="exact"/>
        <w:rPr>
          <w:rFonts w:ascii="Arial" w:cs="Arial" w:eastAsia="Arial" w:hAnsi="Arial"/>
          <w:sz w:val="18"/>
          <w:szCs w:val="18"/>
          <w:color w:val="auto"/>
        </w:rPr>
      </w:pPr>
    </w:p>
    <w:p>
      <w:pPr>
        <w:ind w:left="1060" w:hanging="40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19(a)(xiv) of the CBA is hereby amended to insert the following sentence at the end of such Section 19(a)(xiv), as follows:</w:t>
      </w:r>
    </w:p>
    <w:p>
      <w:pPr>
        <w:spacing w:after="0" w:line="225"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 xml:space="preserve">“Notwithstanding any of the foregoing, the provisions of this </w:t>
      </w:r>
      <w:r>
        <w:rPr>
          <w:rFonts w:ascii="Arial" w:cs="Arial" w:eastAsia="Arial" w:hAnsi="Arial"/>
          <w:sz w:val="17"/>
          <w:szCs w:val="17"/>
          <w:u w:val="single" w:color="auto"/>
          <w:color w:val="auto"/>
        </w:rPr>
        <w:t>Section 19(a)(xiv)</w:t>
      </w:r>
      <w:r>
        <w:rPr>
          <w:rFonts w:ascii="Arial" w:cs="Arial" w:eastAsia="Arial" w:hAnsi="Arial"/>
          <w:sz w:val="17"/>
          <w:szCs w:val="17"/>
          <w:color w:val="auto"/>
        </w:rPr>
        <w:t xml:space="preserve"> shall not apply to any breach by RHSS of Section 20(d) or Section 20(e) herein unless, as a direct result of a breach of such Section 20(d) Section 20(e) by RHSS in the conduct of providing brokerage services on the HLSS Portfolios, Ocwen shall first exercise its right to terminate the New Ocwen Contract pursuant to, and in compliance with, the New Ocwen Contract; and provided further, that any such right of termination of this Agreement shall apply only to those HLSS Portfolios which were the subject of the right of termination exercised by Ocwen under the New Ocwen Contract.”</w:t>
      </w:r>
    </w:p>
    <w:p>
      <w:pPr>
        <w:spacing w:after="0" w:line="17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Section 20 of the CBA is hereby amended to insert the following subsections (d) and (e) at the end of such Section 20, as follows:</w:t>
      </w:r>
    </w:p>
    <w:p>
      <w:pPr>
        <w:spacing w:after="0" w:line="225"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“(d) RHSS’s employees, agents, and subcontractors, each to the extent engaged to perform licensed brokerage services as to New Rights to MSR for the related HLSS Portfolio (an “</w:t>
      </w:r>
      <w:r>
        <w:rPr>
          <w:rFonts w:ascii="Arial" w:cs="Arial" w:eastAsia="Arial" w:hAnsi="Arial"/>
          <w:sz w:val="17"/>
          <w:szCs w:val="17"/>
          <w:u w:val="single" w:color="auto"/>
          <w:color w:val="auto"/>
        </w:rPr>
        <w:t>RMSR Portfolio</w:t>
      </w:r>
      <w:r>
        <w:rPr>
          <w:rFonts w:ascii="Arial" w:cs="Arial" w:eastAsia="Arial" w:hAnsi="Arial"/>
          <w:sz w:val="17"/>
          <w:szCs w:val="17"/>
          <w:color w:val="auto"/>
        </w:rPr>
        <w:t>”) under the Agreement, shall have undergone and passed a criminal background investigation (conducted or ordered by RHSS or its Affiliates) prior to performing such brokerage services. Each such background investigation shall comply with all applicable laws and shall review, at a minimum, the applicable person’s criminal record (according to county and federal level records) over the seven (7) years prior to commencement of the background investigation.</w:t>
      </w:r>
    </w:p>
    <w:p>
      <w:pPr>
        <w:spacing w:after="0" w:line="173" w:lineRule="exact"/>
        <w:rPr>
          <w:sz w:val="20"/>
          <w:szCs w:val="20"/>
          <w:color w:val="auto"/>
        </w:rPr>
      </w:pPr>
    </w:p>
    <w:p>
      <w:pPr>
        <w:jc w:val="both"/>
        <w:ind w:left="660" w:firstLine="645"/>
        <w:spacing w:after="0" w:line="269" w:lineRule="auto"/>
        <w:tabs>
          <w:tab w:leader="none" w:pos="1723" w:val="left"/>
        </w:tabs>
        <w:numPr>
          <w:ilvl w:val="1"/>
          <w:numId w:val="52"/>
        </w:numPr>
        <w:rPr>
          <w:rFonts w:ascii="Arial" w:cs="Arial" w:eastAsia="Arial" w:hAnsi="Arial"/>
          <w:sz w:val="17"/>
          <w:szCs w:val="17"/>
          <w:color w:val="auto"/>
        </w:rPr>
      </w:pPr>
      <w:r>
        <w:rPr>
          <w:rFonts w:ascii="Arial" w:cs="Arial" w:eastAsia="Arial" w:hAnsi="Arial"/>
          <w:sz w:val="17"/>
          <w:szCs w:val="17"/>
          <w:color w:val="auto"/>
        </w:rPr>
        <w:t xml:space="preserve">RHSS shall at all times while performing Services hereunder as to an RMSR Portfolio, carry with an insurance agency with a Best’s Insurance Reports rating of “[***]” or better: (i) worker’s compensation insurance in accordance with the laws of the governmental bodies having jurisdiction; (ii) general liability insurance in amounts not less than [***] Dollars ($[***]) per occurrence and annual aggregate for bodily injury, personal injury and property damage liability combined; (iii) automobile insurance in amounts not less than [***] Dollars ($[***]) combined single limit for bodily injury and property damage for each occurrence and annual aggregate, covering all hired and non-owned vehicles; (iv) Commercial Crime Insurance/Fidelity in the amount of [***] Dollars ($[***]) per occurrence and annual aggregate, including coverage for theft or loss of NRZ Brokerage and NRZ Brokerage property; and (v) professional liability insurance to cover errors and omissions in amounts not less than [***] Dollars ($[***]) per occurrence and annual aggregate. RHSS shall provide a certificate of insurance indicating such coverage upon request by NRZ Brokerage. The insurance required under this Section 20(e) may be in a policy or policies of insurance, primary and excess, including so-called umbrella or catastrophe form, which may also include comprehensive automobile insurance and employer’s liability insurance. The provisions of this Section 20(e) shall be in addition to (and not in lieu of) the obligations of RHSS set forth on </w:t>
      </w:r>
      <w:r>
        <w:rPr>
          <w:rFonts w:ascii="Arial" w:cs="Arial" w:eastAsia="Arial" w:hAnsi="Arial"/>
          <w:sz w:val="17"/>
          <w:szCs w:val="17"/>
          <w:u w:val="single" w:color="auto"/>
          <w:color w:val="auto"/>
        </w:rPr>
        <w:t>Exhibit 5A</w:t>
      </w:r>
      <w:r>
        <w:rPr>
          <w:rFonts w:ascii="Arial" w:cs="Arial" w:eastAsia="Arial" w:hAnsi="Arial"/>
          <w:sz w:val="17"/>
          <w:szCs w:val="17"/>
          <w:color w:val="auto"/>
        </w:rPr>
        <w:t xml:space="preserve"> herein.”</w:t>
      </w:r>
    </w:p>
    <w:p>
      <w:pPr>
        <w:spacing w:after="0" w:line="182" w:lineRule="exact"/>
        <w:rPr>
          <w:rFonts w:ascii="Arial" w:cs="Arial" w:eastAsia="Arial" w:hAnsi="Arial"/>
          <w:sz w:val="17"/>
          <w:szCs w:val="17"/>
          <w:color w:val="auto"/>
        </w:rPr>
      </w:pPr>
    </w:p>
    <w:p>
      <w:pPr>
        <w:ind w:left="1080" w:hanging="424"/>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Section D.1.a of Exhibit 6 to the CBA is hereby deleted in its entirety, and inserted in lieu thereof is the Section D.1.a of Exhibit 6 to the CBA,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120" w:hanging="464"/>
        <w:spacing w:after="0"/>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Section E of Exhibit 6 to the CBA is hereby deleted in its entirety, and inserted in lieu thereof is the Section E of Exhibit 6 to the CBA,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60" w:hanging="40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remaining provisions of the CBA shall remain unchanged and effective and are incorporated herein by reference.</w:t>
      </w:r>
    </w:p>
    <w:p>
      <w:pPr>
        <w:spacing w:after="0" w:line="225" w:lineRule="exact"/>
        <w:rPr>
          <w:rFonts w:ascii="Arial" w:cs="Arial" w:eastAsia="Arial" w:hAnsi="Arial"/>
          <w:sz w:val="18"/>
          <w:szCs w:val="18"/>
          <w:color w:val="auto"/>
        </w:rPr>
      </w:pPr>
    </w:p>
    <w:p>
      <w:pPr>
        <w:ind w:firstLine="656"/>
        <w:spacing w:after="0" w:line="277" w:lineRule="auto"/>
        <w:tabs>
          <w:tab w:leader="none" w:pos="10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Second Amendment may be executed in counterparts, each of which shall be deemed an original, but all of which constitute one and the same instrument.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Remainder of this Page has been Intentionally Left Blank]</w:t>
      </w:r>
    </w:p>
    <w:p>
      <w:pPr>
        <w:sectPr>
          <w:pgSz w:w="11900" w:h="16838" w:orient="portrait"/>
          <w:cols w:equalWidth="0" w:num="1">
            <w:col w:w="11420"/>
          </w:cols>
          <w:pgMar w:left="240" w:top="584" w:right="239" w:bottom="1440" w:gutter="0" w:footer="0" w:header="0"/>
        </w:sectPr>
      </w:pPr>
    </w:p>
    <w:bookmarkStart w:id="117" w:name="page118"/>
    <w:bookmarkEnd w:id="117"/>
    <w:p>
      <w:pPr>
        <w:ind w:firstLine="648"/>
        <w:spacing w:after="0" w:line="277" w:lineRule="auto"/>
        <w:rPr>
          <w:sz w:val="20"/>
          <w:szCs w:val="20"/>
          <w:color w:val="auto"/>
        </w:rPr>
      </w:pPr>
      <w:r>
        <w:rPr>
          <w:rFonts w:ascii="Arial" w:cs="Arial" w:eastAsia="Arial" w:hAnsi="Arial"/>
          <w:sz w:val="18"/>
          <w:szCs w:val="18"/>
          <w:color w:val="auto"/>
        </w:rPr>
        <w:t>IN WITNESS WHEREOF, the parties have executed and delivered this Second Amendment to Cooperative Brokerage Agreement as of the date first written above.</w:t>
      </w:r>
    </w:p>
    <w:p>
      <w:pPr>
        <w:spacing w:after="0" w:line="329" w:lineRule="exact"/>
        <w:rPr>
          <w:sz w:val="20"/>
          <w:szCs w:val="20"/>
          <w:color w:val="auto"/>
        </w:rPr>
      </w:pPr>
    </w:p>
    <w:tbl>
      <w:tblPr>
        <w:tblLayout w:type="fixed"/>
        <w:tblInd w:w="54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RHSS I</w:t>
            </w:r>
            <w:r>
              <w:rPr>
                <w:rFonts w:ascii="Arial" w:cs="Arial" w:eastAsia="Arial" w:hAnsi="Arial"/>
                <w:sz w:val="16"/>
                <w:szCs w:val="16"/>
                <w:b w:val="1"/>
                <w:bCs w:val="1"/>
                <w:color w:val="auto"/>
              </w:rPr>
              <w:t>NC</w:t>
            </w:r>
            <w:r>
              <w:rPr>
                <w:rFonts w:ascii="Arial" w:cs="Arial" w:eastAsia="Arial" w:hAnsi="Arial"/>
                <w:sz w:val="18"/>
                <w:szCs w:val="18"/>
                <w:b w:val="1"/>
                <w:bCs w:val="1"/>
                <w:color w:val="auto"/>
              </w:rPr>
              <w:t>.:</w:t>
            </w:r>
          </w:p>
        </w:tc>
      </w:tr>
      <w:tr>
        <w:trPr>
          <w:trHeight w:val="567"/>
        </w:trPr>
        <w:tc>
          <w:tcPr>
            <w:tcW w:w="64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REALHome Services and Solutions, Inc.</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color w:val="auto"/>
              </w:rPr>
              <w:t>/s/ Min Alexander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Min Alexander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Real Estate Services</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54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RHSS CT.:</w:t>
            </w:r>
          </w:p>
        </w:tc>
      </w:tr>
      <w:tr>
        <w:trPr>
          <w:trHeight w:val="567"/>
        </w:trPr>
        <w:tc>
          <w:tcPr>
            <w:tcW w:w="64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REALHome Services and Solutions - CT, Inc.</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color w:val="auto"/>
              </w:rPr>
              <w:t>/s/ Min Alexander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Min Alexander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Real Estate Services</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831"/>
        </w:trPr>
        <w:tc>
          <w:tcPr>
            <w:tcW w:w="64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NRZ B</w:t>
            </w:r>
            <w:r>
              <w:rPr>
                <w:rFonts w:ascii="Arial" w:cs="Arial" w:eastAsia="Arial" w:hAnsi="Arial"/>
                <w:sz w:val="16"/>
                <w:szCs w:val="16"/>
                <w:b w:val="1"/>
                <w:bCs w:val="1"/>
                <w:color w:val="auto"/>
              </w:rPr>
              <w:t>ROKERAGE</w:t>
            </w:r>
            <w:r>
              <w:rPr>
                <w:rFonts w:ascii="Arial" w:cs="Arial" w:eastAsia="Arial" w:hAnsi="Arial"/>
                <w:sz w:val="18"/>
                <w:szCs w:val="18"/>
                <w:b w:val="1"/>
                <w:bCs w:val="1"/>
                <w:color w:val="auto"/>
              </w:rPr>
              <w:t>:</w:t>
            </w:r>
          </w:p>
        </w:tc>
      </w:tr>
      <w:tr>
        <w:trPr>
          <w:trHeight w:val="567"/>
        </w:trPr>
        <w:tc>
          <w:tcPr>
            <w:tcW w:w="64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New Residential Sales Corp.</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color w:val="auto"/>
              </w:rPr>
              <w:t>/s/ Nicola Santoro, Jr.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Nicola Santoro, Jr.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7"/>
        </w:trPr>
        <w:tc>
          <w:tcPr>
            <w:tcW w:w="6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ectPr>
          <w:pgSz w:w="11900" w:h="16838" w:orient="portrait"/>
          <w:cols w:equalWidth="0" w:num="1">
            <w:col w:w="11400"/>
          </w:cols>
          <w:pgMar w:left="240" w:top="800" w:right="2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Altisource Portfolio Solutions S.A. as of December 31, 2017 and the jurisdictions in which they are organized.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w w:val="94"/>
              </w:rPr>
              <w:t>Jurisdiction of incorporation or</w:t>
            </w:r>
          </w:p>
        </w:tc>
        <w:tc>
          <w:tcPr>
            <w:tcW w:w="0" w:type="dxa"/>
            <w:vAlign w:val="bottom"/>
          </w:tcPr>
          <w:p>
            <w:pPr>
              <w:spacing w:after="0"/>
              <w:rPr>
                <w:sz w:val="1"/>
                <w:szCs w:val="1"/>
                <w:color w:val="auto"/>
              </w:rPr>
            </w:pPr>
          </w:p>
        </w:tc>
      </w:tr>
      <w:tr>
        <w:trPr>
          <w:trHeight w:val="192"/>
        </w:trPr>
        <w:tc>
          <w:tcPr>
            <w:tcW w:w="9360" w:type="dxa"/>
            <w:vAlign w:val="bottom"/>
            <w:gridSpan w:val="2"/>
            <w:vMerge w:val="continue"/>
          </w:tcPr>
          <w:p>
            <w:pPr>
              <w:spacing w:after="0"/>
              <w:rPr>
                <w:sz w:val="16"/>
                <w:szCs w:val="16"/>
                <w:color w:val="auto"/>
              </w:rPr>
            </w:pPr>
          </w:p>
        </w:tc>
        <w:tc>
          <w:tcPr>
            <w:tcW w:w="2060" w:type="dxa"/>
            <w:vAlign w:val="bottom"/>
          </w:tcPr>
          <w:p>
            <w:pPr>
              <w:ind w:left="6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70"/>
        </w:trPr>
        <w:tc>
          <w:tcPr>
            <w:tcW w:w="9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Access CA,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Access,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Asia Holdings Ltd. I</w:t>
            </w:r>
          </w:p>
        </w:tc>
        <w:tc>
          <w:tcPr>
            <w:tcW w:w="2060" w:type="dxa"/>
            <w:vAlign w:val="bottom"/>
          </w:tcPr>
          <w:p>
            <w:pPr>
              <w:ind w:left="4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Asset Acquisition,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Business Solutions Private Limited</w:t>
            </w:r>
          </w:p>
        </w:tc>
        <w:tc>
          <w:tcPr>
            <w:tcW w:w="20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Business Solutions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Business Solutions, Inc.</w:t>
            </w:r>
          </w:p>
        </w:tc>
        <w:tc>
          <w:tcPr>
            <w:tcW w:w="206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Collaborative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Consumer Analytics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Document Solutions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Fulfillment Operations,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Holdings,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Mortgage Solutions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Online Auction,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Outsourcing Solutions S.R.L.</w:t>
            </w:r>
          </w:p>
        </w:tc>
        <w:tc>
          <w:tcPr>
            <w:tcW w:w="2060" w:type="dxa"/>
            <w:vAlign w:val="bottom"/>
          </w:tcPr>
          <w:p>
            <w:pPr>
              <w:ind w:left="40"/>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Portfolio Solutions,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Real Estate Web Portal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Single Family,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Solutions B.V.</w:t>
            </w:r>
          </w:p>
        </w:tc>
        <w:tc>
          <w:tcPr>
            <w:tcW w:w="206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Solutions,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Spend Management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Technology Solutions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US Data,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Association of Certified Mortgage Originators Risk Retention Group,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Association of Certified Originators</w:t>
            </w:r>
          </w:p>
        </w:tc>
        <w:tc>
          <w:tcPr>
            <w:tcW w:w="2060" w:type="dxa"/>
            <w:vAlign w:val="bottom"/>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Beltline Road Insurance Agency,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BRS Better Neighborhoods,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CastleLine Holdings,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CastleLine Re, Inc.</w:t>
            </w:r>
          </w:p>
        </w:tc>
        <w:tc>
          <w:tcPr>
            <w:tcW w:w="2060" w:type="dxa"/>
            <w:vAlign w:val="bottom"/>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CastleLine Risk and Insurance Services,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Equator, LLC</w:t>
            </w:r>
          </w:p>
        </w:tc>
        <w:tc>
          <w:tcPr>
            <w:tcW w:w="206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GoldenGator,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Hubzu Notes, LLC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Hubzu USA,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Investability Solutions,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Nationwide Credit,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noteXchange, LLC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Onit Solutions,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Power Default Services,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Agency,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Insurance Agency - UT, Inc.</w:t>
            </w:r>
          </w:p>
        </w:tc>
        <w:tc>
          <w:tcPr>
            <w:tcW w:w="2060" w:type="dxa"/>
            <w:vAlign w:val="bottom"/>
          </w:tcPr>
          <w:p>
            <w:pPr>
              <w:ind w:left="4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of California,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FL,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IL,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Indiana,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MD,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MN,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887"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w w:val="94"/>
              </w:rPr>
              <w:t>Jurisdiction of incorporation or</w:t>
            </w:r>
          </w:p>
        </w:tc>
        <w:tc>
          <w:tcPr>
            <w:tcW w:w="0" w:type="dxa"/>
            <w:vAlign w:val="bottom"/>
          </w:tcPr>
          <w:p>
            <w:pPr>
              <w:spacing w:after="0"/>
              <w:rPr>
                <w:sz w:val="1"/>
                <w:szCs w:val="1"/>
                <w:color w:val="auto"/>
              </w:rPr>
            </w:pPr>
          </w:p>
        </w:tc>
      </w:tr>
      <w:tr>
        <w:trPr>
          <w:trHeight w:val="192"/>
        </w:trPr>
        <w:tc>
          <w:tcPr>
            <w:tcW w:w="9360" w:type="dxa"/>
            <w:vAlign w:val="bottom"/>
            <w:gridSpan w:val="2"/>
            <w:vMerge w:val="continue"/>
          </w:tcPr>
          <w:p>
            <w:pPr>
              <w:spacing w:after="0"/>
              <w:rPr>
                <w:sz w:val="16"/>
                <w:szCs w:val="16"/>
                <w:color w:val="auto"/>
              </w:rPr>
            </w:pPr>
          </w:p>
        </w:tc>
        <w:tc>
          <w:tcPr>
            <w:tcW w:w="2060" w:type="dxa"/>
            <w:vAlign w:val="bottom"/>
          </w:tcPr>
          <w:p>
            <w:pPr>
              <w:ind w:left="6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70"/>
        </w:trPr>
        <w:tc>
          <w:tcPr>
            <w:tcW w:w="9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MO,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NY,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VA,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Inc.</w:t>
            </w:r>
          </w:p>
        </w:tc>
        <w:tc>
          <w:tcPr>
            <w:tcW w:w="2060" w:type="dxa"/>
            <w:vAlign w:val="bottom"/>
          </w:tcPr>
          <w:p>
            <w:pPr>
              <w:ind w:left="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PTS – Escrow,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PTS – Texas Title,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REALHome Services and Solutions – CT,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REALHome Services and Solutions, Inc.</w:t>
            </w:r>
          </w:p>
        </w:tc>
        <w:tc>
          <w:tcPr>
            <w:tcW w:w="2060" w:type="dxa"/>
            <w:vAlign w:val="bottom"/>
          </w:tcPr>
          <w:p>
            <w:pPr>
              <w:ind w:left="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REIsmart,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Springhouse, LLC</w:t>
            </w:r>
          </w:p>
        </w:tc>
        <w:tc>
          <w:tcPr>
            <w:tcW w:w="2060" w:type="dxa"/>
            <w:vAlign w:val="bottom"/>
          </w:tcPr>
          <w:p>
            <w:pPr>
              <w:ind w:left="4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Mortgage Partnership of America,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Western Progressive – Arizona,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Progressive – Nevada,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Western Progressive – Washington, Inc.</w:t>
            </w:r>
          </w:p>
        </w:tc>
        <w:tc>
          <w:tcPr>
            <w:tcW w:w="2060" w:type="dxa"/>
            <w:vAlign w:val="bottom"/>
          </w:tcPr>
          <w:p>
            <w:pPr>
              <w:ind w:left="4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Western Progressive Trustee, LLC</w:t>
            </w: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2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 333-161175 on Form S-8 of our reports dated February 22, 2018, relating to the consolidated financial statements and financial statement schedule of Altisource Portfolio Solutions S.A. and subsidiaries (the “Company”) (which report expresses an unqualified opinion on the consolidated financial statements and includes explanatory paragraphs related to the change in application of accounting for the composition of reportable segments and concentration of revenue and uncertainties with Ocwen Financial Corporation and New Residential Investment Corp.), and our report dated February 22, 2018, relating to internal control over financial reporting (which report expresses an unqualified opinion on the effectiveness of the Company's internal control over financial reporting) appearing in this Annual Report on Form 10-K of the Company for the year ended December 31, 2017.</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Mayer Hoffman McCann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Clearwater, Florida</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No. 333-161175 on Form S-8 of our report dated March 15, 2016, relating to the 2015 consolidated financial statements and financial statement schedule of Altisource Portfolio Solutions S.A. and subsidiaries (the “Company”), before the retrospective adjustments to the disclosures for a change in the composition of reportable segments referred to in Note 24, which report expresses an unqualified opinion on the consolidated financial statements and includes an explanatory paragraph related to the concentration of revenue with Ocwen Financial Corporation (“Ocwen”) and an emphasis of a matter related to the uncertainties faced by Ocwen, appearing in the Annual Report on Form 10-K of the Company for the year ended December 31, 2017.</w:t>
      </w: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2017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Indroneel Chatterjee, hereby certify that:</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2017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Indroneel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Indroneel Chatterjee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ANNUAL REPORT ON FORM 10-K OF ALTISOURCE PORTFOLIO SOLUTIONS S.A. FOR THE YEAR ENDED DECEMBER 31, 2017</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on Form 10-K of Altisource Portfolio Solutions S.A. (the “Company”) for the year ended December 31, 2017, as filed with the Securities and Exchange Commission on the date hereof (the “Report”), William B. Shepro, as Chief Executive Officer of the Company, and Indroneel Chatterjee,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Indroneel Chatterjee</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Indroneel Chatterjee</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February 22, 2018</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February 22, 2018</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2"/>
    </w:lvl>
  </w:abstractNum>
  <w:abstractNum w:abstractNumId="37">
    <w:nsid w:val="7644A45C"/>
    <w:multiLevelType w:val="hybridMultilevel"/>
    <w:lvl w:ilvl="0">
      <w:lvlJc w:val="left"/>
      <w:lvlText w:val="%1."/>
      <w:numFmt w:val="decimal"/>
      <w:start w:val="3"/>
    </w:lvl>
  </w:abstractNum>
  <w:abstractNum w:abstractNumId="38">
    <w:nsid w:val="32FFF902"/>
    <w:multiLevelType w:val="hybridMultilevel"/>
    <w:lvl w:ilvl="0">
      <w:lvlJc w:val="left"/>
      <w:lvlText w:val="(%1)"/>
      <w:numFmt w:val="lowerRoman"/>
      <w:start w:val="1"/>
    </w:lvl>
  </w:abstractNum>
  <w:abstractNum w:abstractNumId="39">
    <w:nsid w:val="684A481A"/>
    <w:multiLevelType w:val="hybridMultilevel"/>
    <w:lvl w:ilvl="0">
      <w:lvlJc w:val="left"/>
      <w:lvlText w:val="(%1)"/>
      <w:numFmt w:val="lowerRoman"/>
      <w:start w:val="3"/>
    </w:lvl>
  </w:abstractNum>
  <w:abstractNum w:abstractNumId="40">
    <w:nsid w:val="579478FE"/>
    <w:multiLevelType w:val="hybridMultilevel"/>
    <w:lvl w:ilvl="0">
      <w:lvlJc w:val="left"/>
      <w:lvlText w:val="%1"/>
      <w:numFmt w:val="decimal"/>
      <w:start w:val="1"/>
    </w:lvl>
    <w:lvl w:ilvl="1">
      <w:lvlJc w:val="left"/>
      <w:lvlText w:val="(%2)"/>
      <w:numFmt w:val="lowerLetter"/>
      <w:start w:val="71"/>
    </w:lvl>
  </w:abstractNum>
  <w:abstractNum w:abstractNumId="41">
    <w:nsid w:val="749ABB43"/>
    <w:multiLevelType w:val="hybridMultilevel"/>
    <w:lvl w:ilvl="0">
      <w:lvlJc w:val="left"/>
      <w:lvlText w:val="%1."/>
      <w:numFmt w:val="decimal"/>
      <w:start w:val="5"/>
    </w:lvl>
    <w:lvl w:ilvl="1">
      <w:lvlJc w:val="left"/>
      <w:lvlText w:val="%2"/>
      <w:numFmt w:val="lowerLetter"/>
      <w:start w:val="1"/>
    </w:lvl>
  </w:abstractNum>
  <w:abstractNum w:abstractNumId="42">
    <w:nsid w:val="3DC240FB"/>
    <w:multiLevelType w:val="hybridMultilevel"/>
    <w:lvl w:ilvl="0">
      <w:lvlJc w:val="left"/>
      <w:lvlText w:val="%1."/>
      <w:numFmt w:val="decimal"/>
      <w:start w:val="6"/>
    </w:lvl>
  </w:abstractNum>
  <w:abstractNum w:abstractNumId="43">
    <w:nsid w:val="1BA026FA"/>
    <w:multiLevelType w:val="hybridMultilevel"/>
    <w:lvl w:ilvl="0">
      <w:lvlJc w:val="left"/>
      <w:lvlText w:val="%1."/>
      <w:numFmt w:val="decimal"/>
      <w:start w:val="7"/>
    </w:lvl>
    <w:lvl w:ilvl="1">
      <w:lvlJc w:val="left"/>
      <w:lvlText w:val="(%2)"/>
      <w:numFmt w:val="lowerRoman"/>
      <w:start w:val="2"/>
    </w:lvl>
  </w:abstractNum>
  <w:abstractNum w:abstractNumId="44">
    <w:nsid w:val="79A1DEAA"/>
    <w:multiLevelType w:val="hybridMultilevel"/>
    <w:lvl w:ilvl="0">
      <w:lvlJc w:val="left"/>
      <w:lvlText w:val="(%1)"/>
      <w:numFmt w:val="lowerRoman"/>
      <w:start w:val="1"/>
    </w:lvl>
  </w:abstractNum>
  <w:abstractNum w:abstractNumId="45">
    <w:nsid w:val="75C6C33A"/>
    <w:multiLevelType w:val="hybridMultilevel"/>
    <w:lvl w:ilvl="0">
      <w:lvlJc w:val="left"/>
      <w:lvlText w:val="%1."/>
      <w:numFmt w:val="decimal"/>
      <w:start w:val="11"/>
    </w:lvl>
  </w:abstractNum>
  <w:abstractNum w:abstractNumId="46">
    <w:nsid w:val="12E685FB"/>
    <w:multiLevelType w:val="hybridMultilevel"/>
    <w:lvl w:ilvl="0">
      <w:lvlJc w:val="left"/>
      <w:lvlText w:val="%1."/>
      <w:numFmt w:val="decimal"/>
      <w:start w:val="12"/>
    </w:lvl>
  </w:abstractNum>
  <w:abstractNum w:abstractNumId="47">
    <w:nsid w:val="70C6A529"/>
    <w:multiLevelType w:val="hybridMultilevel"/>
    <w:lvl w:ilvl="0">
      <w:lvlJc w:val="left"/>
      <w:lvlText w:val="%1."/>
      <w:numFmt w:val="decimal"/>
      <w:start w:val="13"/>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lvl w:ilvl="1">
      <w:lvlJc w:val="left"/>
      <w:lvlText w:val="%2."/>
      <w:numFmt w:val="decimal"/>
      <w:start w:val="4"/>
    </w:lvl>
  </w:abstractNum>
  <w:abstractNum w:abstractNumId="50">
    <w:nsid w:val="4F4EF005"/>
    <w:multiLevelType w:val="hybridMultilevel"/>
    <w:lvl w:ilvl="0">
      <w:lvlJc w:val="left"/>
      <w:lvlText w:val="%1."/>
      <w:numFmt w:val="decimal"/>
      <w:start w:val="14"/>
    </w:lvl>
    <w:lvl w:ilvl="1">
      <w:lvlJc w:val="left"/>
      <w:lvlText w:val="%2"/>
      <w:numFmt w:val="decimal"/>
      <w:start w:val="1"/>
    </w:lvl>
  </w:abstractNum>
  <w:abstractNum w:abstractNumId="51">
    <w:nsid w:val="23F9C13C"/>
    <w:multiLevelType w:val="hybridMultilevel"/>
    <w:lvl w:ilvl="0">
      <w:lvlJc w:val="left"/>
      <w:lvlText w:val="%1"/>
      <w:numFmt w:val="decimal"/>
      <w:start w:val="1"/>
    </w:lvl>
    <w:lvl w:ilvl="1">
      <w:lvlJc w:val="left"/>
      <w:lvlText w:val="(%2)"/>
      <w:numFmt w:val="lowerLetter"/>
      <w:start w:val="5"/>
    </w:lvl>
  </w:abstractNum>
  <w:abstractNum w:abstractNumId="52">
    <w:nsid w:val="649BB77C"/>
    <w:multiLevelType w:val="hybridMultilevel"/>
    <w:lvl w:ilvl="0">
      <w:lvlJc w:val="left"/>
      <w:lvlText w:val="%1."/>
      <w:numFmt w:val="decimal"/>
      <w:start w:val="16"/>
    </w:lvl>
    <w:lvl w:ilvl="1">
      <w:lvlJc w:val="left"/>
      <w:lvlText w:val="%2"/>
      <w:numFmt w:val="lowerLetter"/>
      <w:start w:val="1"/>
    </w:lvl>
  </w:abstractNum>
  <w:abstractNum w:abstractNumId="53">
    <w:nsid w:val="275AC794"/>
    <w:multiLevelType w:val="hybridMultilevel"/>
    <w:lvl w:ilvl="0">
      <w:lvlJc w:val="left"/>
      <w:lvlText w:val="%1."/>
      <w:numFmt w:val="decimal"/>
      <w:start w:val="17"/>
    </w:lvl>
  </w:abstractNum>
  <w:abstractNum w:abstractNumId="54">
    <w:nsid w:val="39386575"/>
    <w:multiLevelType w:val="hybridMultilevel"/>
    <w:lvl w:ilvl="0">
      <w:lvlJc w:val="left"/>
      <w:lvlText w:val="%1."/>
      <w:numFmt w:val="decimal"/>
      <w:start w:val="18"/>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98" Type="http://schemas.openxmlformats.org/officeDocument/2006/relationships/image" Target="media/image15.png"/><Relationship Id="rId99" Type="http://schemas.openxmlformats.org/officeDocument/2006/relationships/image" Target="media/image16.png"/><Relationship Id="rId100" Type="http://schemas.openxmlformats.org/officeDocument/2006/relationships/image" Target="media/image17.png"/><Relationship Id="rId101" Type="http://schemas.openxmlformats.org/officeDocument/2006/relationships/image" Target="media/image18.png"/><Relationship Id="rId102" Type="http://schemas.openxmlformats.org/officeDocument/2006/relationships/image" Target="media/image19.png"/><Relationship Id="rId22" Type="http://schemas.openxmlformats.org/officeDocument/2006/relationships/hyperlink" Target="http://www.sec.gov/Archives/edgar/data/1462418/000095012309018800/g19081a1exv2w1.htm" TargetMode="External"/><Relationship Id="rId23" Type="http://schemas.openxmlformats.org/officeDocument/2006/relationships/hyperlink" Target="http://www.sec.gov/Archives/edgar/data/1462418/000110465912086792/a12-30299_1ex2d1.htm" TargetMode="External"/><Relationship Id="rId24" Type="http://schemas.openxmlformats.org/officeDocument/2006/relationships/hyperlink" Target="http://www.sec.gov/Archives/edgar/data/1462418/000110465912086792/a12-30299_1ex2d2.htm" TargetMode="External"/><Relationship Id="rId25" Type="http://schemas.openxmlformats.org/officeDocument/2006/relationships/hyperlink" Target="http://www.sec.gov/Archives/edgar/data/1462418/000110465913027096/a13-9447_1ex2d1.htm" TargetMode="External"/><Relationship Id="rId26" Type="http://schemas.openxmlformats.org/officeDocument/2006/relationships/hyperlink" Target="http://www.sec.gov/Archives/edgar/data/1462418/000110465913065226/a13-18970_1ex2d1.htm" TargetMode="External"/><Relationship Id="rId27" Type="http://schemas.openxmlformats.org/officeDocument/2006/relationships/hyperlink" Target="http://www.sec.gov/Archives/edgar/data/1462418/000146241817000026/asps-6302017ex31.htm" TargetMode="External"/><Relationship Id="rId28" Type="http://schemas.openxmlformats.org/officeDocument/2006/relationships/hyperlink" Target="http://www.sec.gov/Archives/edgar/data/1462418/000095012309034795/g20198exv10w1.htm" TargetMode="External"/><Relationship Id="rId29" Type="http://schemas.openxmlformats.org/officeDocument/2006/relationships/hyperlink" Target="http://www.sec.gov/Archives/edgar/data/1462418/000095012309034795/g20198exv10w2.htm" TargetMode="External"/><Relationship Id="rId30" Type="http://schemas.openxmlformats.org/officeDocument/2006/relationships/hyperlink" Target="http://www.sec.gov/Archives/edgar/data/1462418/000095012309034795/g20198exv10w3.htm" TargetMode="External"/><Relationship Id="rId31" Type="http://schemas.openxmlformats.org/officeDocument/2006/relationships/hyperlink" Target="http://www.sec.gov/Archives/edgar/data/1462418/000095012309034795/g20198exv10w4.htm" TargetMode="External"/><Relationship Id="rId32" Type="http://schemas.openxmlformats.org/officeDocument/2006/relationships/hyperlink" Target="http://www.sec.gov/Archives/edgar/data/1462418/000095012309034795/g20198exv10w5.htm" TargetMode="External"/><Relationship Id="rId33" Type="http://schemas.openxmlformats.org/officeDocument/2006/relationships/hyperlink" Target="http://www.sec.gov/Archives/edgar/data/1462418/000095012309034795/g20198exv10w6.htm" TargetMode="External"/><Relationship Id="rId34" Type="http://schemas.openxmlformats.org/officeDocument/2006/relationships/hyperlink" Target="http://www.sec.gov/Archives/edgar/data/1462418/000095012309034795/g20198exv10w7.htm" TargetMode="External"/><Relationship Id="rId35" Type="http://schemas.openxmlformats.org/officeDocument/2006/relationships/hyperlink" Target="http://www.sec.gov/Archives/edgar/data/1462418/000095012309034795/g20198exv10w8.htm" TargetMode="External"/><Relationship Id="rId36" Type="http://schemas.openxmlformats.org/officeDocument/2006/relationships/hyperlink" Target="http://www.sec.gov/Archives/edgar/data/1462418/000095012309018800/g19081a1exv10w8.htm" TargetMode="External"/><Relationship Id="rId37" Type="http://schemas.openxmlformats.org/officeDocument/2006/relationships/hyperlink" Target="http://www.sec.gov/Archives/edgar/data/1462418/000095012309018800/g19081a1exv10w9.htm" TargetMode="External"/><Relationship Id="rId38" Type="http://schemas.openxmlformats.org/officeDocument/2006/relationships/hyperlink" Target="http://www.sec.gov/Archives/edgar/data/1462418/000095012309018800/g19081a1exv10w11.htm" TargetMode="External"/><Relationship Id="rId39" Type="http://schemas.openxmlformats.org/officeDocument/2006/relationships/hyperlink" Target="http://www.sec.gov/Archives/edgar/data/1462418/000095012310025337/g22255exv10w12.htm" TargetMode="External"/><Relationship Id="rId40" Type="http://schemas.openxmlformats.org/officeDocument/2006/relationships/hyperlink" Target="http://www.sec.gov/Archives/edgar/data/1462418/000095012310025337/g22255exv10w13.htm" TargetMode="External"/><Relationship Id="rId41" Type="http://schemas.openxmlformats.org/officeDocument/2006/relationships/hyperlink" Target="http://www.sec.gov/Archives/edgar/data/1462418/000095012311015633/c12905exv10w14.htm" TargetMode="External"/><Relationship Id="rId42" Type="http://schemas.openxmlformats.org/officeDocument/2006/relationships/hyperlink" Target="http://www.sec.gov/Archives/edgar/data/1462418/000095012311077958/c21536exv10w1.htm" TargetMode="External"/><Relationship Id="rId43" Type="http://schemas.openxmlformats.org/officeDocument/2006/relationships/hyperlink" Target="http://www.sec.gov/Archives/edgar/data/1462418/000119312512119255/d316454dex101.htm" TargetMode="External"/><Relationship Id="rId44" Type="http://schemas.openxmlformats.org/officeDocument/2006/relationships/hyperlink" Target="http://www.sec.gov/Archives/edgar/data/1462418/000110465912058385/a12-18388_1ex10d1.htm" TargetMode="External"/><Relationship Id="rId45" Type="http://schemas.openxmlformats.org/officeDocument/2006/relationships/hyperlink" Target="http://www.sec.gov/Archives/edgar/data/1462418/000110465912058892/a12-18661_1ex10d1.htm" TargetMode="External"/><Relationship Id="rId46" Type="http://schemas.openxmlformats.org/officeDocument/2006/relationships/hyperlink" Target="http://www.sec.gov/Archives/edgar/data/1462418/000110465912058892/a12-18661_1ex10d2.htm" TargetMode="External"/><Relationship Id="rId47" Type="http://schemas.openxmlformats.org/officeDocument/2006/relationships/hyperlink" Target="http://www.sec.gov/Archives/edgar/data/1462418/000110465912067822/a12-23132_1ex10d1.htm" TargetMode="External"/><Relationship Id="rId48" Type="http://schemas.openxmlformats.org/officeDocument/2006/relationships/hyperlink" Target="http://www.sec.gov/Archives/edgar/data/1462418/000110465912067822/a12-23132_1ex10d2.htm" TargetMode="External"/><Relationship Id="rId49" Type="http://schemas.openxmlformats.org/officeDocument/2006/relationships/hyperlink" Target="http://www.sec.gov/Archives/edgar/data/1462418/000110465912067822/a12-23132_1ex10d3.htm" TargetMode="External"/><Relationship Id="rId50" Type="http://schemas.openxmlformats.org/officeDocument/2006/relationships/hyperlink" Target="http://www.sec.gov/Archives/edgar/data/1462418/000110465912067822/a12-23132_1ex10d4.htm" TargetMode="External"/><Relationship Id="rId51" Type="http://schemas.openxmlformats.org/officeDocument/2006/relationships/hyperlink" Target="http://www.sec.gov/Archives/edgar/data/1462418/000110465912067822/a12-23132_1ex10d5.htm" TargetMode="External"/><Relationship Id="rId52" Type="http://schemas.openxmlformats.org/officeDocument/2006/relationships/hyperlink" Target="http://www.sec.gov/Archives/edgar/data/1462418/000110465912067822/a12-23132_1ex10d6.htm" TargetMode="External"/><Relationship Id="rId53" Type="http://schemas.openxmlformats.org/officeDocument/2006/relationships/hyperlink" Target="http://www.sec.gov/Archives/edgar/data/1462418/000110465912067822/a12-23132_1ex10d7.htm" TargetMode="External"/><Relationship Id="rId54" Type="http://schemas.openxmlformats.org/officeDocument/2006/relationships/hyperlink" Target="http://www.sec.gov/Archives/edgar/data/1462418/000110465912067822/a12-23132_1ex10d8.htm" TargetMode="External"/><Relationship Id="rId55" Type="http://schemas.openxmlformats.org/officeDocument/2006/relationships/hyperlink" Target="http://www.sec.gov/Archives/edgar/data/1462418/000110465912067822/a12-23132_1ex10d9.htm" TargetMode="External"/><Relationship Id="rId56" Type="http://schemas.openxmlformats.org/officeDocument/2006/relationships/hyperlink" Target="http://www.sec.gov/Archives/edgar/data/1462418/000110465912081391/a12-28283_1ex10d1.htm" TargetMode="External"/><Relationship Id="rId57" Type="http://schemas.openxmlformats.org/officeDocument/2006/relationships/hyperlink" Target="http://www.sec.gov/Archives/edgar/data/1462418/000110465912086792/a12-30299_1ex10d1.htm" TargetMode="External"/><Relationship Id="rId58" Type="http://schemas.openxmlformats.org/officeDocument/2006/relationships/hyperlink" Target="http://www.sec.gov/Archives/edgar/data/1462418/000110465912086792/a12-30299_1ex10d2.htm" TargetMode="External"/><Relationship Id="rId59" Type="http://schemas.openxmlformats.org/officeDocument/2006/relationships/hyperlink" Target="http://www.sec.gov/Archives/edgar/data/1462418/000110465912086792/a12-30299_1ex10d3.htm" TargetMode="External"/><Relationship Id="rId60" Type="http://schemas.openxmlformats.org/officeDocument/2006/relationships/hyperlink" Target="http://www.sec.gov/Archives/edgar/data/1462418/000110465912086792/a12-30299_1ex10d4.htm" TargetMode="External"/><Relationship Id="rId61" Type="http://schemas.openxmlformats.org/officeDocument/2006/relationships/hyperlink" Target="http://www.sec.gov/Archives/edgar/data/1462418/000110465912086792/a12-30299_1ex10d5.htm" TargetMode="External"/><Relationship Id="rId62" Type="http://schemas.openxmlformats.org/officeDocument/2006/relationships/hyperlink" Target="http://www.sec.gov/Archives/edgar/data/1462418/000110465912086792/a12-30299_1ex10d6.htm" TargetMode="External"/><Relationship Id="rId63" Type="http://schemas.openxmlformats.org/officeDocument/2006/relationships/hyperlink" Target="http://www.sec.gov/Archives/edgar/data/1462418/000110465912086792/a12-30299_1ex10d7.htm" TargetMode="External"/><Relationship Id="rId64" Type="http://schemas.openxmlformats.org/officeDocument/2006/relationships/hyperlink" Target="http://www.sec.gov/Archives/edgar/data/1462418/000110465912086792/a12-30299_1ex10d8.htm" TargetMode="External"/><Relationship Id="rId65" Type="http://schemas.openxmlformats.org/officeDocument/2006/relationships/hyperlink" Target="http://www.sec.gov/Archives/edgar/data/1462418/000110465912086884/a12-30289_1ex10d1.htm" TargetMode="External"/><Relationship Id="rId66" Type="http://schemas.openxmlformats.org/officeDocument/2006/relationships/hyperlink" Target="http://www.sec.gov/Archives/edgar/data/1462418/000110465913027096/a13-9447_1ex10d1.htm" TargetMode="External"/><Relationship Id="rId67" Type="http://schemas.openxmlformats.org/officeDocument/2006/relationships/hyperlink" Target="http://www.sec.gov/Archives/edgar/data/1462418/000110465913027096/a13-9447_1ex10d2.htm" TargetMode="External"/><Relationship Id="rId68" Type="http://schemas.openxmlformats.org/officeDocument/2006/relationships/hyperlink" Target="http://www.sec.gov/Archives/edgar/data/1462418/000110465913027096/a13-9447_1ex10d3.htm" TargetMode="External"/><Relationship Id="rId69" Type="http://schemas.openxmlformats.org/officeDocument/2006/relationships/hyperlink" Target="http://www.sec.gov/Archives/edgar/data/1462418/000110465913027096/a13-9447_1ex10d4.htm" TargetMode="External"/><Relationship Id="rId70" Type="http://schemas.openxmlformats.org/officeDocument/2006/relationships/hyperlink" Target="http://www.sec.gov/Archives/edgar/data/1462418/000110465913027096/a13-9447_1ex10d5.htm" TargetMode="External"/><Relationship Id="rId71" Type="http://schemas.openxmlformats.org/officeDocument/2006/relationships/hyperlink" Target="http://www.sec.gov/Archives/edgar/data/1462418/000110465913027096/a13-9447_1ex10d6.htm" TargetMode="External"/><Relationship Id="rId72" Type="http://schemas.openxmlformats.org/officeDocument/2006/relationships/hyperlink" Target="http://www.sec.gov/Archives/edgar/data/1462418/000110465913027096/a13-9447_1ex10d7.htm" TargetMode="External"/><Relationship Id="rId73" Type="http://schemas.openxmlformats.org/officeDocument/2006/relationships/hyperlink" Target="http://www.sec.gov/Archives/edgar/data/1462418/000110465913027096/a13-9447_1ex10d8.htm" TargetMode="External"/><Relationship Id="rId74" Type="http://schemas.openxmlformats.org/officeDocument/2006/relationships/hyperlink" Target="http://www.sec.gov/Archives/edgar/data/1462418/000110465913030648/a13-10270_1ex10d1.htm" TargetMode="External"/><Relationship Id="rId75" Type="http://schemas.openxmlformats.org/officeDocument/2006/relationships/hyperlink" Target="http://www.sec.gov/Archives/edgar/data/1462418/000110465913040816/a13-12097_1ex10d1.htm" TargetMode="External"/><Relationship Id="rId76" Type="http://schemas.openxmlformats.org/officeDocument/2006/relationships/hyperlink" Target="http://www.sec.gov/Archives/edgar/data/1462418/000110465913089540/a13-26066_1ex10d1.htm" TargetMode="External"/><Relationship Id="rId77" Type="http://schemas.openxmlformats.org/officeDocument/2006/relationships/hyperlink" Target="http://www.sec.gov/Archives/edgar/data/1462418/000110465914057043/a14-18279_1ex10d1.htm" TargetMode="External"/><Relationship Id="rId78" Type="http://schemas.openxmlformats.org/officeDocument/2006/relationships/hyperlink" Target="http://www.sec.gov/Archives/edgar/data/1462418/000110465915029038/a15-9505_1ex10d1.htm" TargetMode="External"/><Relationship Id="rId79" Type="http://schemas.openxmlformats.org/officeDocument/2006/relationships/hyperlink" Target="http://www.sec.gov/Archives/edgar/data/1462418/000110465915029038/a15-9505_1ex10d2.htm" TargetMode="External"/><Relationship Id="rId80" Type="http://schemas.openxmlformats.org/officeDocument/2006/relationships/hyperlink" Target="http://www.sec.gov/Archives/edgar/data/1462418/000162828015005394/ex103formofnon-qualifiedst.htm" TargetMode="External"/><Relationship Id="rId81" Type="http://schemas.openxmlformats.org/officeDocument/2006/relationships/hyperlink" Target="http://www.sec.gov/Archives/edgar/data/1462418/000162828016012704/employmentagreementvbhan.htm" TargetMode="External"/><Relationship Id="rId82" Type="http://schemas.openxmlformats.org/officeDocument/2006/relationships/hyperlink" Target="http://www.sec.gov/Archives/edgar/data/1462418/000162828016012704/employmentagreementjdavi.htm" TargetMode="External"/><Relationship Id="rId83" Type="http://schemas.openxmlformats.org/officeDocument/2006/relationships/hyperlink" Target="http://www.sec.gov/Archives/edgar/data/1462418/000162828016012704/employmentagreementgritt.htm" TargetMode="External"/><Relationship Id="rId84" Type="http://schemas.openxmlformats.org/officeDocument/2006/relationships/hyperlink" Target="http://www.sec.gov/Archives/edgar/data/1462418/000146241816000015/asps-9302016xex101.htm" TargetMode="External"/><Relationship Id="rId85" Type="http://schemas.openxmlformats.org/officeDocument/2006/relationships/hyperlink" Target="http://www.sec.gov/Archives/edgar/data/1462418/000146241816000015/asps-9302016xex102.htm" TargetMode="External"/><Relationship Id="rId86" Type="http://schemas.openxmlformats.org/officeDocument/2006/relationships/hyperlink" Target="http://www.sec.gov/Archives/edgar/data/1462418/000146241816000007/ex101formofdirectorrestric.htm" TargetMode="External"/><Relationship Id="rId87" Type="http://schemas.openxmlformats.org/officeDocument/2006/relationships/hyperlink" Target="http://www.sec.gov/Archives/edgar/data/1462418/000146241816000009/exhibit101agreementwithalt.htm" TargetMode="External"/><Relationship Id="rId88" Type="http://schemas.openxmlformats.org/officeDocument/2006/relationships/hyperlink" Target="http://www.sec.gov/Archives/edgar/data/1462418/000146241817000010/exhibit10-1.htm" TargetMode="External"/><Relationship Id="rId89" Type="http://schemas.openxmlformats.org/officeDocument/2006/relationships/hyperlink" Target="http://www.sec.gov/Archives/edgar/data/1462418/000146241817000010/exhibit10-2.htm" TargetMode="External"/><Relationship Id="rId90" Type="http://schemas.openxmlformats.org/officeDocument/2006/relationships/hyperlink" Target="http://www.sec.gov/Archives/edgar/data/1462418/000146241817000010/exhibit10-3.htm" TargetMode="External"/><Relationship Id="rId91" Type="http://schemas.openxmlformats.org/officeDocument/2006/relationships/hyperlink" Target="http://www.sec.gov/Archives/edgar/data/1462418/000146241817000010/exhibit10-4.htm" TargetMode="External"/><Relationship Id="rId92" Type="http://schemas.openxmlformats.org/officeDocument/2006/relationships/hyperlink" Target="http://www.sec.gov/Archives/edgar/data/1462418/000146241817000039/asps-9302017ex105.htm" TargetMode="External"/><Relationship Id="rId93" Type="http://schemas.openxmlformats.org/officeDocument/2006/relationships/hyperlink" Target="http://www.sec.gov/Archives/edgar/data/1462418/000146241817000039/asps-9302017ex106.htm" TargetMode="External"/><Relationship Id="rId94" Type="http://schemas.openxmlformats.org/officeDocument/2006/relationships/hyperlink" Target="http://www.sec.gov/Archives/edgar/data/1462418/000146241817000039/asps-9302017ex107.htm" TargetMode="External"/><Relationship Id="rId95" Type="http://schemas.openxmlformats.org/officeDocument/2006/relationships/hyperlink" Target="http://www.sec.gov/Archives/edgar/data/1462418/000146241817000039/asps-9302017ex108.htm" TargetMode="External"/><Relationship Id="rId96" Type="http://schemas.openxmlformats.org/officeDocument/2006/relationships/hyperlink" Target="http://www.sec.gov/Archives/edgar/data/1462418/000146241817000039/asps-9302017ex109.htm" TargetMode="External"/><Relationship Id="rId97" Type="http://schemas.openxmlformats.org/officeDocument/2006/relationships/hyperlink" Target="http://www.sec.gov/Archives/edgar/data/1462418/000146241817000044/exhibit10-1_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2019-12-29T01:42:23Z</dcterms:created>
  <dcterms:modified xsi:type="dcterms:W3CDTF">2019-12-29T01:42:23Z</dcterms:modified>
</cp:coreProperties>
</file>