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812800</wp:posOffset>
            </wp:positionH>
            <wp:positionV relativeFrom="page">
              <wp:posOffset>821055</wp:posOffset>
            </wp:positionV>
            <wp:extent cx="6591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page">
              <wp:posOffset>812800</wp:posOffset>
            </wp:positionH>
            <wp:positionV relativeFrom="page">
              <wp:posOffset>779145</wp:posOffset>
            </wp:positionV>
            <wp:extent cx="65913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1300" cy="1714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111760</wp:posOffset>
            </wp:positionV>
            <wp:extent cx="2002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107315</wp:posOffset>
            </wp:positionV>
            <wp:extent cx="2002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312"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(Mark One)</w:t>
      </w:r>
    </w:p>
    <w:p>
      <w:pPr>
        <w:spacing w:after="0" w:line="39" w:lineRule="exact"/>
        <w:rPr>
          <w:sz w:val="24"/>
          <w:szCs w:val="24"/>
          <w:color w:val="auto"/>
        </w:rPr>
      </w:pPr>
    </w:p>
    <w:p>
      <w:pPr>
        <w:ind w:left="1000" w:hanging="597"/>
        <w:spacing w:after="0"/>
        <w:tabs>
          <w:tab w:leader="none" w:pos="10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quarterly period ended March 31, 2024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3" w:lineRule="exact"/>
        <w:rPr>
          <w:sz w:val="24"/>
          <w:szCs w:val="24"/>
          <w:color w:val="auto"/>
        </w:rPr>
      </w:pPr>
    </w:p>
    <w:p>
      <w:pPr>
        <w:ind w:left="1000" w:hanging="597"/>
        <w:spacing w:after="0"/>
        <w:tabs>
          <w:tab w:leader="none" w:pos="10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0" w:lineRule="exact"/>
        <w:rPr>
          <w:rFonts w:ascii="MS PGothic" w:cs="MS PGothic" w:eastAsia="MS PGothic" w:hAnsi="MS PGothic"/>
          <w:sz w:val="21"/>
          <w:szCs w:val="21"/>
          <w:color w:val="auto"/>
        </w:rPr>
      </w:pPr>
    </w:p>
    <w:p>
      <w:pPr>
        <w:ind w:left="438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For the transition period from to</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159385</wp:posOffset>
            </wp:positionV>
            <wp:extent cx="2002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ALTISOURCE PORTFOLIO SOLUTIONS S.A.</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120650</wp:posOffset>
            </wp:positionV>
            <wp:extent cx="2002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jc w:val="center"/>
              <w:ind w:left="1826"/>
              <w:spacing w:after="0"/>
              <w:rPr>
                <w:sz w:val="20"/>
                <w:szCs w:val="20"/>
                <w:color w:val="auto"/>
              </w:rPr>
            </w:pPr>
            <w:r>
              <w:rPr>
                <w:rFonts w:ascii="Times New Roman" w:cs="Times New Roman" w:eastAsia="Times New Roman" w:hAnsi="Times New Roman"/>
                <w:sz w:val="18"/>
                <w:szCs w:val="18"/>
                <w:b w:val="1"/>
                <w:bCs w:val="1"/>
                <w:color w:val="auto"/>
                <w:w w:val="97"/>
              </w:rPr>
              <w:t>Luxembourg</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0" w:type="dxa"/>
            <w:vAlign w:val="bottom"/>
          </w:tcPr>
          <w:p>
            <w:pPr>
              <w:jc w:val="right"/>
              <w:ind w:right="2345"/>
              <w:spacing w:after="0"/>
              <w:rPr>
                <w:sz w:val="20"/>
                <w:szCs w:val="20"/>
                <w:color w:val="auto"/>
              </w:rPr>
            </w:pPr>
            <w:r>
              <w:rPr>
                <w:rFonts w:ascii="Times New Roman" w:cs="Times New Roman" w:eastAsia="Times New Roman" w:hAnsi="Times New Roman"/>
                <w:sz w:val="18"/>
                <w:szCs w:val="18"/>
                <w:b w:val="1"/>
                <w:bCs w:val="1"/>
                <w:color w:val="auto"/>
              </w:rPr>
              <w:t>98-0554932</w:t>
            </w:r>
          </w:p>
        </w:tc>
      </w:tr>
      <w:tr>
        <w:trPr>
          <w:trHeight w:val="184"/>
        </w:trPr>
        <w:tc>
          <w:tcPr>
            <w:tcW w:w="7240" w:type="dxa"/>
            <w:vAlign w:val="bottom"/>
            <w:gridSpan w:val="6"/>
          </w:tcPr>
          <w:p>
            <w:pPr>
              <w:jc w:val="center"/>
              <w:ind w:right="16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00" w:type="dxa"/>
            <w:vAlign w:val="bottom"/>
          </w:tcPr>
          <w:p>
            <w:pPr>
              <w:jc w:val="center"/>
              <w:ind w:right="160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62"/>
        </w:trPr>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33, Boulevard Prince Henri</w:t>
            </w:r>
          </w:p>
        </w:tc>
        <w:tc>
          <w:tcPr>
            <w:tcW w:w="4000" w:type="dxa"/>
            <w:vAlign w:val="bottom"/>
          </w:tcPr>
          <w:p>
            <w:pPr>
              <w:spacing w:after="0"/>
              <w:rPr>
                <w:sz w:val="24"/>
                <w:szCs w:val="24"/>
                <w:color w:val="auto"/>
              </w:rPr>
            </w:pPr>
          </w:p>
        </w:tc>
      </w:tr>
      <w:tr>
        <w:trPr>
          <w:trHeight w:val="212"/>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L-1724 Luxembourg</w:t>
            </w:r>
          </w:p>
        </w:tc>
        <w:tc>
          <w:tcPr>
            <w:tcW w:w="4000" w:type="dxa"/>
            <w:vAlign w:val="bottom"/>
          </w:tcPr>
          <w:p>
            <w:pPr>
              <w:spacing w:after="0"/>
              <w:rPr>
                <w:sz w:val="18"/>
                <w:szCs w:val="18"/>
                <w:color w:val="auto"/>
              </w:rPr>
            </w:pPr>
          </w:p>
        </w:tc>
      </w:tr>
      <w:tr>
        <w:trPr>
          <w:trHeight w:val="210"/>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Grand Duchy of Luxembourg</w:t>
            </w:r>
          </w:p>
        </w:tc>
        <w:tc>
          <w:tcPr>
            <w:tcW w:w="4000" w:type="dxa"/>
            <w:vAlign w:val="bottom"/>
          </w:tcPr>
          <w:p>
            <w:pPr>
              <w:spacing w:after="0"/>
              <w:rPr>
                <w:sz w:val="18"/>
                <w:szCs w:val="18"/>
                <w:color w:val="auto"/>
              </w:rPr>
            </w:pPr>
          </w:p>
        </w:tc>
      </w:tr>
      <w:tr>
        <w:trPr>
          <w:trHeight w:val="184"/>
        </w:trPr>
        <w:tc>
          <w:tcPr>
            <w:tcW w:w="3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000" w:type="dxa"/>
            <w:vAlign w:val="bottom"/>
          </w:tcPr>
          <w:p>
            <w:pPr>
              <w:spacing w:after="0"/>
              <w:rPr>
                <w:sz w:val="15"/>
                <w:szCs w:val="15"/>
                <w:color w:val="auto"/>
              </w:rPr>
            </w:pPr>
          </w:p>
        </w:tc>
      </w:tr>
      <w:tr>
        <w:trPr>
          <w:trHeight w:val="306"/>
        </w:trPr>
        <w:tc>
          <w:tcPr>
            <w:tcW w:w="3720" w:type="dxa"/>
            <w:vAlign w:val="bottom"/>
          </w:tcPr>
          <w:p>
            <w:pPr>
              <w:spacing w:after="0"/>
              <w:rPr>
                <w:sz w:val="24"/>
                <w:szCs w:val="24"/>
                <w:color w:val="auto"/>
              </w:rPr>
            </w:pPr>
          </w:p>
        </w:tc>
        <w:tc>
          <w:tcPr>
            <w:tcW w:w="3040" w:type="dxa"/>
            <w:vAlign w:val="bottom"/>
            <w:gridSpan w:val="3"/>
          </w:tcPr>
          <w:p>
            <w:pPr>
              <w:jc w:val="center"/>
              <w:ind w:left="701"/>
              <w:spacing w:after="0"/>
              <w:rPr>
                <w:sz w:val="20"/>
                <w:szCs w:val="20"/>
                <w:color w:val="auto"/>
              </w:rPr>
            </w:pPr>
            <w:r>
              <w:rPr>
                <w:rFonts w:ascii="Times New Roman" w:cs="Times New Roman" w:eastAsia="Times New Roman" w:hAnsi="Times New Roman"/>
                <w:sz w:val="18"/>
                <w:szCs w:val="18"/>
                <w:b w:val="1"/>
                <w:bCs w:val="1"/>
                <w:color w:val="auto"/>
                <w:w w:val="98"/>
              </w:rPr>
              <w:t>(352) 2060 2055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4"/>
        </w:trPr>
        <w:tc>
          <w:tcPr>
            <w:tcW w:w="3720" w:type="dxa"/>
            <w:vAlign w:val="bottom"/>
          </w:tcPr>
          <w:p>
            <w:pPr>
              <w:spacing w:after="0"/>
              <w:rPr>
                <w:sz w:val="15"/>
                <w:szCs w:val="15"/>
                <w:color w:val="auto"/>
              </w:rPr>
            </w:pPr>
          </w:p>
        </w:tc>
        <w:tc>
          <w:tcPr>
            <w:tcW w:w="3520" w:type="dxa"/>
            <w:vAlign w:val="bottom"/>
            <w:gridSpan w:val="5"/>
          </w:tcPr>
          <w:p>
            <w:pPr>
              <w:jc w:val="center"/>
              <w:ind w:left="20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00" w:type="dxa"/>
            <w:vAlign w:val="bottom"/>
          </w:tcPr>
          <w:p>
            <w:pPr>
              <w:spacing w:after="0"/>
              <w:rPr>
                <w:sz w:val="15"/>
                <w:szCs w:val="15"/>
                <w:color w:val="auto"/>
              </w:rPr>
            </w:pP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305"/>
        </w:trPr>
        <w:tc>
          <w:tcPr>
            <w:tcW w:w="37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00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3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000" w:type="dxa"/>
            <w:vAlign w:val="bottom"/>
          </w:tcPr>
          <w:p>
            <w:pPr>
              <w:spacing w:after="0"/>
              <w:rPr>
                <w:sz w:val="2"/>
                <w:szCs w:val="2"/>
                <w:color w:val="auto"/>
              </w:rPr>
            </w:pPr>
          </w:p>
        </w:tc>
      </w:tr>
      <w:tr>
        <w:trPr>
          <w:trHeight w:val="177"/>
        </w:trPr>
        <w:tc>
          <w:tcPr>
            <w:tcW w:w="372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ASPS</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000" w:type="dxa"/>
            <w:vAlign w:val="bottom"/>
            <w:tcBorders>
              <w:top w:val="single" w:sz="8" w:color="auto"/>
            </w:tcBorders>
          </w:tcPr>
          <w:p>
            <w:pPr>
              <w:jc w:val="center"/>
              <w:ind w:right="285"/>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5" w:lineRule="exact"/>
        <w:rPr>
          <w:sz w:val="24"/>
          <w:szCs w:val="24"/>
          <w:color w:val="auto"/>
        </w:rPr>
      </w:pPr>
    </w:p>
    <w:p>
      <w:pPr>
        <w:ind w:right="1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73" w:right="339" w:bottom="1440" w:gutter="0" w:footer="0" w:header="0"/>
        </w:sectPr>
      </w:pPr>
    </w:p>
    <w:p>
      <w:pPr>
        <w:spacing w:after="0" w:line="100" w:lineRule="exact"/>
        <w:rPr>
          <w:sz w:val="24"/>
          <w:szCs w:val="24"/>
          <w:color w:val="auto"/>
        </w:rPr>
      </w:pPr>
    </w:p>
    <w:p>
      <w:pPr>
        <w:ind w:left="140"/>
        <w:spacing w:after="0" w:line="330"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ind w:left="120"/>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61" w:lineRule="exact"/>
        <w:tabs>
          <w:tab w:leader="none" w:pos="1300" w:val="left"/>
        </w:tabs>
        <w:rPr>
          <w:sz w:val="20"/>
          <w:szCs w:val="20"/>
          <w:color w:val="auto"/>
        </w:rPr>
      </w:pP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77" w:lineRule="exact"/>
        <w:rPr>
          <w:sz w:val="24"/>
          <w:szCs w:val="24"/>
          <w:color w:val="auto"/>
        </w:rPr>
      </w:pPr>
    </w:p>
    <w:p>
      <w:pPr>
        <w:sectPr>
          <w:pgSz w:w="11900" w:h="16838" w:orient="portrait"/>
          <w:cols w:equalWidth="0" w:num="4">
            <w:col w:w="1420" w:space="360"/>
            <w:col w:w="5540" w:space="720"/>
            <w:col w:w="1540" w:space="520"/>
            <w:col w:w="1140"/>
          </w:cols>
          <w:pgMar w:left="320" w:top="1373" w:right="339" w:bottom="1440" w:gutter="0" w:footer="0" w:header="0"/>
          <w:type w:val="continuous"/>
        </w:sectPr>
      </w:pPr>
    </w:p>
    <w:p>
      <w:pPr>
        <w:spacing w:after="0" w:line="310"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19, 2024, there were 26,959,686 outstanding shares of the registrant’s common stock (excluding 3,003,062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656590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130810</wp:posOffset>
            </wp:positionV>
            <wp:extent cx="711771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105410</wp:posOffset>
            </wp:positionV>
            <wp:extent cx="7117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3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7780" w:type="dxa"/>
            <w:vAlign w:val="bottom"/>
            <w:gridSpan w:val="12"/>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340" w:type="dxa"/>
            <w:vAlign w:val="bottom"/>
            <w:tcBorders>
              <w:bottom w:val="single" w:sz="8" w:color="0000FF"/>
            </w:tcBorders>
            <w:gridSpan w:val="10"/>
            <w:vMerge w:val="continue"/>
          </w:tcPr>
          <w:p>
            <w:pPr>
              <w:spacing w:after="0"/>
              <w:rPr>
                <w:sz w:val="14"/>
                <w:szCs w:val="14"/>
                <w:color w:val="auto"/>
              </w:rPr>
            </w:pPr>
          </w:p>
        </w:tc>
        <w:tc>
          <w:tcPr>
            <w:tcW w:w="7780" w:type="dxa"/>
            <w:vAlign w:val="bottom"/>
            <w:gridSpan w:val="1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Interim Condensed Consolidated Financial Statements (Unaudited)</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560" w:type="dxa"/>
            <w:vAlign w:val="bottom"/>
            <w:tcBorders>
              <w:top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4280" w:type="dxa"/>
            <w:vAlign w:val="bottom"/>
            <w:gridSpan w:val="3"/>
          </w:tcPr>
          <w:p>
            <w:pPr>
              <w:spacing w:after="0"/>
              <w:rPr>
                <w:sz w:val="17"/>
                <w:szCs w:val="17"/>
                <w:color w:val="auto"/>
              </w:rPr>
            </w:pP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20" w:type="dxa"/>
            <w:vAlign w:val="bottom"/>
            <w:tcBorders>
              <w:top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Equity (Deficit)</w:t>
            </w:r>
          </w:p>
        </w:tc>
        <w:tc>
          <w:tcPr>
            <w:tcW w:w="342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Statements of Cash Flows</w:t>
            </w:r>
          </w:p>
        </w:tc>
        <w:tc>
          <w:tcPr>
            <w:tcW w:w="280" w:type="dxa"/>
            <w:vAlign w:val="bottom"/>
            <w:tcBorders>
              <w:top w:val="single" w:sz="8" w:color="0000FF"/>
            </w:tcBorders>
            <w:gridSpan w:val="2"/>
          </w:tcPr>
          <w:p>
            <w:pPr>
              <w:spacing w:after="0"/>
              <w:rPr>
                <w:sz w:val="17"/>
                <w:szCs w:val="17"/>
                <w:color w:val="auto"/>
              </w:rPr>
            </w:pPr>
          </w:p>
        </w:tc>
        <w:tc>
          <w:tcPr>
            <w:tcW w:w="490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6</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1A</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680" w:type="dxa"/>
            <w:vAlign w:val="bottom"/>
            <w:gridSpan w:val="11"/>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SIGNATURES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760" w:type="dxa"/>
            <w:vAlign w:val="bottom"/>
            <w:gridSpan w:val="15"/>
          </w:tcPr>
          <w:p>
            <w:pPr>
              <w:ind w:left="448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Interim Condensed Consolidated Financial Statements (Unaudited)</w:t>
      </w:r>
    </w:p>
    <w:p>
      <w:pPr>
        <w:spacing w:after="0" w:line="16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8"/>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5340"/>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32,522</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$3,555 and $3,123, respectively</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0" w:type="dxa"/>
            <w:vAlign w:val="bottom"/>
          </w:tcPr>
          <w:p>
            <w:pPr>
              <w:spacing w:after="0"/>
              <w:rPr>
                <w:sz w:val="1"/>
                <w:szCs w:val="1"/>
                <w:color w:val="auto"/>
              </w:rPr>
            </w:pPr>
          </w:p>
        </w:tc>
      </w:tr>
      <w:tr>
        <w:trPr>
          <w:trHeight w:val="20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55,540</w:t>
            </w:r>
          </w:p>
        </w:tc>
        <w:tc>
          <w:tcPr>
            <w:tcW w:w="0" w:type="dxa"/>
            <w:vAlign w:val="bottom"/>
          </w:tcPr>
          <w:p>
            <w:pPr>
              <w:spacing w:after="0"/>
              <w:rPr>
                <w:sz w:val="1"/>
                <w:szCs w:val="1"/>
                <w:color w:val="auto"/>
              </w:rPr>
            </w:pPr>
          </w:p>
        </w:tc>
      </w:tr>
      <w:tr>
        <w:trPr>
          <w:trHeight w:val="161"/>
        </w:trPr>
        <w:tc>
          <w:tcPr>
            <w:tcW w:w="8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26,548</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0" w:type="dxa"/>
            <w:vAlign w:val="bottom"/>
          </w:tcPr>
          <w:p>
            <w:pPr>
              <w:spacing w:after="0"/>
              <w:rPr>
                <w:sz w:val="1"/>
                <w:szCs w:val="1"/>
                <w:color w:val="auto"/>
              </w:rPr>
            </w:pPr>
          </w:p>
        </w:tc>
      </w:tr>
      <w:tr>
        <w:trPr>
          <w:trHeight w:val="141"/>
        </w:trPr>
        <w:tc>
          <w:tcPr>
            <w:tcW w:w="8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148,868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154,858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4660"/>
              <w:spacing w:after="0"/>
              <w:rPr>
                <w:sz w:val="20"/>
                <w:szCs w:val="20"/>
                <w:color w:val="auto"/>
              </w:rPr>
            </w:pPr>
            <w:r>
              <w:rPr>
                <w:rFonts w:ascii="Times New Roman" w:cs="Times New Roman" w:eastAsia="Times New Roman" w:hAnsi="Times New Roman"/>
                <w:sz w:val="16"/>
                <w:szCs w:val="16"/>
                <w:color w:val="auto"/>
              </w:rPr>
              <w:t>LIABILITIES AND DEFICIT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30,088</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0" w:type="dxa"/>
            <w:vAlign w:val="bottom"/>
          </w:tcPr>
          <w:p>
            <w:pPr>
              <w:spacing w:after="0"/>
              <w:rPr>
                <w:sz w:val="1"/>
                <w:szCs w:val="1"/>
                <w:color w:val="auto"/>
              </w:rPr>
            </w:pPr>
          </w:p>
        </w:tc>
      </w:tr>
      <w:tr>
        <w:trPr>
          <w:trHeight w:val="20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35,760</w:t>
            </w:r>
          </w:p>
        </w:tc>
        <w:tc>
          <w:tcPr>
            <w:tcW w:w="0" w:type="dxa"/>
            <w:vAlign w:val="bottom"/>
          </w:tcPr>
          <w:p>
            <w:pPr>
              <w:spacing w:after="0"/>
              <w:rPr>
                <w:sz w:val="1"/>
                <w:szCs w:val="1"/>
                <w:color w:val="auto"/>
              </w:rPr>
            </w:pPr>
          </w:p>
        </w:tc>
      </w:tr>
      <w:tr>
        <w:trPr>
          <w:trHeight w:val="161"/>
        </w:trPr>
        <w:tc>
          <w:tcPr>
            <w:tcW w:w="8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215,615</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19,510</w:t>
            </w:r>
          </w:p>
        </w:tc>
        <w:tc>
          <w:tcPr>
            <w:tcW w:w="0" w:type="dxa"/>
            <w:vAlign w:val="bottom"/>
          </w:tcPr>
          <w:p>
            <w:pPr>
              <w:spacing w:after="0"/>
              <w:rPr>
                <w:sz w:val="1"/>
                <w:szCs w:val="1"/>
                <w:color w:val="auto"/>
              </w:rPr>
            </w:pPr>
          </w:p>
        </w:tc>
      </w:tr>
      <w:tr>
        <w:trPr>
          <w:trHeight w:val="161"/>
        </w:trPr>
        <w:tc>
          <w:tcPr>
            <w:tcW w:w="8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contingencies and regulatory matters (Note 21)</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Deficit:</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280" w:type="dxa"/>
            <w:vAlign w:val="bottom"/>
            <w:shd w:val="clear" w:color="auto" w:fill="CCEEFF"/>
          </w:tcPr>
          <w:p>
            <w:pPr>
              <w:ind w:left="120"/>
              <w:spacing w:after="0" w:line="161" w:lineRule="exact"/>
              <w:rPr>
                <w:sz w:val="20"/>
                <w:szCs w:val="20"/>
                <w:color w:val="auto"/>
              </w:rPr>
            </w:pPr>
            <w:r>
              <w:rPr>
                <w:rFonts w:ascii="Times New Roman" w:cs="Times New Roman" w:eastAsia="Times New Roman" w:hAnsi="Times New Roman"/>
                <w:sz w:val="16"/>
                <w:szCs w:val="16"/>
                <w:color w:val="auto"/>
              </w:rPr>
              <w:t>Common stock ($1.00 par value; 100,000 shares authorized, 29,963 issued and 26,953 outstanding as of March 31, 2024;</w:t>
            </w:r>
          </w:p>
        </w:tc>
        <w:tc>
          <w:tcPr>
            <w:tcW w:w="2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29,963 issued and 26,496 outstanding as of December 31, 2023)</w:t>
            </w:r>
          </w:p>
        </w:tc>
        <w:tc>
          <w:tcPr>
            <w:tcW w:w="2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177,278</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(180,162)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Treasury stock, at cost (3,010 shares as of March 31, 2024 and 3,467 shares as of December 31, 2023)</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(123,874)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(152,749)</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Altisource deficit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(125,670)</w:t>
            </w:r>
          </w:p>
        </w:tc>
        <w:tc>
          <w:tcPr>
            <w:tcW w:w="0" w:type="dxa"/>
            <w:vAlign w:val="bottom"/>
          </w:tcPr>
          <w:p>
            <w:pPr>
              <w:spacing w:after="0"/>
              <w:rPr>
                <w:sz w:val="1"/>
                <w:szCs w:val="1"/>
                <w:color w:val="auto"/>
              </w:rPr>
            </w:pPr>
          </w:p>
        </w:tc>
      </w:tr>
      <w:tr>
        <w:trPr>
          <w:trHeight w:val="159"/>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deficit</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(132,698)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(125,055)</w:t>
            </w:r>
          </w:p>
        </w:tc>
        <w:tc>
          <w:tcPr>
            <w:tcW w:w="0" w:type="dxa"/>
            <w:vAlign w:val="bottom"/>
          </w:tcPr>
          <w:p>
            <w:pPr>
              <w:spacing w:after="0"/>
              <w:rPr>
                <w:sz w:val="1"/>
                <w:szCs w:val="1"/>
                <w:color w:val="auto"/>
              </w:rPr>
            </w:pPr>
          </w:p>
        </w:tc>
      </w:tr>
      <w:tr>
        <w:trPr>
          <w:trHeight w:val="141"/>
        </w:trPr>
        <w:tc>
          <w:tcPr>
            <w:tcW w:w="8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deficit</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148,868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154,858</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8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39,461</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30,957</w:t>
            </w:r>
          </w:p>
        </w:tc>
      </w:tr>
      <w:tr>
        <w:trPr>
          <w:trHeight w:val="194"/>
        </w:trPr>
        <w:tc>
          <w:tcPr>
            <w:tcW w:w="8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8,504</w:t>
            </w:r>
          </w:p>
        </w:tc>
      </w:tr>
      <w:tr>
        <w:trPr>
          <w:trHeight w:val="214"/>
        </w:trPr>
        <w:tc>
          <w:tcPr>
            <w:tcW w:w="8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12,094</w:t>
            </w:r>
          </w:p>
        </w:tc>
      </w:tr>
      <w:tr>
        <w:trPr>
          <w:trHeight w:val="194"/>
        </w:trPr>
        <w:tc>
          <w:tcPr>
            <w:tcW w:w="8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(6,760)</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amendment costs</w:t>
            </w:r>
          </w:p>
        </w:tc>
        <w:tc>
          <w:tcPr>
            <w:tcW w:w="9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r>
      <w:tr>
        <w:trPr>
          <w:trHeight w:val="203"/>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(7,748)</w:t>
            </w:r>
          </w:p>
        </w:tc>
      </w:tr>
      <w:tr>
        <w:trPr>
          <w:trHeight w:val="214"/>
        </w:trPr>
        <w:tc>
          <w:tcPr>
            <w:tcW w:w="8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non-controlling interests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(11,338)</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r>
      <w:tr>
        <w:trPr>
          <w:trHeight w:val="194"/>
        </w:trPr>
        <w:tc>
          <w:tcPr>
            <w:tcW w:w="8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(12,867)</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194"/>
        </w:trPr>
        <w:tc>
          <w:tcPr>
            <w:tcW w:w="8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90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(12,947)</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9"/>
        </w:trPr>
        <w:tc>
          <w:tcPr>
            <w:tcW w:w="8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9"/>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0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(0.70)</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9"/>
        </w:trPr>
        <w:tc>
          <w:tcPr>
            <w:tcW w:w="8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9"/>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28,181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18,442</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8"/>
        </w:trPr>
        <w:tc>
          <w:tcPr>
            <w:tcW w:w="8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 loss, net of tax</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(12,867)</w:t>
            </w: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194"/>
        </w:trPr>
        <w:tc>
          <w:tcPr>
            <w:tcW w:w="8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Altisource</w:t>
            </w:r>
          </w:p>
        </w:tc>
        <w:tc>
          <w:tcPr>
            <w:tcW w:w="90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(12,947)</w:t>
            </w:r>
          </w:p>
        </w:tc>
      </w:tr>
      <w:tr>
        <w:trPr>
          <w:trHeight w:val="20"/>
        </w:trPr>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Altisource Equity (Deficit)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4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680" w:type="dxa"/>
            <w:vAlign w:val="bottom"/>
            <w:gridSpan w:val="4"/>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200" w:type="dxa"/>
            <w:vAlign w:val="bottom"/>
          </w:tcPr>
          <w:p>
            <w:pPr>
              <w:spacing w:after="0"/>
              <w:rPr>
                <w:sz w:val="12"/>
                <w:szCs w:val="12"/>
                <w:color w:val="auto"/>
              </w:rPr>
            </w:pPr>
          </w:p>
        </w:tc>
        <w:tc>
          <w:tcPr>
            <w:tcW w:w="78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16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149,348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118,948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(118,874)</w:t>
            </w: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(12,867)</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20,461</w:t>
            </w:r>
          </w:p>
        </w:tc>
        <w:tc>
          <w:tcPr>
            <w:tcW w:w="0" w:type="dxa"/>
            <w:vAlign w:val="bottom"/>
          </w:tcPr>
          <w:p>
            <w:pPr>
              <w:spacing w:after="0"/>
              <w:rPr>
                <w:sz w:val="1"/>
                <w:szCs w:val="1"/>
                <w:color w:val="auto"/>
              </w:rPr>
            </w:pPr>
          </w:p>
        </w:tc>
      </w:tr>
      <w:tr>
        <w:trPr>
          <w:trHeight w:val="159"/>
        </w:trPr>
        <w:tc>
          <w:tcPr>
            <w:tcW w:w="402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3,240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0"/>
        </w:trPr>
        <w:tc>
          <w:tcPr>
            <w:tcW w:w="4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0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Balance, March 31,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tcPr>
          <w:p>
            <w:pPr>
              <w:spacing w:after="0"/>
              <w:rPr>
                <w:sz w:val="16"/>
                <w:szCs w:val="16"/>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166,704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96,243</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(404,060)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tcPr>
          <w:p>
            <w:pPr>
              <w:spacing w:after="0"/>
              <w:rPr>
                <w:sz w:val="16"/>
                <w:szCs w:val="16"/>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(110,397)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177,278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(125,055)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402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(9,575)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8,985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0"/>
        </w:trPr>
        <w:tc>
          <w:tcPr>
            <w:tcW w:w="4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Balance, March 31,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179,093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(218,517)</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(132,698)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35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12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(12,867)</w:t>
            </w:r>
          </w:p>
        </w:tc>
      </w:tr>
      <w:tr>
        <w:trPr>
          <w:trHeight w:val="214"/>
        </w:trPr>
        <w:tc>
          <w:tcPr>
            <w:tcW w:w="8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right-of-use assets under operating leases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PIK accrual</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Bad debt expense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10,506</w:t>
            </w: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and non-current operating lease liabilities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0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(3,058)</w:t>
            </w:r>
          </w:p>
        </w:tc>
      </w:tr>
      <w:tr>
        <w:trPr>
          <w:trHeight w:val="128"/>
        </w:trPr>
        <w:tc>
          <w:tcPr>
            <w:tcW w:w="8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20,461</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issuance and amendment costs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Payments of tax withholding on issuance of restricted share units and restricted shares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w:t>
            </w:r>
          </w:p>
        </w:tc>
      </w:tr>
      <w:tr>
        <w:trPr>
          <w:trHeight w:val="75"/>
        </w:trPr>
        <w:tc>
          <w:tcPr>
            <w:tcW w:w="8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(7,945)</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54,273</w:t>
            </w:r>
          </w:p>
        </w:tc>
      </w:tr>
      <w:tr>
        <w:trPr>
          <w:trHeight w:val="88"/>
        </w:trPr>
        <w:tc>
          <w:tcPr>
            <w:tcW w:w="82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88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46,328</w:t>
            </w:r>
          </w:p>
        </w:tc>
      </w:tr>
      <w:tr>
        <w:trPr>
          <w:trHeight w:val="84"/>
        </w:trPr>
        <w:tc>
          <w:tcPr>
            <w:tcW w:w="828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10"/>
        </w:trPr>
        <w:tc>
          <w:tcPr>
            <w:tcW w:w="8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paid (refunded), net</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(4,663)</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right-of-use assets with operating lease liabilities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106"/>
        </w:trPr>
        <w:tc>
          <w:tcPr>
            <w:tcW w:w="8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Warrants issued in connection with Amended Credit Agreement</w:t>
            </w: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8,096</w:t>
            </w:r>
          </w:p>
        </w:tc>
      </w:tr>
      <w:tr>
        <w:trPr>
          <w:trHeight w:val="108"/>
        </w:trPr>
        <w:tc>
          <w:tcPr>
            <w:tcW w:w="82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bl>
    <w:p>
      <w:pPr>
        <w:ind w:left="20" w:right="580"/>
        <w:spacing w:after="0" w:line="238" w:lineRule="auto"/>
        <w:rPr>
          <w:sz w:val="20"/>
          <w:szCs w:val="20"/>
          <w:color w:val="auto"/>
        </w:rPr>
      </w:pPr>
      <w:r>
        <w:rPr>
          <w:rFonts w:ascii="Times New Roman" w:cs="Times New Roman" w:eastAsia="Times New Roman" w:hAnsi="Times New Roman"/>
          <w:sz w:val="16"/>
          <w:szCs w:val="16"/>
          <w:color w:val="auto"/>
        </w:rPr>
        <w:t>The following table provides a reconciliation of cash, cash equivalents and restricted cash reported within the unaudited condensed consolidated balance sheets and the unaudited condensed 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39"/>
        </w:trPr>
        <w:tc>
          <w:tcPr>
            <w:tcW w:w="828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43,113</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w:t>
            </w:r>
          </w:p>
        </w:tc>
      </w:tr>
      <w:tr>
        <w:trPr>
          <w:trHeight w:val="23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reported in the statements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46,328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publicly traded on the NASDAQ Global Select Market under the symbol “ASPS.” We are organized under the laws of the Grand Duchy of Luxembourg.</w:t>
      </w:r>
    </w:p>
    <w:p>
      <w:pPr>
        <w:spacing w:after="0" w:line="1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 (see Note 22 for a description of our business segments).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 and Presentation</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periods. Actual results could differ from those estimates. Intercompany transactions and accounts have been eliminated in consolidation. Certain prior year balance sheet amounts have been reclassified for consistency with the current year presentation.</w:t>
      </w: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March 31, 2024, Lenders One had total assets of $0.4 million and total liabilities of $0.6 million. As of December 31, 2023, Lenders One had total assets of $0.4 million and total liabilities of $0.6 million.</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Company’s Annual Report on Form 10-K for the year ended December 31, 2023, as filed with the SEC on March 7, 2024.</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Quoted prices in active markets for identical assets and liabilities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Observable inputs other than quoted prices included in Level 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Unobservable inputs that are supported by little or no market activity and that are significant to the fair value of assets or liabilities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This standard updates reportable segment disclosure requirements primarily through enhanced disclosures about significant segment expenses that are part of an entity’s segment measure of profit or loss and regularly provided to the chief operating decision maker. In addition, it adds or makes clarifications to other segment-related disclosures, such as clarifying that the disclosure requirements in ASC 280 are required for entities with a single reportable segment and that an entity may disclose multiple measures of segment profit and loss. This standard will be effective for annual periods beginning after December 15, 2023, and for interim periods beginning after December 15, 2024. Early adoption of this standard is permitted. The Company is currently evaluating the impact this guidance may have on its consolidated financial statements.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standard amends the Codification to enhance the transparency and decision usefulness of income tax disclosures, to provide information to better assess how an entity’s operations and related tax risks and tax planning and operational opportunities affect its tax rate and prospects for future cash flows. This standard will be effective for annual periods beginning after December 15, 2024. Early adoption of this standard is permitted. The Company is currently evaluating the impact this guidance may have on its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CUSTOMER CONCENTRATION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Ocwen Financial Corporation (together with its subsidiaries, “Ocwen”) is a residential mortgage loan servicer of mortgage servicing rights (“MSRs”) it owns, including those MSRs in which others have an economic interest, and a subservicer of loans owned by others.</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Ocwen was our largest customer, accounting for 45% of our total revenue. Ocwen purchases certain mortgage services from us under the terms of services agreements and amendments thereto (collectively, the “Ocwen Services Agreements”) with terms extending through August 2030. Certain of the Ocwen Services Agreements contain a “most favored nation” provision and also grant the parties the right to renegotiate pricing, among other things.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three months ended March 31, 2024 and 2023, we recognized revenue from Ocwen of $17.7 million and $17.6 million, respectively. Revenue from Ocwen as a percentage of segment and consolidated revenue was as follows: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r>
      <w:tr>
        <w:trPr>
          <w:trHeight w:val="191"/>
        </w:trPr>
        <w:tc>
          <w:tcPr>
            <w:tcW w:w="80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940" w:type="dxa"/>
            <w:vAlign w:val="bottom"/>
            <w:tcBorders>
              <w:bottom w:val="single" w:sz="8" w:color="auto"/>
            </w:tcBorders>
          </w:tcPr>
          <w:p>
            <w:pPr>
              <w:spacing w:after="0"/>
              <w:rPr>
                <w:sz w:val="16"/>
                <w:szCs w:val="16"/>
                <w:color w:val="auto"/>
              </w:rPr>
            </w:pPr>
          </w:p>
        </w:tc>
      </w:tr>
      <w:tr>
        <w:trPr>
          <w:trHeight w:val="191"/>
        </w:trPr>
        <w:tc>
          <w:tcPr>
            <w:tcW w:w="80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8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2"/>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0"/>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130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4"/>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Others</w:t>
            </w:r>
          </w:p>
        </w:tc>
        <w:tc>
          <w:tcPr>
            <w:tcW w:w="13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8"/>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Consolidated revenue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r>
    </w:tbl>
    <w:p>
      <w:pPr>
        <w:spacing w:after="0" w:line="2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Ocwen when a party other than Ocwen or the MSRs owner selects Altisource as the service provider. For the three months ended March 31, 2024 and 2023, we recognized $2.8 million and $2.9 million, respectively, of such revenue. These amounts are not included in deriving revenue from Ocwen and revenue from Ocwen as a percentage of revenue discussed above.</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31, 2024, accounts receivable from Ocwen totaled $4.9 million, $4.2 million of which was billed and $0.7 million of which was unbilled. As of December 31, 2023, accounts receivable from Ocwen totaled $3.4 million, $2.2 million of which was billed and $1.2 million of which was unbilled.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Rithm</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Rithm Capital Corp. (individually, together with one or more of its subsidiaries or one or more of its subsidiaries individually, “Rithm”) (formerly New Residential Investment Corp.) is an asset manager focused on the real estate and financial services industries.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Ocwen has disclosed that Rithm is one of its largest servicing clients. As of December 31, 2023, Ocwen reported that approximately 16% of loans serviced and subserviced by Ocwen (measured in unpaid principal balance (“UPB”)) and approximately 67% of all delinquent loans that Ocwen services were related to Rithm MSRs or rights to MSRs (the “Subject MSRs”).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Rithm purchases brokerage services for real estate owned (“REO”) exclusively from us, irrespective of the subservicer, subject to certain limitations, for certain MSRs set forth in and pursuant to the terms of a Cooperative Brokerage Agreement, as amended, and related letter agreement (collectively, the “Brokerage Agreement”) with terms extending through August 2025.</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2024 and 2023, we recognized revenue from Rithm of $0.7 million and $0.8 million, respectively, under the Brokerage Agreement. For the three months ended March 31, 2024 and 2023, we recognized additional revenue of $2.9 million and $3.3 million, respectively, relating to the Subject MSRs when a party other than Rithm selects Altisource as the service provider.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ACCOUNTS RECEIVABLE,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9,826</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Unbilled</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4,979</w:t>
            </w: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14,805</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exposed to credit losses through our sales of products and services to our customers which are recorded as accounts receivable, net on the Company’s condensed consolidated financial statements. We monitor and estimate the allowance for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expected credit losses consist of the following: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
                <w:szCs w:val="2"/>
                <w:color w:val="auto"/>
              </w:rPr>
            </w:pPr>
          </w:p>
        </w:tc>
        <w:tc>
          <w:tcPr>
            <w:tcW w:w="1700" w:type="dxa"/>
            <w:vAlign w:val="bottom"/>
            <w:gridSpan w:val="2"/>
            <w:vMerge w:val="restart"/>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Balance at Beginning of</w:t>
            </w: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Deductions Note</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4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Charged to Expenses</w:t>
            </w:r>
          </w:p>
        </w:tc>
        <w:tc>
          <w:tcPr>
            <w:tcW w:w="2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0" w:type="dxa"/>
            <w:vAlign w:val="bottom"/>
          </w:tcPr>
          <w:p>
            <w:pPr>
              <w:spacing w:after="0"/>
              <w:rPr>
                <w:sz w:val="1"/>
                <w:szCs w:val="1"/>
                <w:color w:val="auto"/>
              </w:rPr>
            </w:pPr>
          </w:p>
        </w:tc>
      </w:tr>
      <w:tr>
        <w:trPr>
          <w:trHeight w:val="197"/>
        </w:trPr>
        <w:tc>
          <w:tcPr>
            <w:tcW w:w="4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 for expected credit losses:</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Three months ended March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3,555</w:t>
            </w: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Three months ended March 31, 2023</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4,205</w:t>
            </w:r>
          </w:p>
        </w:tc>
        <w:tc>
          <w:tcPr>
            <w:tcW w:w="0" w:type="dxa"/>
            <w:vAlign w:val="bottom"/>
          </w:tcPr>
          <w:p>
            <w:pPr>
              <w:spacing w:after="0"/>
              <w:rPr>
                <w:sz w:val="1"/>
                <w:szCs w:val="1"/>
                <w:color w:val="auto"/>
              </w:rPr>
            </w:pPr>
          </w:p>
        </w:tc>
      </w:tr>
      <w:tr>
        <w:trPr>
          <w:trHeight w:val="254"/>
        </w:trPr>
        <w:tc>
          <w:tcPr>
            <w:tcW w:w="3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55" w:lineRule="exact"/>
        <w:rPr>
          <w:sz w:val="20"/>
          <w:szCs w:val="20"/>
          <w:color w:val="auto"/>
        </w:rPr>
      </w:pPr>
    </w:p>
    <w:p>
      <w:pPr>
        <w:ind w:right="5280"/>
        <w:spacing w:after="0" w:line="401"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Amounts written off as uncollectible or transferred to other accounts or utilized. </w:t>
      </w:r>
      <w:r>
        <w:rPr>
          <w:rFonts w:ascii="Times New Roman" w:cs="Times New Roman" w:eastAsia="Times New Roman" w:hAnsi="Times New Roman"/>
          <w:sz w:val="18"/>
          <w:szCs w:val="18"/>
          <w:b w:val="1"/>
          <w:bCs w:val="1"/>
          <w:color w:val="auto"/>
        </w:rPr>
        <w:t xml:space="preserve">NOTE 4 — PREPAID EXPENSES AND OTHER CURRENT ASSETS </w:t>
      </w:r>
      <w:r>
        <w:rPr>
          <w:rFonts w:ascii="Times New Roman" w:cs="Times New Roman" w:eastAsia="Times New Roman" w:hAnsi="Times New Roman"/>
          <w:sz w:val="18"/>
          <w:szCs w:val="18"/>
          <w:color w:val="auto"/>
        </w:rPr>
        <w:t>Prepaid expenses and other current assets consist of the following: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Indemnity escrow receivable from Pointillist sale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Maintenance agreements, current portion</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PREMISES AND EQUIPMENT,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consists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46,519</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Office equipment and other</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47,649</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(45,940)</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Depreciation and amortization expense amounted to $0.3 million and $0.7 million for the three months ended March 31, 2024 and 2023, respectively, and is included in cost of revenue for operating assets and in selling, general and administrative expenses for non-operating assets in the accompanying condensed consolidated statements of operations and comprehensive loss.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 of the following by country: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Luxembourg</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Uruguay</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540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NOTE 6 — RIGHT-OF-USE ASSETS UNDER OPERATING LEASES, NET </w:t>
      </w:r>
      <w:r>
        <w:rPr>
          <w:rFonts w:ascii="Times New Roman" w:cs="Times New Roman" w:eastAsia="Times New Roman" w:hAnsi="Times New Roman"/>
          <w:sz w:val="18"/>
          <w:szCs w:val="18"/>
          <w:color w:val="auto"/>
        </w:rPr>
        <w:t>Right-of-use assets under operating leases, net consists of the following:</w:t>
      </w:r>
    </w:p>
    <w:tbl>
      <w:tblPr>
        <w:tblLayout w:type="fixed"/>
        <w:tblInd w:w="0" w:type="dxa"/>
        <w:tblCellMar>
          <w:top w:w="0" w:type="dxa"/>
          <w:left w:w="0" w:type="dxa"/>
          <w:bottom w:w="0" w:type="dxa"/>
          <w:right w:w="0" w:type="dxa"/>
        </w:tblCellMar>
      </w:tblPr>
      <w:tr>
        <w:trPr>
          <w:trHeight w:val="145"/>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220" w:type="dxa"/>
            <w:vAlign w:val="bottom"/>
          </w:tcPr>
          <w:p>
            <w:pPr>
              <w:jc w:val="center"/>
              <w:ind w:right="124"/>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center"/>
              <w:ind w:left="624"/>
              <w:spacing w:after="0"/>
              <w:rPr>
                <w:sz w:val="20"/>
                <w:szCs w:val="20"/>
                <w:color w:val="auto"/>
              </w:rPr>
            </w:pPr>
            <w:r>
              <w:rPr>
                <w:rFonts w:ascii="Times New Roman" w:cs="Times New Roman" w:eastAsia="Times New Roman" w:hAnsi="Times New Roman"/>
                <w:sz w:val="16"/>
                <w:szCs w:val="16"/>
                <w:color w:val="auto"/>
                <w:w w:val="99"/>
              </w:rPr>
              <w:t>7,256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center"/>
              <w:ind w:left="664"/>
              <w:spacing w:after="0"/>
              <w:rPr>
                <w:sz w:val="20"/>
                <w:szCs w:val="20"/>
                <w:color w:val="auto"/>
              </w:rPr>
            </w:pPr>
            <w:r>
              <w:rPr>
                <w:rFonts w:ascii="Times New Roman" w:cs="Times New Roman" w:eastAsia="Times New Roman" w:hAnsi="Times New Roman"/>
                <w:sz w:val="16"/>
                <w:szCs w:val="16"/>
                <w:color w:val="auto"/>
                <w:w w:val="99"/>
              </w:rPr>
              <w:t>7,242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604"/>
              <w:spacing w:after="0"/>
              <w:rPr>
                <w:sz w:val="20"/>
                <w:szCs w:val="20"/>
                <w:color w:val="auto"/>
              </w:rPr>
            </w:pPr>
            <w:r>
              <w:rPr>
                <w:rFonts w:ascii="Times New Roman" w:cs="Times New Roman" w:eastAsia="Times New Roman" w:hAnsi="Times New Roman"/>
                <w:sz w:val="16"/>
                <w:szCs w:val="16"/>
                <w:color w:val="auto"/>
                <w:w w:val="98"/>
              </w:rPr>
              <w:t>(4,273)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644"/>
              <w:spacing w:after="0"/>
              <w:rPr>
                <w:sz w:val="20"/>
                <w:szCs w:val="20"/>
                <w:color w:val="auto"/>
              </w:rPr>
            </w:pPr>
            <w:r>
              <w:rPr>
                <w:rFonts w:ascii="Times New Roman" w:cs="Times New Roman" w:eastAsia="Times New Roman" w:hAnsi="Times New Roman"/>
                <w:sz w:val="16"/>
                <w:szCs w:val="16"/>
                <w:color w:val="auto"/>
                <w:w w:val="98"/>
              </w:rPr>
              <w:t>(3,863)</w:t>
            </w:r>
          </w:p>
        </w:tc>
        <w:tc>
          <w:tcPr>
            <w:tcW w:w="0" w:type="dxa"/>
            <w:vAlign w:val="bottom"/>
          </w:tcPr>
          <w:p>
            <w:pPr>
              <w:spacing w:after="0"/>
              <w:rPr>
                <w:sz w:val="1"/>
                <w:szCs w:val="1"/>
                <w:color w:val="auto"/>
              </w:rPr>
            </w:pPr>
          </w:p>
        </w:tc>
      </w:tr>
      <w:tr>
        <w:trPr>
          <w:trHeight w:val="234"/>
        </w:trPr>
        <w:tc>
          <w:tcPr>
            <w:tcW w:w="8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center"/>
              <w:ind w:left="624"/>
              <w:spacing w:after="0"/>
              <w:rPr>
                <w:sz w:val="20"/>
                <w:szCs w:val="20"/>
                <w:color w:val="auto"/>
              </w:rPr>
            </w:pPr>
            <w:r>
              <w:rPr>
                <w:rFonts w:ascii="Times New Roman" w:cs="Times New Roman" w:eastAsia="Times New Roman" w:hAnsi="Times New Roman"/>
                <w:sz w:val="16"/>
                <w:szCs w:val="16"/>
                <w:color w:val="auto"/>
                <w:w w:val="99"/>
              </w:rPr>
              <w:t>2,983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center"/>
              <w:ind w:left="664"/>
              <w:spacing w:after="0"/>
              <w:rPr>
                <w:sz w:val="20"/>
                <w:szCs w:val="20"/>
                <w:color w:val="auto"/>
              </w:rPr>
            </w:pPr>
            <w:r>
              <w:rPr>
                <w:rFonts w:ascii="Times New Roman" w:cs="Times New Roman" w:eastAsia="Times New Roman" w:hAnsi="Times New Roman"/>
                <w:sz w:val="16"/>
                <w:szCs w:val="16"/>
                <w:color w:val="auto"/>
                <w:w w:val="99"/>
              </w:rPr>
              <w:t>3,379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of operating leases was $0.4 million and $0.5 million for the three months ended March 31, 2024 and 2023, respectively, and is included in cost of revenue for operating assets and in selling, general and administrative expenses for non-operating assets in the accompanying condensed consolidated statements of operations and comprehensive loss.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 NET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segment: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100" w:type="dxa"/>
            <w:vAlign w:val="bottom"/>
            <w:vMerge w:val="restart"/>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2024 and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25,279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80" w:type="dxa"/>
            <w:vAlign w:val="bottom"/>
          </w:tcPr>
          <w:p>
            <w:pPr>
              <w:spacing w:after="0"/>
              <w:rPr>
                <w:sz w:val="14"/>
                <w:szCs w:val="14"/>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80" w:type="dxa"/>
            <w:vAlign w:val="bottom"/>
          </w:tcPr>
          <w:p>
            <w:pPr>
              <w:spacing w:after="0"/>
              <w:rPr>
                <w:sz w:val="14"/>
                <w:szCs w:val="14"/>
                <w:color w:val="auto"/>
              </w:rPr>
            </w:pPr>
          </w:p>
        </w:tc>
        <w:tc>
          <w:tcPr>
            <w:tcW w:w="23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80" w:type="dxa"/>
            <w:vAlign w:val="bottom"/>
          </w:tcPr>
          <w:p>
            <w:pPr>
              <w:spacing w:after="0"/>
              <w:rPr>
                <w:sz w:val="14"/>
                <w:szCs w:val="14"/>
                <w:color w:val="auto"/>
              </w:rPr>
            </w:pPr>
          </w:p>
        </w:tc>
        <w:tc>
          <w:tcPr>
            <w:tcW w:w="2260" w:type="dxa"/>
            <w:vAlign w:val="bottom"/>
            <w:gridSpan w:val="4"/>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66"/>
        </w:trPr>
        <w:tc>
          <w:tcPr>
            <w:tcW w:w="258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980" w:type="dxa"/>
            <w:vAlign w:val="bottom"/>
            <w:gridSpan w:val="2"/>
            <w:vMerge w:val="restart"/>
          </w:tcPr>
          <w:p>
            <w:pPr>
              <w:jc w:val="center"/>
              <w:ind w:right="120"/>
              <w:spacing w:after="0" w:line="108"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line="20" w:lineRule="exact"/>
              <w:rPr>
                <w:sz w:val="1"/>
                <w:szCs w:val="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line="20" w:lineRule="exact"/>
              <w:rPr>
                <w:sz w:val="1"/>
                <w:szCs w:val="1"/>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line="20" w:lineRule="exact"/>
              <w:rPr>
                <w:sz w:val="1"/>
                <w:szCs w:val="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line="20" w:lineRule="exact"/>
              <w:rPr>
                <w:sz w:val="1"/>
                <w:szCs w:val="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line="20" w:lineRule="exact"/>
              <w:rPr>
                <w:sz w:val="1"/>
                <w:szCs w:val="1"/>
                <w:color w:val="auto"/>
              </w:rPr>
            </w:pPr>
          </w:p>
        </w:tc>
        <w:tc>
          <w:tcPr>
            <w:tcW w:w="102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line="20" w:lineRule="exact"/>
              <w:rPr>
                <w:sz w:val="1"/>
                <w:szCs w:val="1"/>
                <w:color w:val="auto"/>
              </w:rPr>
            </w:pPr>
          </w:p>
        </w:tc>
      </w:tr>
      <w:tr>
        <w:trPr>
          <w:trHeight w:val="146"/>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2"/>
                <w:szCs w:val="12"/>
                <w:color w:val="auto"/>
              </w:rPr>
            </w:pPr>
          </w:p>
        </w:tc>
        <w:tc>
          <w:tcPr>
            <w:tcW w:w="9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180" w:type="dxa"/>
            <w:vAlign w:val="bottom"/>
          </w:tcPr>
          <w:p>
            <w:pPr>
              <w:spacing w:after="0"/>
              <w:rPr>
                <w:sz w:val="16"/>
                <w:szCs w:val="16"/>
                <w:color w:val="auto"/>
              </w:rPr>
            </w:pPr>
          </w:p>
        </w:tc>
        <w:tc>
          <w:tcPr>
            <w:tcW w:w="10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2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Definite lived intangible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Customer related intangible assets</w:t>
            </w:r>
          </w:p>
        </w:tc>
        <w:tc>
          <w:tcPr>
            <w:tcW w:w="10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9</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214,307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214,307</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(201,396)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(200,656)</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13,651</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agreement</w:t>
            </w:r>
          </w:p>
        </w:tc>
        <w:tc>
          <w:tcPr>
            <w:tcW w:w="100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10,646</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000" w:type="dxa"/>
            <w:vAlign w:val="bottom"/>
            <w:tcBorders>
              <w:bottom w:val="single" w:sz="8" w:color="CCEEFF"/>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259,016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259,016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(233,738)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(232,468)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25,278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expense for definite lived intangible assets was $1.3 million and $1.3 million for the three months ended March 31, 2024 and 2023, respectively. Forecasted annual definite lived intangible asset amortization expense for 2024 through 2028 is $5.1 million, $5.1 million, $4.9 million, $4.7 million and $4.4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OTHER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Surety bond collateral</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342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NOTE 9 — ACCOUNTS PAYABLE, ACCRUED EXPENSES AND OTHER CURRENT LIABILITIES </w:t>
      </w:r>
      <w:r>
        <w:rPr>
          <w:rFonts w:ascii="Times New Roman" w:cs="Times New Roman" w:eastAsia="Times New Roman" w:hAnsi="Times New Roman"/>
          <w:sz w:val="18"/>
          <w:szCs w:val="18"/>
          <w:color w:val="auto"/>
        </w:rPr>
        <w:t>Accounts payable and accrued expenses consist of the following:</w:t>
      </w:r>
    </w:p>
    <w:tbl>
      <w:tblPr>
        <w:tblLayout w:type="fixed"/>
        <w:tblInd w:w="0" w:type="dxa"/>
        <w:tblCellMar>
          <w:top w:w="0" w:type="dxa"/>
          <w:left w:w="0" w:type="dxa"/>
          <w:bottom w:w="0" w:type="dxa"/>
          <w:right w:w="0" w:type="dxa"/>
        </w:tblCellMar>
      </w:tblPr>
      <w:tr>
        <w:trPr>
          <w:trHeight w:val="145"/>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2"/>
                <w:szCs w:val="12"/>
                <w:color w:val="auto"/>
              </w:rPr>
            </w:pPr>
          </w:p>
        </w:tc>
        <w:tc>
          <w:tcPr>
            <w:tcW w:w="130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220" w:type="dxa"/>
            <w:vAlign w:val="bottom"/>
          </w:tcPr>
          <w:p>
            <w:pPr>
              <w:jc w:val="right"/>
              <w:ind w:right="223"/>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expenses - general</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8,637</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28,465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30,088</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LONG-TERM DEBT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term loans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224,085</w:t>
            </w:r>
          </w:p>
        </w:tc>
        <w:tc>
          <w:tcPr>
            <w:tcW w:w="0" w:type="dxa"/>
            <w:vAlign w:val="bottom"/>
          </w:tcPr>
          <w:p>
            <w:pPr>
              <w:spacing w:after="0"/>
              <w:rPr>
                <w:sz w:val="1"/>
                <w:szCs w:val="1"/>
                <w:color w:val="auto"/>
              </w:rPr>
            </w:pPr>
          </w:p>
        </w:tc>
      </w:tr>
      <w:tr>
        <w:trPr>
          <w:trHeight w:val="210"/>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Less: Debt issuance and amendment costs,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Unamortized discount, net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0" w:type="dxa"/>
            <w:vAlign w:val="bottom"/>
          </w:tcPr>
          <w:p>
            <w:pPr>
              <w:spacing w:after="0"/>
              <w:rPr>
                <w:sz w:val="1"/>
                <w:szCs w:val="1"/>
                <w:color w:val="auto"/>
              </w:rPr>
            </w:pPr>
          </w:p>
        </w:tc>
      </w:tr>
      <w:tr>
        <w:trPr>
          <w:trHeight w:val="20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219,266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215,615</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2018, Altisource Portfolio Solutions S.A. and its wholly-owned subsidiary, Altisource S.à r.l., entered into a credit agreement with Morgan Stanley Senior Funding, Inc., as administrative agent and collateral agent, and certain lenders (the “Credit Agreement”). Under the Credit Agreement, Altisource borrowed $412 million in the form of senior secured term loans (“SSTL”). Effective February 14, 2023, Altisource Portfolio Solutions S.A. and Altisource S.à r.l. entered into Amendment No. 2 to the Credit Agreement (as amended by Amendment No. 2, the “Amended Credit Agreement”). Altisource Portfolio Solutions S.A. and its subsidiaries, subject to the applicable exclusions in the Amended Credit Agreement, are guarantors on the SSTL (collectively, the “Guarantors”). Effective June 1, 2023, the administrative agent and collateral agent of the Amended Credit Agreement changed to Wilmington Trust, N.A.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maturity date of the SSTL under the Amended Credit Agreement is April 30, 2025. Since the aggregate amount of par paydowns on the SSTL made prior to February 14, 2024 using proceeds from issuances of equity interests or from junior indebtedness (“Aggregate Paydowns”) was equal to or greater than $30 million, the maturity date of the SSTL may be extended at the Company’s option to April 30, 2026. Such extension is conditioned upon the Company’s payment of a 2% payment-in-kind extension fee on or before April 30, 2025 and subject to the representations and warranties being true and correct as of such date and there being no default or event of default being in existence as of such date.</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amounts outstanding under the SSTL will become due on the earlier of (i) the maturity date, and (ii) the date on which the loans are declared to be due and owing by the administrative agent at the request (or with the consent) of the Required Lenders (as defined in the Amended Credit Agreement; other capitalized terms, unless defined herein, are defined in the Amended Credit Agreement) or as otherwise provided in the Amended Credit Agreement upon the occurrence of any event of default. There are no mandatory repayments of the SSTL, except as set forth herein, until the April 30, 2025 maturity when the balance is due. If the maturity date is extended to April 30, 2026, the Company is required to make mandatory repayments of $5.2 million in the first quarter of 2026 with the remaining balance due at the April 2026 maturity.</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SSTL is subject to mandatory prepayment upon issuances of debt, certain casualty and condemnation events and sales of assets, as well as 50% of Consolidated Excess Cash Flow, as calculated in accordance with the provisions of the Amended Credit Agreement.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Altisource may incur incremental indebtedness under the Amended Credit Agreement from one or more incremental lenders, which may include existing lenders, in an aggregate incremental principal amount not to exceed $50 million, subject to certain conditions set forth in the Amended Credit Agreement. The lenders have no obligation to provide any incremental indebtedness.</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Through March 29, 2023, the SSTL’s interest rate was the Adjusted Eurodollar Rate plus 4.00%. Beginning March 30, 2023, the SSTL bears interest at rates based upon, at our option, the Secured Overnight Financing Rate (“SOFR”) or the Base Rate, as defined in the Amended Credit Agreement. SOFR-based term loans bear interest at a rate per annum equal to SOFR plus 5.00% payable in cash plus a payable in kind (“PIK”) component. Base Rate-based term loans bear interest at a rate per annum equal to the Base Rate plus 4.00% payable in cash plus a PIK component. The PIK component of the interest rate was subject to adjustment based on the amount of Aggregate Paydowns. Since Aggregate Paydowns were $20 million in the first quarter of 2023 and an additional $10 million in the third quarter of 2023, the PIK component was 4.50% for the period March 30, 2023 through June 30, 2023 and 3.75% for periods thereafter. The interest rate as of March 31, 2024, including the PIK component, was 14.20%.</w:t>
      </w:r>
    </w:p>
    <w:p>
      <w:pPr>
        <w:spacing w:after="0" w:line="134"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If, as of the end of any calendar quarter, (i) the amount of unencumbered cash and cash equivalents of Altisource S.à r.l. and its direct and indirect subsidiaries on a consolidated basis plus (ii) the undrawn commitment amount under the Revolver is, or is forecast as of the end of the immediately subsequent calendar quarter to be, less than $35 million, then up to 2.00% in interest otherwise payable in cash in the following quarter may be paid in kind at the Company’s election.</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payment of all amounts owing by Altisource under the Amended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Amended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Amended Credit Agreement contains certain events of default including (i) failure to pay principal when due or interest or any other amount owing on any other obligation under the Amended Credit Agreement within five days of becoming due, (ii) material incorrectness of representations and warranties when made, (iii) breach of certain other covenants, subject to cure periods described in the Amended Credit Agreement, (iv) failure to pay principal or interest on any other debt that equals or exceeds $5 million when due, (v) default on any other debt that equals or exceeds $5 million that causes, or gives the holder or holders of such debt the ability to cause, an acceleration of such debt, (vi) occurrence of a Change of Control, (vii) bankruptcy and insolvency events, (viii) entry by a court of one or more judgments against us in an aggregate amount in excess of $10 million that remain unbonded, undischarged or unstayed for a certain number of days after the entry thereof, (ix) the occurrence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of certain ERISA events, (x) the failure of certain Loan Documents to be in full force and effect and (xi) failure to comply in any material respects with the terms of the Warrants or the Warrant Purchase Agreement. If any event of default occurs and is not cured within applicable grace periods set forth in the Amended Credit Agreement or waived, all loans and other obligations could become due and immediately payable and the facility could be terminated.</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lenders under the Amended Credit Agreement received Warrants to purchase shares of Altisource common stock. The number of Warrant Shares is subject to reduction based on the amount of Aggregate Paydowns (see Note 11 for additional information). The fair value of the Warrants on February 14, 2023 was $8.1 million and was recorded as an increase in debt discount.</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Amendment No. 2, the Company paid $4.9 million to the lenders and to third parties on behalf of the lenders. The $4.9 million payment was recorded as an increase in debt issuance and amendment costs. In connection with Amendment No. 2, the Company paid $3.4 million to advisors and recorded these payments as other expense in the condensed consolidated statements of operations and comprehensive loss.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Deer Park Road Management Company, LP (“Deer Park”), a related party, owns approximately 16% and 20% of Altisource’s common stock as of March 31, 2024 and 2023, respectively, and $40.9 million and $44.7 million of Altisource debt under the Amended Credit Agreement as of March 31, 2024 and 2023, respectively. An employee of Deer Park is a member of Altisource’s Board of Directors. In connection with the Amended Credit Agreement, Deer Park received 292 thousand Warrants. During the three months ended March 31, 2024 and 2023, Deer Park received interest of $1.1 million and $0.9 million, respectively from the Altisource SSTL.</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31, 2024, debt issuance and amendment costs were $2.7 million, net of $6.7 million of accumulated amortization. As of December 31, 2023, debt issuance and amendment costs were $3.3 million, net of $6.1 million of accumulated amortization.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STS Master Fund, Ltd.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(“STS”) (the “Revolver”). STS is an investment fund managed by Deer Park.</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Revolver was amended effective February 14, 2023 (the “Amended Revolver”). Under the terms of the Amended Revolver, STS will make loans to Altisource from time to time, in amounts requested by Altisource and Altisource may voluntarily prepay all or any portion of the outstanding loans at any time. The Amended Revolver provides Altisource the ability to borrow a maximum amount of $15.0 million. Amounts that are repaid may be re-borrowed in accordance with the limitations set forth below.</w:t>
      </w:r>
    </w:p>
    <w:p>
      <w:pPr>
        <w:spacing w:after="0" w:line="12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maturity date of the Amended Revolver coincides with the maturity date of the SSTL under the Amended Credit Agreement, as it may be extended. The outstanding balance on the Amended Revolver is due and payable on such maturity date.</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Amended Revolver bear interest of 10.00% per annum in cash and 3.00% per annum PIK and are payable quarterly on the last business day of each March, June, September and December. In connection with the Amended Revolver, Altisource is required to pay a usage fee equal to $0.75 million at the initial extension of credit pursuant to the Amended Revolver.</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obligations under the Amended Revolver are secured by a first-priority lien on substantially all of the assets of the Company, which lien will be pari passu with liens securing the SSTL under the Amended Credit Agreement.</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Amended Revolver contains additional representations, warranties, covenants, terms and conditions customary for transactions of this type, that restrict or limit, among other things, our ability to use the proceeds of credit only for general corporate purposes.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Amended Revolver contains certain events of default including (i) failure to pay principal when due or interest or any other amount owing on any other obligation under the Amended Revolver within three business days of becoming due, (ii) failure to perform or observe any material provisions of the Amended Revolver Documents to be performed or complied with and such failure continues for a period of 30 days after written notice is given by the Lender to the Borrower,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aggregate amount in excess of $40.0 million that remain unbonded, undischarged or unstayed for a certain number of days after the entry thereof, (vi) occurrence of a Change of Control, (vii) bankruptcy and insolvency events.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any event of default occurs and is not cured within applicable grace periods set forth in the Amended Revolver or waived, all loans and other obligations could become due and immediately payable and the facility could be terminated.</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2024 and December 31, 2023, there was no outstanding debt under the Amended Revolver and Revolver, respectively. As of March 31, 2024 debt issuance costs were $0.1 million, net of $0.4 million of accumulated amortization. As of December 31, 2023 debt issuance costs were $0.2 million, net of $0.4 million of accumulated amortization. Debt issuance costs for the Amended Revolver and Revolver are included in other assets in the accompanying consolidated balance sheet.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WARRANTS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14, 2023, the lenders under the Amended Credit Agreement (see Note 10 for additional information) received warrants (the “Warrants”) to purchase 3,223,851 shares of Altisource common stock (the “Warrant Shares”). The number of Warrant Shares was subject to reduction based on the amount of Aggregate Paydowns. During 2023, the Company made $30 million of Aggregate Paydowns. Since Aggregate Paydowns were equal to or greater than $30 million, the number of Warrant Shares was reduced to 1,612,705.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Warrant Shares: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20" w:type="dxa"/>
            <w:vAlign w:val="bottom"/>
          </w:tcPr>
          <w:p>
            <w:pPr>
              <w:spacing w:after="0"/>
              <w:rPr>
                <w:sz w:val="16"/>
                <w:szCs w:val="16"/>
                <w:color w:val="auto"/>
              </w:rPr>
            </w:pPr>
          </w:p>
        </w:tc>
        <w:tc>
          <w:tcPr>
            <w:tcW w:w="20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Warrant Shares</w:t>
            </w:r>
          </w:p>
        </w:tc>
      </w:tr>
      <w:tr>
        <w:trPr>
          <w:trHeight w:val="24"/>
        </w:trPr>
        <w:tc>
          <w:tcPr>
            <w:tcW w:w="9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9"/>
        </w:trPr>
        <w:tc>
          <w:tcPr>
            <w:tcW w:w="9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1,612,705</w:t>
            </w:r>
          </w:p>
        </w:tc>
      </w:tr>
      <w:tr>
        <w:trPr>
          <w:trHeight w:val="218"/>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(92,077)</w:t>
            </w:r>
          </w:p>
        </w:tc>
      </w:tr>
      <w:tr>
        <w:trPr>
          <w:trHeight w:val="22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March 31, 2024</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1,520,628</w:t>
            </w:r>
          </w:p>
        </w:tc>
      </w:tr>
    </w:tbl>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exercise price per share of common stock under each Warrant is equal to $0.01. The Warrants may be exercised at any time on and after February 14, 2024 and prior to their expiration date. The Warrants are exercisable on a cashless basis and are subject to customary anti-dilution provisions. The Warrants, if not previously exercised or terminated, will be automatically exercised on May 22, 2027. The Warrants are subject to a lock-up agreement, subject to customary exceptions, which expired on February 16, 2024.</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Warrants are free standing financial instruments that are legally detachable and separately exercisable from the term loans under the Amended Credit Agreement. At inception, the Warrants were not considered to be indexed to the Company’s stock because the number of Warrant Shares varied based on Aggregate Paydowns. Pursuant to ASC 815-40, </w:t>
      </w:r>
      <w:r>
        <w:rPr>
          <w:rFonts w:ascii="Times New Roman" w:cs="Times New Roman" w:eastAsia="Times New Roman" w:hAnsi="Times New Roman"/>
          <w:sz w:val="18"/>
          <w:szCs w:val="18"/>
          <w:i w:val="1"/>
          <w:iCs w:val="1"/>
          <w:color w:val="auto"/>
        </w:rPr>
        <w:t>Derivatives and Hedging–Contracts in Entity’s Own Equity</w:t>
      </w:r>
      <w:r>
        <w:rPr>
          <w:rFonts w:ascii="Times New Roman" w:cs="Times New Roman" w:eastAsia="Times New Roman" w:hAnsi="Times New Roman"/>
          <w:sz w:val="18"/>
          <w:szCs w:val="18"/>
          <w:color w:val="auto"/>
        </w:rPr>
        <w:t>, the outstanding Warrants were recognized as a warrant liability on the balance sheet based on their inception date fair value and subsequently re-measured at each reporting period with changes recorded as a component of other income (expense) in the statement of operations. On September 18, 2023, the Company reached the $30 million in Aggregate Paydowns threshold and the number of Warrant Shares was no longer variable. As a result, the Warrants were considered to be indexed to the Company’s stock and the Warrant Liability was reclassified to equity.</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value of the warrant liability was based on the number of Warrant Shares that were expected to be exercisable on and after February 14, 2024 and the Altisource share price less $0.01 at the measurement date.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warrant liability at each of the respective valuation dates is summarized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210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Warrant Shares based on</w:t>
            </w:r>
          </w:p>
        </w:tc>
        <w:tc>
          <w:tcPr>
            <w:tcW w:w="2880" w:type="dxa"/>
            <w:vAlign w:val="bottom"/>
          </w:tcPr>
          <w:p>
            <w:pPr>
              <w:jc w:val="center"/>
              <w:ind w:left="5"/>
              <w:spacing w:after="0"/>
              <w:rPr>
                <w:sz w:val="20"/>
                <w:szCs w:val="20"/>
                <w:color w:val="auto"/>
              </w:rPr>
            </w:pPr>
            <w:r>
              <w:rPr>
                <w:rFonts w:ascii="Times New Roman" w:cs="Times New Roman" w:eastAsia="Times New Roman" w:hAnsi="Times New Roman"/>
                <w:sz w:val="14"/>
                <w:szCs w:val="14"/>
                <w:b w:val="1"/>
                <w:bCs w:val="1"/>
                <w:color w:val="auto"/>
              </w:rPr>
              <w:t>Expected Warrant Shares that will be</w:t>
            </w:r>
          </w:p>
        </w:tc>
        <w:tc>
          <w:tcPr>
            <w:tcW w:w="1380" w:type="dxa"/>
            <w:vAlign w:val="bottom"/>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240" w:type="dxa"/>
            <w:vAlign w:val="bottom"/>
          </w:tcPr>
          <w:p>
            <w:pPr>
              <w:spacing w:after="0"/>
              <w:rPr>
                <w:sz w:val="13"/>
                <w:szCs w:val="13"/>
                <w:color w:val="auto"/>
              </w:rPr>
            </w:pPr>
          </w:p>
        </w:tc>
        <w:tc>
          <w:tcPr>
            <w:tcW w:w="134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210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Aggregate Paydowns</w:t>
            </w: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 on February 14, 2024</w:t>
            </w:r>
          </w:p>
        </w:tc>
        <w:tc>
          <w:tcPr>
            <w:tcW w:w="1380" w:type="dxa"/>
            <w:vAlign w:val="bottom"/>
            <w:tcBorders>
              <w:bottom w:val="single" w:sz="8" w:color="auto"/>
            </w:tcBorders>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rPr>
              <w:t>Warrant Share</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1"/>
        </w:trPr>
        <w:tc>
          <w:tcPr>
            <w:tcW w:w="33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ind w:left="40"/>
              <w:spacing w:after="0" w:line="159" w:lineRule="exact"/>
              <w:rPr>
                <w:sz w:val="20"/>
                <w:szCs w:val="20"/>
                <w:color w:val="auto"/>
              </w:rPr>
            </w:pPr>
            <w:r>
              <w:rPr>
                <w:rFonts w:ascii="Times New Roman" w:cs="Times New Roman" w:eastAsia="Times New Roman" w:hAnsi="Times New Roman"/>
                <w:sz w:val="16"/>
                <w:szCs w:val="16"/>
                <w:color w:val="auto"/>
              </w:rPr>
              <w:t>Fair value at initial measurement date of</w:t>
            </w:r>
          </w:p>
        </w:tc>
        <w:tc>
          <w:tcPr>
            <w:tcW w:w="210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6"/>
                <w:szCs w:val="16"/>
                <w:color w:val="auto"/>
                <w:w w:val="99"/>
              </w:rPr>
              <w:t>3,223,851</w:t>
            </w:r>
          </w:p>
        </w:tc>
        <w:tc>
          <w:tcPr>
            <w:tcW w:w="2880" w:type="dxa"/>
            <w:vAlign w:val="bottom"/>
            <w:vMerge w:val="restart"/>
            <w:shd w:val="clear" w:color="auto" w:fill="CCEEFF"/>
          </w:tcPr>
          <w:p>
            <w:pPr>
              <w:jc w:val="center"/>
              <w:ind w:left="5"/>
              <w:spacing w:after="0"/>
              <w:rPr>
                <w:sz w:val="20"/>
                <w:szCs w:val="20"/>
                <w:color w:val="auto"/>
              </w:rPr>
            </w:pPr>
            <w:r>
              <w:rPr>
                <w:rFonts w:ascii="Times New Roman" w:cs="Times New Roman" w:eastAsia="Times New Roman" w:hAnsi="Times New Roman"/>
                <w:sz w:val="16"/>
                <w:szCs w:val="16"/>
                <w:color w:val="auto"/>
                <w:w w:val="99"/>
              </w:rPr>
              <w:t>1,612,705</w:t>
            </w:r>
          </w:p>
        </w:tc>
        <w:tc>
          <w:tcPr>
            <w:tcW w:w="1380" w:type="dxa"/>
            <w:vAlign w:val="bottom"/>
            <w:vMerge w:val="restart"/>
            <w:shd w:val="clear" w:color="auto" w:fill="CCEEFF"/>
          </w:tcPr>
          <w:p>
            <w:pPr>
              <w:jc w:val="center"/>
              <w:ind w:left="25"/>
              <w:spacing w:after="0"/>
              <w:rPr>
                <w:sz w:val="20"/>
                <w:szCs w:val="20"/>
                <w:color w:val="auto"/>
              </w:rPr>
            </w:pPr>
            <w:r>
              <w:rPr>
                <w:rFonts w:ascii="Times New Roman" w:cs="Times New Roman" w:eastAsia="Times New Roman" w:hAnsi="Times New Roman"/>
                <w:sz w:val="16"/>
                <w:szCs w:val="16"/>
                <w:color w:val="auto"/>
                <w:w w:val="99"/>
              </w:rPr>
              <w:t>$5.02</w:t>
            </w:r>
          </w:p>
        </w:tc>
        <w:tc>
          <w:tcPr>
            <w:tcW w:w="24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8,096</w:t>
            </w:r>
          </w:p>
        </w:tc>
        <w:tc>
          <w:tcPr>
            <w:tcW w:w="0" w:type="dxa"/>
            <w:vAlign w:val="bottom"/>
          </w:tcPr>
          <w:p>
            <w:pPr>
              <w:spacing w:after="0"/>
              <w:rPr>
                <w:sz w:val="1"/>
                <w:szCs w:val="1"/>
                <w:color w:val="auto"/>
              </w:rPr>
            </w:pPr>
          </w:p>
        </w:tc>
      </w:tr>
      <w:tr>
        <w:trPr>
          <w:trHeight w:val="212"/>
        </w:trPr>
        <w:tc>
          <w:tcPr>
            <w:tcW w:w="3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February 14, 2023</w:t>
            </w:r>
          </w:p>
        </w:tc>
        <w:tc>
          <w:tcPr>
            <w:tcW w:w="2100" w:type="dxa"/>
            <w:vAlign w:val="bottom"/>
            <w:vMerge w:val="continue"/>
            <w:shd w:val="clear" w:color="auto" w:fill="CCEEFF"/>
          </w:tcPr>
          <w:p>
            <w:pPr>
              <w:spacing w:after="0"/>
              <w:rPr>
                <w:sz w:val="18"/>
                <w:szCs w:val="18"/>
                <w:color w:val="auto"/>
              </w:rPr>
            </w:pPr>
          </w:p>
        </w:tc>
        <w:tc>
          <w:tcPr>
            <w:tcW w:w="28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Gain on change in fair value of warrant liability</w:t>
            </w:r>
          </w:p>
        </w:tc>
        <w:tc>
          <w:tcPr>
            <w:tcW w:w="210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0" w:type="dxa"/>
            <w:vAlign w:val="bottom"/>
          </w:tcPr>
          <w:p>
            <w:pPr>
              <w:spacing w:after="0"/>
              <w:rPr>
                <w:sz w:val="1"/>
                <w:szCs w:val="1"/>
                <w:color w:val="auto"/>
              </w:rPr>
            </w:pPr>
          </w:p>
        </w:tc>
      </w:tr>
      <w:tr>
        <w:trPr>
          <w:trHeight w:val="232"/>
        </w:trPr>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value at March 31, 2023</w:t>
            </w:r>
          </w:p>
        </w:tc>
        <w:tc>
          <w:tcPr>
            <w:tcW w:w="2100" w:type="dxa"/>
            <w:vAlign w:val="bottom"/>
            <w:tcBorders>
              <w:bottom w:val="single" w:sz="8" w:color="CCEEFF"/>
            </w:tcBorders>
            <w:shd w:val="clear" w:color="auto" w:fill="CCEEFF"/>
          </w:tcPr>
          <w:p>
            <w:pPr>
              <w:jc w:val="center"/>
              <w:ind w:right="25"/>
              <w:spacing w:after="0"/>
              <w:rPr>
                <w:sz w:val="20"/>
                <w:szCs w:val="20"/>
                <w:color w:val="auto"/>
              </w:rPr>
            </w:pPr>
            <w:r>
              <w:rPr>
                <w:rFonts w:ascii="Times New Roman" w:cs="Times New Roman" w:eastAsia="Times New Roman" w:hAnsi="Times New Roman"/>
                <w:sz w:val="16"/>
                <w:szCs w:val="16"/>
                <w:color w:val="auto"/>
                <w:w w:val="99"/>
              </w:rPr>
              <w:t>2,578,743</w:t>
            </w:r>
          </w:p>
        </w:tc>
        <w:tc>
          <w:tcPr>
            <w:tcW w:w="2880" w:type="dxa"/>
            <w:vAlign w:val="bottom"/>
            <w:tcBorders>
              <w:bottom w:val="single" w:sz="8" w:color="CCEEFF"/>
            </w:tcBorders>
            <w:shd w:val="clear" w:color="auto" w:fill="CCEEFF"/>
          </w:tcPr>
          <w:p>
            <w:pPr>
              <w:jc w:val="center"/>
              <w:ind w:left="5"/>
              <w:spacing w:after="0"/>
              <w:rPr>
                <w:sz w:val="20"/>
                <w:szCs w:val="20"/>
                <w:color w:val="auto"/>
              </w:rPr>
            </w:pPr>
            <w:r>
              <w:rPr>
                <w:rFonts w:ascii="Times New Roman" w:cs="Times New Roman" w:eastAsia="Times New Roman" w:hAnsi="Times New Roman"/>
                <w:sz w:val="16"/>
                <w:szCs w:val="16"/>
                <w:color w:val="auto"/>
                <w:w w:val="99"/>
              </w:rPr>
              <w:t>1,612,705</w:t>
            </w:r>
          </w:p>
        </w:tc>
        <w:tc>
          <w:tcPr>
            <w:tcW w:w="1380" w:type="dxa"/>
            <w:vAlign w:val="bottom"/>
            <w:tcBorders>
              <w:bottom w:val="single" w:sz="8" w:color="CCEEFF"/>
            </w:tcBorders>
            <w:shd w:val="clear" w:color="auto" w:fill="CCEEFF"/>
          </w:tcPr>
          <w:p>
            <w:pPr>
              <w:jc w:val="center"/>
              <w:ind w:left="25"/>
              <w:spacing w:after="0"/>
              <w:rPr>
                <w:sz w:val="20"/>
                <w:szCs w:val="20"/>
                <w:color w:val="auto"/>
              </w:rPr>
            </w:pPr>
            <w:r>
              <w:rPr>
                <w:rFonts w:ascii="Times New Roman" w:cs="Times New Roman" w:eastAsia="Times New Roman" w:hAnsi="Times New Roman"/>
                <w:sz w:val="16"/>
                <w:szCs w:val="16"/>
                <w:color w:val="auto"/>
                <w:w w:val="99"/>
              </w:rPr>
              <w:t>$4.59</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three months ended March 31, 2023, the Company recorded a gain on changes in fair value of warrant liability of $0.7 million (no comparative amount for the three months ended March 31, 2024).</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OTHER NON-CURRENT LIABILITIES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liabilities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17,506</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 AND FINANCIAL INSTRUMENTS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table presents the carrying amount and estimated fair value of financial instruments and certain liabilities measured at fair value as of March 31, 2024 and December 31, 2023. The following fair values are estimated using market information and what the Company believes to be appropriate valuation methodologies under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0"/>
                <w:szCs w:val="10"/>
                <w:color w:val="auto"/>
              </w:rPr>
            </w:pPr>
          </w:p>
        </w:tc>
        <w:tc>
          <w:tcPr>
            <w:tcW w:w="90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Fair 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Short-term receivable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0" w:type="dxa"/>
            <w:vAlign w:val="bottom"/>
          </w:tcPr>
          <w:p>
            <w:pPr>
              <w:spacing w:after="0"/>
              <w:rPr>
                <w:sz w:val="1"/>
                <w:szCs w:val="1"/>
                <w:color w:val="auto"/>
              </w:rPr>
            </w:pPr>
          </w:p>
        </w:tc>
      </w:tr>
      <w:tr>
        <w:trPr>
          <w:trHeight w:val="212"/>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Senior secured term loan</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177,027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Recurring Basis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Cash and cash equivalents and restricted cash are carried at amounts that approximate their fair values due to the highly liquid nature of these instruments and are measured using Level 1 inputs.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our SSTL is based on quoted market prices. Based on the frequency of trading, we do not believe that there is an active market for our debt.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quoted prices are considered Level 2 inputs.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sale of Pointillist on December 1, 2021, $3.5 million was deposited into an escrow account to satisfy certain indemnification claims that may arise on or prior to the first anniversary of the sale closing. The deposit was recorded as a short-term receivable. We measure short-term receivables without a stated interest rate based on the present value of the future payments.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different levels during the periods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45% of its revenue from Ocwen for the three months ended March 31, 2024 (see Note 2 for additional information on Ocwen revenues and accounts receivable balance). The Company strives to mitigate its concentrations of credit risk with respect to accounts receivable by actively monitoring past due accounts and the economic status of larger customers, if known.</w:t>
      </w:r>
    </w:p>
    <w:p>
      <w:pPr>
        <w:spacing w:after="0" w:line="130" w:lineRule="exact"/>
        <w:rPr>
          <w:sz w:val="20"/>
          <w:szCs w:val="20"/>
          <w:color w:val="auto"/>
        </w:rPr>
      </w:pPr>
    </w:p>
    <w:p>
      <w:pPr>
        <w:ind w:right="4760"/>
        <w:spacing w:after="0" w:line="431" w:lineRule="auto"/>
        <w:rPr>
          <w:sz w:val="20"/>
          <w:szCs w:val="20"/>
          <w:color w:val="auto"/>
        </w:rPr>
      </w:pPr>
      <w:r>
        <w:rPr>
          <w:rFonts w:ascii="Times New Roman" w:cs="Times New Roman" w:eastAsia="Times New Roman" w:hAnsi="Times New Roman"/>
          <w:sz w:val="18"/>
          <w:szCs w:val="18"/>
          <w:b w:val="1"/>
          <w:bCs w:val="1"/>
          <w:color w:val="auto"/>
        </w:rPr>
        <w:t>NOTE 14 — SHAREHOLDERS’ EQUITY AND SHARE-BASED COMPENSATION Share Repurchase Program</w:t>
      </w:r>
    </w:p>
    <w:p>
      <w:pPr>
        <w:spacing w:after="0" w:line="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the shareholders on May 15, 2018. Under the program, we are authorized to purchase up to 3.1 million shares of our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common stock, based on a limit of 15% of the outstanding shares of common stock on the date of approval, at a minimum price of $1.00 per share and a maximum price of $25.00 per share, for a period of five years from the date of approval. As of March 31, 2024, approximately 3.1 million shares of common stock remain available for repurchase under the program. There were no purchases of shares of common stock during the three months ended March 31, 2024 and 2023. Luxembourg law limits share repurchases to the balance of Altisource Portfolio Solutions S.A. (unconsolidated parent company) retained earnings, less the value of shares repurchased. As of March 31, 2024, we can repurchase up to approximately $115 million of our common stock under Luxembourg law. Under the Amended Credit Agreement, we are not permitted to repurchase shares except for limited circumstances.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 of Common Stock</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February 14, 2023, Altisource closed on an underwritten public offering to sell 4,550,000 shares of its common stock, at a price of $5.00 per share, generating net proceeds of $20.5 million, after deducting the underwriting discounts and commissions and other offering expenses.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September 7, 2023, Altisource closed on an underwritten public offering to sell 5,590,277 shares of its common stock, at a price of $3.60 per share, generating net proceeds of $18.4 million, after deducting the underwriting discounts and commissions and other offering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issue share-based awards in the form of stock options, restricted shares and restricted share units for certain employees, officers and directors. We recognized share-based compensation expense of $2.2 million and $1.4 million for the three months ended March 31, 2024 and 2023, respectively. The increase for the three months ended 2024 was primarily driven by the accelerated amortization for awards granted to retirement-eligible employees. As of March 31, 2024, estimated unrecognized compensation costs related to share-based awards amounted to $2.9 million, which we expect to recognize over a weighted average remaining requisite service period of approximately 1.32 years.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grants are composed of a combination of service-based, market-based and performance-based options.</w:t>
      </w:r>
    </w:p>
    <w:p>
      <w:pPr>
        <w:spacing w:after="0" w:line="162"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Service-Based Options. </w:t>
      </w:r>
      <w:r>
        <w:rPr>
          <w:rFonts w:ascii="Times New Roman" w:cs="Times New Roman" w:eastAsia="Times New Roman" w:hAnsi="Times New Roman"/>
          <w:sz w:val="18"/>
          <w:szCs w:val="18"/>
          <w:color w:val="auto"/>
        </w:rPr>
        <w:t>These options generally vest over three or four years with equal annual vesting and generally expire on the earlier of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date of grant or following termination of service. A total of 180 thousand service-based options were outstanding as of March 31, 2024.</w:t>
      </w:r>
    </w:p>
    <w:p>
      <w:pPr>
        <w:spacing w:after="0" w:line="107"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i w:val="1"/>
          <w:iCs w:val="1"/>
          <w:color w:val="auto"/>
        </w:rPr>
        <w:t>Market-Based Options</w:t>
      </w:r>
      <w:r>
        <w:rPr>
          <w:rFonts w:ascii="Times New Roman" w:cs="Times New Roman" w:eastAsia="Times New Roman" w:hAnsi="Times New Roman"/>
          <w:sz w:val="18"/>
          <w:szCs w:val="18"/>
          <w:color w:val="auto"/>
        </w:rPr>
        <w:t>. These option grants generally have two components, each of which vests only upon the achievement of certain criteria.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generally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96 thousand market-based options were outstanding as of March 31, 2024.</w:t>
      </w:r>
    </w:p>
    <w:p>
      <w:pPr>
        <w:spacing w:after="0" w:line="132"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Performance-Based Options. </w:t>
      </w:r>
      <w:r>
        <w:rPr>
          <w:rFonts w:ascii="Times New Roman" w:cs="Times New Roman" w:eastAsia="Times New Roman" w:hAnsi="Times New Roman"/>
          <w:sz w:val="18"/>
          <w:szCs w:val="18"/>
          <w:color w:val="auto"/>
        </w:rPr>
        <w:t>These option grants generally will vest if certain specific financial measures are achieved; typically with one-fourth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461 thousand performance-based options outstanding as of March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stock option grants during the three months ended March 31, 2024 and 2023.</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performance-based options are determined using the Black-Scholes option pricing model.</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grant date fair value of stock options that vested during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stock options granted per share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320" w:type="dxa"/>
            <w:vAlign w:val="bottom"/>
          </w:tcPr>
          <w:p>
            <w:pPr>
              <w:spacing w:after="0"/>
              <w:rPr>
                <w:sz w:val="18"/>
                <w:szCs w:val="18"/>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 date fair value of stock options that vested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stock options: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180" w:type="dxa"/>
            <w:vAlign w:val="bottom"/>
          </w:tcPr>
          <w:p>
            <w:pPr>
              <w:spacing w:after="0"/>
              <w:rPr>
                <w:sz w:val="13"/>
                <w:szCs w:val="13"/>
                <w:color w:val="auto"/>
              </w:rPr>
            </w:pPr>
          </w:p>
        </w:tc>
        <w:tc>
          <w:tcPr>
            <w:tcW w:w="124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80" w:type="dxa"/>
            <w:vAlign w:val="bottom"/>
          </w:tcPr>
          <w:p>
            <w:pPr>
              <w:spacing w:after="0"/>
              <w:rPr>
                <w:sz w:val="12"/>
                <w:szCs w:val="12"/>
                <w:color w:val="auto"/>
              </w:rPr>
            </w:pPr>
          </w:p>
        </w:tc>
        <w:tc>
          <w:tcPr>
            <w:tcW w:w="1240" w:type="dxa"/>
            <w:vAlign w:val="bottom"/>
          </w:tcPr>
          <w:p>
            <w:pPr>
              <w:jc w:val="center"/>
              <w:ind w:right="105"/>
              <w:spacing w:after="0" w:line="146"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18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739,189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March 31, 2024</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736,689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March 31, 2024</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549,450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other share-based and similar types of awards are comprised of restricted shares and restricted share units. The restricted shares and restricted share units are comprised of a combination of service-based awards, performance-based awards, market-based awards and performance and market-based awards.</w:t>
      </w:r>
    </w:p>
    <w:p>
      <w:pPr>
        <w:spacing w:after="0" w:line="123"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Service-Based Awards. </w:t>
      </w:r>
      <w:r>
        <w:rPr>
          <w:rFonts w:ascii="Times New Roman" w:cs="Times New Roman" w:eastAsia="Times New Roman" w:hAnsi="Times New Roman"/>
          <w:sz w:val="18"/>
          <w:szCs w:val="18"/>
          <w:color w:val="auto"/>
        </w:rPr>
        <w:t>These awards generally vest over one-to-four-year periods. A total of 522 thousand service-based awards were outstanding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2024.</w:t>
      </w:r>
    </w:p>
    <w:p>
      <w:pPr>
        <w:spacing w:after="0" w:line="107"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These awards generally vest if certain specific financial measures are achieved; generally one-third vests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grant date or cliff-vest on the third anniversary of the grant date. The number of performance-based restricted shares and restricted share units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187 thousand performance-based awards were outstanding as of March 31, 2024.</w:t>
      </w:r>
    </w:p>
    <w:p>
      <w:pPr>
        <w:spacing w:after="0" w:line="132"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Market-Based Awards. </w:t>
      </w:r>
      <w:r>
        <w:rPr>
          <w:rFonts w:ascii="Times New Roman" w:cs="Times New Roman" w:eastAsia="Times New Roman" w:hAnsi="Times New Roman"/>
          <w:sz w:val="18"/>
          <w:szCs w:val="18"/>
          <w:color w:val="auto"/>
        </w:rPr>
        <w:t>50% of these awards generally vest if certain specific market conditions are achieved over a 30-day period and the remaining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these awards generally vest on the one year anniversary of the initial vesting. The Company estimates the grant date fair value of these awards using a lattice (binomial) model. A total of 112 thousand market-based awards were outstanding as of March 31, 2024.</w:t>
      </w:r>
    </w:p>
    <w:p>
      <w:pPr>
        <w:spacing w:after="0" w:line="120"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Performance-Based and Market-Based Awards. </w:t>
      </w:r>
      <w:r>
        <w:rPr>
          <w:rFonts w:ascii="Times New Roman" w:cs="Times New Roman" w:eastAsia="Times New Roman" w:hAnsi="Times New Roman"/>
          <w:sz w:val="18"/>
          <w:szCs w:val="18"/>
          <w:color w:val="auto"/>
        </w:rPr>
        <w:t>These awards generally vest if certain specific financial measures are achieved and if certain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187 thousand performance-based and market-based awards were outstanding as of March 31,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granted 366 thousand restricted share units (at a weighted average grant date fair value of $2.31 per share) during the three months ended March 31, 2024. These grants included 86 thousand performance-based awards and 86 thousand awards that include both a performance condition and a market condition. The Company granted 744 thousand restricted share units (at a weighted average grant date fair value of $4.94 per share) during the three months ended March 31, 2023. These grants included 57 thousand performance-based awards and 57 thousand awards that include both a performance condition and a market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restricted shares and restricted share units: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restricted</w:t>
            </w:r>
          </w:p>
        </w:tc>
      </w:tr>
      <w:tr>
        <w:trPr>
          <w:trHeight w:val="144"/>
        </w:trPr>
        <w:tc>
          <w:tcPr>
            <w:tcW w:w="9600" w:type="dxa"/>
            <w:vAlign w:val="bottom"/>
          </w:tcPr>
          <w:p>
            <w:pPr>
              <w:spacing w:after="0"/>
              <w:rPr>
                <w:sz w:val="12"/>
                <w:szCs w:val="12"/>
                <w:color w:val="auto"/>
              </w:rPr>
            </w:pPr>
          </w:p>
        </w:tc>
        <w:tc>
          <w:tcPr>
            <w:tcW w:w="1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 and restricted</w:t>
            </w:r>
          </w:p>
        </w:tc>
      </w:tr>
      <w:tr>
        <w:trPr>
          <w:trHeight w:val="192"/>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r>
      <w:tr>
        <w:trPr>
          <w:trHeight w:val="198"/>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1,262,742</w:t>
            </w:r>
          </w:p>
        </w:tc>
      </w:tr>
      <w:tr>
        <w:trPr>
          <w:trHeight w:val="210"/>
        </w:trPr>
        <w:tc>
          <w:tcPr>
            <w:tcW w:w="9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365,501</w:t>
            </w:r>
          </w:p>
        </w:tc>
      </w:tr>
      <w:tr>
        <w:trPr>
          <w:trHeight w:val="214"/>
        </w:trPr>
        <w:tc>
          <w:tcPr>
            <w:tcW w:w="9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(364,955)</w:t>
            </w:r>
          </w:p>
        </w:tc>
      </w:tr>
      <w:tr>
        <w:trPr>
          <w:trHeight w:val="210"/>
        </w:trPr>
        <w:tc>
          <w:tcPr>
            <w:tcW w:w="9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Forfeited/canceled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(254,963)</w:t>
            </w:r>
          </w:p>
        </w:tc>
      </w:tr>
      <w:tr>
        <w:trPr>
          <w:trHeight w:val="194"/>
        </w:trPr>
        <w:tc>
          <w:tcPr>
            <w:tcW w:w="96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2"/>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March 31, 2024</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1,008,325</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REVENUE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1). Our services are provided to customers located in the United States. The components of revenue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5"/>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37,071</w:t>
            </w: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w:t>
            </w: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194"/>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total revenue by segment and major source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6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Reimbursable expenses</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and professional</w:t>
            </w:r>
          </w:p>
        </w:tc>
        <w:tc>
          <w:tcPr>
            <w:tcW w:w="15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6"/>
        </w:trPr>
        <w:tc>
          <w:tcPr>
            <w:tcW w:w="5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services</w:t>
            </w:r>
          </w:p>
        </w:tc>
        <w:tc>
          <w:tcPr>
            <w:tcW w:w="28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31,502</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7,967</w:t>
            </w:r>
          </w:p>
        </w:tc>
        <w:tc>
          <w:tcPr>
            <w:tcW w:w="0" w:type="dxa"/>
            <w:vAlign w:val="bottom"/>
          </w:tcPr>
          <w:p>
            <w:pPr>
              <w:spacing w:after="0"/>
              <w:rPr>
                <w:sz w:val="1"/>
                <w:szCs w:val="1"/>
                <w:color w:val="auto"/>
              </w:rPr>
            </w:pPr>
          </w:p>
        </w:tc>
      </w:tr>
      <w:tr>
        <w:trPr>
          <w:trHeight w:val="232"/>
        </w:trPr>
        <w:tc>
          <w:tcPr>
            <w:tcW w:w="5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6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Reimbursable expenses</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and professional</w:t>
            </w:r>
          </w:p>
        </w:tc>
        <w:tc>
          <w:tcPr>
            <w:tcW w:w="15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6"/>
        </w:trPr>
        <w:tc>
          <w:tcPr>
            <w:tcW w:w="5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services</w:t>
            </w:r>
          </w:p>
        </w:tc>
        <w:tc>
          <w:tcPr>
            <w:tcW w:w="28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31,945</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0" w:type="dxa"/>
            <w:vAlign w:val="bottom"/>
          </w:tcPr>
          <w:p>
            <w:pPr>
              <w:spacing w:after="0"/>
              <w:rPr>
                <w:sz w:val="1"/>
                <w:szCs w:val="1"/>
                <w:color w:val="auto"/>
              </w:rPr>
            </w:pPr>
          </w:p>
        </w:tc>
      </w:tr>
      <w:tr>
        <w:trPr>
          <w:trHeight w:val="232"/>
        </w:trPr>
        <w:tc>
          <w:tcPr>
            <w:tcW w:w="5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John G. Aldridge, Jr., the Managing Partner of Aldridge Pite LLP (“Aldridge Pite”), is a member of the Board of Directors of Altisource. Aldridge Pite provides eviction and other real estate related services to the Company and pays for the use of certain of the Company’s technology in connection with providing these services. The Company recognized service revenue of $0.1 million and less than $0.1 million for the three months ended March 31, 2024 and 2023, respectively, relating to services provided to Aldridge Pite.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contract assets consist of unbilled accounts receivable (see Note 3). Our contract liabilities consist of current deferred revenue and other non-current liabilities as reported on the accompanying condensed consolidated balance sheets. Revenue recognized that was included in the contract liability at the beginning of the period was $1.3 million and $1.9 million for the three months ended March 31, 2024 and 2023,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COST OF REVENUE</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4"/>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15,094</w:t>
            </w: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9,701</w:t>
            </w: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w:t>
            </w: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w:t>
            </w: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r>
      <w:tr>
        <w:trPr>
          <w:trHeight w:val="194"/>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recognized $0.2 million and $0.2 million for the three months ended March 31, 2024 and 2023, respectively of reimbursable expenses relating to services provided to Aldridge Pite. As of March 31, 2024, the Company had no payable to Aldridge Pite.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SELLING, GENERAL AND ADMINISTRATIVE EXPENSES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include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0"/>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4"/>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6,030</w:t>
            </w: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r>
      <w:tr>
        <w:trPr>
          <w:trHeight w:val="194"/>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 OTHER INCOME (EXPENSE), 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net consists of the following:</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51911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91125"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34860"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05"/>
        </w:trPr>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24"/>
                <w:szCs w:val="24"/>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15"/>
        </w:trPr>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w:t>
            </w:r>
          </w:p>
        </w:tc>
      </w:tr>
      <w:tr>
        <w:trPr>
          <w:trHeight w:val="404"/>
        </w:trPr>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60" w:space="720"/>
            <w:col w:w="2960"/>
          </w:cols>
          <w:pgMar w:left="320" w:top="121"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recognized an income tax provision of $0.7 million and $1.5 million for the three months ended March 31, 2024 and 2023, respectively. Income tax provision for the three months ended March 31, 2024 was driven primarily by income tax expense on transfer pricing income from India and the United States, no tax benefit on the pretax loss from our Luxembourg operating company and uncertain tax positions.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LOSS PER SHARE</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shareholders by the weighted average number of common shares outstanding for the period. In accordance with ASC 260, penny warrants are included in the calculation of weighted average basic and diluted loss per share for the period that they are classified as equity. For the three months ended March 31, 2024, 1.6 million penny warrants have been included in the calculation of weighted average basic and diluted loss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Diluted net loss per share excludes all dilutive securities because their impact would be anti-dilutive, as described below.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are calculated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0"/>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40" w:type="dxa"/>
            <w:vAlign w:val="bottom"/>
          </w:tcPr>
          <w:p>
            <w:pPr>
              <w:spacing w:after="0"/>
              <w:rPr>
                <w:sz w:val="17"/>
                <w:szCs w:val="17"/>
                <w:color w:val="auto"/>
              </w:rPr>
            </w:pPr>
          </w:p>
        </w:tc>
        <w:tc>
          <w:tcPr>
            <w:tcW w:w="110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4"/>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2"/>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8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2024 and 2023, 2.1 million and 2.9 million, respectively, stock options, restricted shares and restricted share units were excluded from the computation of loss per share, as a result of the following:</w:t>
      </w:r>
    </w:p>
    <w:p>
      <w:pPr>
        <w:spacing w:after="0" w:line="110" w:lineRule="exact"/>
        <w:rPr>
          <w:sz w:val="20"/>
          <w:szCs w:val="20"/>
          <w:color w:val="auto"/>
        </w:rPr>
      </w:pPr>
    </w:p>
    <w:p>
      <w:pPr>
        <w:ind w:left="480" w:hanging="315"/>
        <w:spacing w:after="0" w:line="274"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2024 and 2023, 0.7 million and 1.7 million, respectively, stock options, restricted shares and restricted share units were anti-dilutive and have been excluded from the computation of diluted loss per share because the Company incurred a net loss</w:t>
      </w:r>
    </w:p>
    <w:p>
      <w:pPr>
        <w:spacing w:after="0" w:line="4" w:lineRule="exact"/>
        <w:rPr>
          <w:rFonts w:ascii="Times New Roman" w:cs="Times New Roman" w:eastAsia="Times New Roman" w:hAnsi="Times New Roman"/>
          <w:sz w:val="18"/>
          <w:szCs w:val="18"/>
          <w:color w:val="auto"/>
        </w:rPr>
      </w:pPr>
    </w:p>
    <w:p>
      <w:pPr>
        <w:ind w:left="480" w:hanging="315"/>
        <w:spacing w:after="0" w:line="274"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2024 and 2023, 0.4 million and 0.3 million, respectively, stock options were anti-dilutive and have been excluded from the computation of diluted loss per share because their exercise price was greater than the average market price of our common stock</w:t>
      </w:r>
    </w:p>
    <w:p>
      <w:pPr>
        <w:spacing w:after="0" w:line="4" w:lineRule="exact"/>
        <w:rPr>
          <w:rFonts w:ascii="Times New Roman" w:cs="Times New Roman" w:eastAsia="Times New Roman" w:hAnsi="Times New Roman"/>
          <w:sz w:val="18"/>
          <w:szCs w:val="18"/>
          <w:color w:val="auto"/>
        </w:rPr>
      </w:pPr>
    </w:p>
    <w:p>
      <w:pPr>
        <w:jc w:val="both"/>
        <w:ind w:left="480" w:hanging="315"/>
        <w:spacing w:after="0" w:line="255"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2024 and 2023, 1.0 million and 0.9 million, respectively, stock options, restricted shares and restricted share units, which begin to vest upon the achievement of certain market criteria related to our common stock price, performance criteria and a total shareholder return compared to the market benchmark, that have not yet been met in each period have been excluded from the computation of diluted loss per share.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COMMITMENTS, CONTINGENCIES AND REGULATORY MATTERS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 Related Matters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discussed in Note 2, during the three months ended March 31, 2024, Ocwen was our largest customer, accounting for 45% of our total revenue. Additionally, 7% of our revenue for the three months ended March 31, 2024 was earned on the loan portfolios serviced by Ocwen, when a party other than Ocwen or the MSRs owner selected Altisource as the service provider.</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Ocwen has disclosed that it is subject to a number of ongoing regulatory examinations, orders, inquiries, subpoenas, civil investigative demands, requests for information and other actions and is subject to pending and threatened legal proceedings,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which include claims against Ocwen for substantial monetary damages. Previous regulatory actions against Ocwen have subjected Ocwen to independent oversight of its operations and placed certain restrictions on its ability to acquire servicing rights or proceed with default-related actions on the loans it services. Existing or future similar matters could result in adverse regulatory or other actions against Ocwen. In addition to the above, Ocwen may become subject to future adverse regulatory or other actions.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Ocwen has disclosed that Rithm is one of its largest servicing clients. As of December 31, 2023, Ocwen reported that approximately 16% of loans serviced and subserviced by Ocwen (measured in UPB) and approximately 67% of all delinquent loans that Ocwen services were related to Rithm MSRs or rights to MSRs.</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existence or outcome of Ocwen regulatory matters or the termination of Ocwen’s sub-servicing agreements with Rithm, or other significant Ocwen clients may have significant adverse effects on Ocwen’s business.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it purchases from us or the loss of other customers.</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10"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Ocwen as a customer or there is a significant reduction in the volume of services it purchases from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Rithm changes significantly, including Ocwen’s sub-servicing arrangement with Rithm expiring without renewal, and this change results in a change in our status as a provider of services related to the Subject MSRs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state servicing licenses in states with a significant number of loans in Ocwen’s servicing portfolio</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is subject to stays, moratoriums, suspensions or other restrictions that limit or delay default-related actions on the loans it services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Altisource changes significantly or there are significant changes to our pricing to Ocwen for services from which we generate material revenue</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$0.2 million and $0.1 million for the three months ended March 31, 2024 and 2023, respectively. The amortization periods of right-of-use assets are generally limited by the expected lease term. Our leases generally have expected lease terms at adoption of one to six years.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lease terms and our discount rate assumption were as follows for the three months ended March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8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2"/>
        </w:trPr>
        <w:tc>
          <w:tcPr>
            <w:tcW w:w="8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2"/>
        </w:trPr>
        <w:tc>
          <w:tcPr>
            <w:tcW w:w="9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08"/>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6.39 %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5.84 %</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lease activity during the period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0"/>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4"/>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Pr>
          <w:p>
            <w:pPr>
              <w:spacing w:after="0"/>
              <w:rPr>
                <w:sz w:val="18"/>
                <w:szCs w:val="18"/>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r>
      <w:tr>
        <w:trPr>
          <w:trHeight w:val="214"/>
        </w:trPr>
        <w:tc>
          <w:tcPr>
            <w:tcW w:w="8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used in operating activities for amounts included in the measurement of lease liabilities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(twelve months or less) lease costs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lease liabilities as of March 31, 2024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3"/>
                <w:szCs w:val="13"/>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96"/>
        </w:trPr>
        <w:tc>
          <w:tcPr>
            <w:tcW w:w="9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194"/>
        </w:trPr>
        <w:tc>
          <w:tcPr>
            <w:tcW w:w="9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0" w:type="dxa"/>
            <w:vAlign w:val="bottom"/>
          </w:tcPr>
          <w:p>
            <w:pPr>
              <w:spacing w:after="0"/>
              <w:rPr>
                <w:sz w:val="1"/>
                <w:szCs w:val="1"/>
                <w:color w:val="auto"/>
              </w:rPr>
            </w:pPr>
          </w:p>
        </w:tc>
      </w:tr>
      <w:tr>
        <w:trPr>
          <w:trHeight w:val="210"/>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21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10"/>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9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3,809</w:t>
            </w:r>
          </w:p>
        </w:tc>
        <w:tc>
          <w:tcPr>
            <w:tcW w:w="0" w:type="dxa"/>
            <w:vAlign w:val="bottom"/>
          </w:tcPr>
          <w:p>
            <w:pPr>
              <w:spacing w:after="0"/>
              <w:rPr>
                <w:sz w:val="1"/>
                <w:szCs w:val="1"/>
                <w:color w:val="auto"/>
              </w:rPr>
            </w:pPr>
          </w:p>
        </w:tc>
      </w:tr>
      <w:tr>
        <w:trPr>
          <w:trHeight w:val="212"/>
        </w:trPr>
        <w:tc>
          <w:tcPr>
            <w:tcW w:w="9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194"/>
        </w:trPr>
        <w:tc>
          <w:tcPr>
            <w:tcW w:w="9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 and Other Balances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hold customers’ assets in escrow and other accounts at various financial institutions pending completion of certain real estate activities. These amounts are held in escrow and other accounts for limited periods of time and are not included in the accompanying condensed consolidated balance sheets. Amounts held in escrow and other accounts were $24.9 million and $21.6 million as of March 31, 2024 and December 31, 2023,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REPORTING</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includes interest expense and costs related to corporate functions including executive, infrastructure and certain technology groups, finance, law, compliance, human resources, vendor management, facilities, risk management, and eliminations between reportable segments.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80" w:type="dxa"/>
            <w:vAlign w:val="bottom"/>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1"/>
                <w:szCs w:val="11"/>
                <w:color w:val="auto"/>
              </w:rPr>
            </w:pPr>
          </w:p>
        </w:tc>
        <w:tc>
          <w:tcPr>
            <w:tcW w:w="1140" w:type="dxa"/>
            <w:vAlign w:val="bottom"/>
          </w:tcPr>
          <w:p>
            <w:pPr>
              <w:jc w:val="center"/>
              <w:ind w:right="102"/>
              <w:spacing w:after="0" w:line="128"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94"/>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39,469</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27,165</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12,304</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12,852</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1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0" w:type="dxa"/>
            <w:vAlign w:val="bottom"/>
          </w:tcPr>
          <w:p>
            <w:pPr>
              <w:spacing w:after="0"/>
              <w:rPr>
                <w:sz w:val="1"/>
                <w:szCs w:val="1"/>
                <w:color w:val="auto"/>
              </w:rPr>
            </w:pPr>
          </w:p>
        </w:tc>
      </w:tr>
      <w:tr>
        <w:trPr>
          <w:trHeight w:val="194"/>
        </w:trPr>
        <w:tc>
          <w:tcPr>
            <w:tcW w:w="5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0"/>
                <w:szCs w:val="10"/>
                <w:color w:val="auto"/>
              </w:rPr>
            </w:pPr>
          </w:p>
        </w:tc>
        <w:tc>
          <w:tcPr>
            <w:tcW w:w="13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80" w:type="dxa"/>
            <w:vAlign w:val="bottom"/>
          </w:tcPr>
          <w:p>
            <w:pPr>
              <w:spacing w:after="0"/>
              <w:rPr>
                <w:sz w:val="10"/>
                <w:szCs w:val="10"/>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0"/>
                <w:szCs w:val="10"/>
                <w:color w:val="auto"/>
              </w:rPr>
            </w:pPr>
          </w:p>
        </w:tc>
        <w:tc>
          <w:tcPr>
            <w:tcW w:w="126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0"/>
                <w:szCs w:val="10"/>
                <w:color w:val="auto"/>
              </w:rPr>
            </w:pPr>
          </w:p>
        </w:tc>
        <w:tc>
          <w:tcPr>
            <w:tcW w:w="1140" w:type="dxa"/>
            <w:vAlign w:val="bottom"/>
          </w:tcPr>
          <w:p>
            <w:pPr>
              <w:jc w:val="center"/>
              <w:ind w:right="102"/>
              <w:spacing w:after="0" w:line="12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5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7"/>
                <w:szCs w:val="17"/>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94"/>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39,461</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30,957</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8,504</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12,094</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0" w:type="dxa"/>
            <w:vAlign w:val="bottom"/>
          </w:tcPr>
          <w:p>
            <w:pPr>
              <w:spacing w:after="0"/>
              <w:rPr>
                <w:sz w:val="1"/>
                <w:szCs w:val="1"/>
                <w:color w:val="auto"/>
              </w:rPr>
            </w:pPr>
          </w:p>
        </w:tc>
      </w:tr>
      <w:tr>
        <w:trPr>
          <w:trHeight w:val="21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(7,748)</w:t>
            </w:r>
          </w:p>
        </w:tc>
        <w:tc>
          <w:tcPr>
            <w:tcW w:w="0" w:type="dxa"/>
            <w:vAlign w:val="bottom"/>
          </w:tcPr>
          <w:p>
            <w:pPr>
              <w:spacing w:after="0"/>
              <w:rPr>
                <w:sz w:val="1"/>
                <w:szCs w:val="1"/>
                <w:color w:val="auto"/>
              </w:rPr>
            </w:pPr>
          </w:p>
        </w:tc>
      </w:tr>
      <w:tr>
        <w:trPr>
          <w:trHeight w:val="194"/>
        </w:trPr>
        <w:tc>
          <w:tcPr>
            <w:tcW w:w="5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Total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for our segments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3"/>
                <w:szCs w:val="13"/>
                <w:color w:val="auto"/>
              </w:rPr>
            </w:pPr>
          </w:p>
        </w:tc>
        <w:tc>
          <w:tcPr>
            <w:tcW w:w="114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800" w:type="dxa"/>
            <w:vAlign w:val="bottom"/>
            <w:tcBorders>
              <w:top w:val="single" w:sz="8" w:color="auto"/>
            </w:tcBorders>
          </w:tcPr>
          <w:p>
            <w:pPr>
              <w:spacing w:after="0"/>
              <w:rPr>
                <w:sz w:val="16"/>
                <w:szCs w:val="16"/>
                <w:color w:val="auto"/>
              </w:rPr>
            </w:pPr>
          </w:p>
        </w:tc>
        <w:tc>
          <w:tcPr>
            <w:tcW w:w="4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March 31,</w:t>
            </w:r>
          </w:p>
        </w:tc>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56,428</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49,693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42,747</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148,868</w:t>
            </w:r>
          </w:p>
        </w:tc>
        <w:tc>
          <w:tcPr>
            <w:tcW w:w="0" w:type="dxa"/>
            <w:vAlign w:val="bottom"/>
          </w:tcPr>
          <w:p>
            <w:pPr>
              <w:spacing w:after="0"/>
              <w:rPr>
                <w:sz w:val="1"/>
                <w:szCs w:val="1"/>
                <w:color w:val="auto"/>
              </w:rPr>
            </w:pPr>
          </w:p>
        </w:tc>
      </w:tr>
      <w:tr>
        <w:trPr>
          <w:trHeight w:val="214"/>
        </w:trPr>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December</w:t>
            </w: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31, 2023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154,858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2023 filed with the Securities and Exchange Commission (“SEC”) on March 7,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32"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related to sources of liquidity and the adequacy of financial resources;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grow our business, including executing on our strategic initiatives;</w:t>
      </w:r>
    </w:p>
    <w:p>
      <w:pPr>
        <w:spacing w:after="0" w:line="58" w:lineRule="exact"/>
        <w:rPr>
          <w:rFonts w:ascii="Times New Roman" w:cs="Times New Roman" w:eastAsia="Times New Roman" w:hAnsi="Times New Roman"/>
          <w:sz w:val="18"/>
          <w:szCs w:val="18"/>
          <w:color w:val="auto"/>
        </w:rPr>
      </w:pPr>
    </w:p>
    <w:p>
      <w:pPr>
        <w:ind w:left="640" w:right="20" w:hanging="316"/>
        <w:spacing w:after="0" w:line="268"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improve margins and affect anticipated expense reductions in response to lower revenue due to the impacts of COVID-19 or other factors;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the variable nature of our cost structure that would allow us to realign our cost structure in line with revenue;</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 of seasonality;</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impacts of the COVID-19 pandemic and the timeliness and effectiveness of actions taken in response thereto;</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effective tax rate; and</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reserves and valuations.</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 xml:space="preserve">Important factors that could cause actual results to differ materially from those suggested by the forward-looking statements include, but are not limited to, the risks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of our Form 10-K for the year ended December 31, 2023 as updated by this Form 10-Q including:</w:t>
      </w:r>
    </w:p>
    <w:p>
      <w:pPr>
        <w:spacing w:after="0" w:line="110" w:lineRule="exact"/>
        <w:rPr>
          <w:sz w:val="20"/>
          <w:szCs w:val="20"/>
          <w:color w:val="auto"/>
        </w:rPr>
      </w:pPr>
    </w:p>
    <w:p>
      <w:pPr>
        <w:jc w:val="both"/>
        <w:ind w:left="64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anticipated increase in default related referrals following the expiration of foreclosure and eviction moratoriums, forbearance programs and temporary governmental or servicer loss mitigation requirements, the timing of the expiration of such moratoriums, programs and requirements, and any other delays occasioned by government, investor or servicer actions;</w:t>
      </w:r>
    </w:p>
    <w:p>
      <w:pPr>
        <w:spacing w:after="0" w:line="18" w:lineRule="exact"/>
        <w:rPr>
          <w:rFonts w:ascii="Times New Roman" w:cs="Times New Roman" w:eastAsia="Times New Roman" w:hAnsi="Times New Roman"/>
          <w:sz w:val="18"/>
          <w:szCs w:val="18"/>
          <w:color w:val="auto"/>
        </w:rPr>
      </w:pPr>
    </w:p>
    <w:p>
      <w:pPr>
        <w:ind w:left="640" w:hanging="316"/>
        <w:spacing w:after="0" w:line="268"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Ocwen Financial Corporation (together with its subsidiaries, “Ocwen”) as a customer or our ability to receive the anticipated volume of referrals from Ocwen;</w:t>
      </w:r>
    </w:p>
    <w:p>
      <w:pPr>
        <w:spacing w:after="0" w:line="1" w:lineRule="exact"/>
        <w:rPr>
          <w:rFonts w:ascii="Times New Roman" w:cs="Times New Roman" w:eastAsia="Times New Roman" w:hAnsi="Times New Roman"/>
          <w:sz w:val="18"/>
          <w:szCs w:val="18"/>
          <w:color w:val="auto"/>
        </w:rPr>
      </w:pPr>
    </w:p>
    <w:p>
      <w:pPr>
        <w:ind w:left="640" w:hanging="316"/>
        <w:spacing w:after="0" w:line="268"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Rithm Capital Corp. (individually, together with one or more of its subsidiaries, or one or more of its subsidiaries individually, “Rithm”) (formerly New Residential Investment Corp.) as a customer or our ability to receive the anticipated volume of referrals from Rithm;</w:t>
      </w:r>
    </w:p>
    <w:p>
      <w:pPr>
        <w:spacing w:after="0" w:line="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strategic plan;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expand relationships and attract new customers;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governmental regulations and policies and any changes in such regulations and policies;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launch and gain market acceptance of new solutions or recoup our investments in developing such new solutions;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loan delinquencies and charge-offs;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origination volume;</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incidents, data breaches and cybersecurity risks;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tax regulations and interpretations in the countries, states and local jurisdictions in which we operate;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74"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and uncertainties related to pandemics, epidemics or other force majeure events, including the COVID-19 pandemic, and associated impacts and the duration of such impacts on the economy, supply chain, transportation, movement of people, availability of vendors and demand for our products or services as well as increased costs, recommendations or restrictions imposed by governmental entities, changes in relevant business practices undertaken or imposed by our clients, vendors or regulators, impacts on contracts and client relationships and potential litigation exposure.</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When we refer to “Altisource,” the “Company,” “we,” “us” or “our” we mean Altisource Portfolio Solutions S.A., a Luxembourg société anonyme, or public limited liability company, and its subsidiaries.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Within the Servicer and Real Estate segment we provide:</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98"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Our Solutions business includes property preservation and inspection services, title insurance (as an agent) and settlement services, real estate valuation services, foreclosure trustee services, and residential and commercial construction inspection and risk mitigation services.</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Marketplace</w:t>
      </w:r>
    </w:p>
    <w:p>
      <w:pPr>
        <w:spacing w:after="0" w:line="108"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18"/>
          <w:szCs w:val="18"/>
          <w:color w:val="auto"/>
        </w:rPr>
        <w:t>Our Marketplace business includes the Hubzu</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online real estate auction platform and real estate auction, real estate brokerage and asset management services.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Technology and software-as-a-service (“SaaS”) Products</w:t>
      </w:r>
    </w:p>
    <w:p>
      <w:pPr>
        <w:spacing w:after="0" w:line="108" w:lineRule="exact"/>
        <w:rPr>
          <w:sz w:val="20"/>
          <w:szCs w:val="20"/>
          <w:color w:val="auto"/>
        </w:rPr>
      </w:pPr>
    </w:p>
    <w:p>
      <w:pPr>
        <w:jc w:val="both"/>
        <w:ind w:left="640"/>
        <w:spacing w:after="0" w:line="216" w:lineRule="auto"/>
        <w:rPr>
          <w:sz w:val="20"/>
          <w:szCs w:val="20"/>
          <w:color w:val="auto"/>
        </w:rPr>
      </w:pPr>
      <w:r>
        <w:rPr>
          <w:rFonts w:ascii="Times New Roman" w:cs="Times New Roman" w:eastAsia="Times New Roman" w:hAnsi="Times New Roman"/>
          <w:sz w:val="18"/>
          <w:szCs w:val="18"/>
          <w:color w:val="auto"/>
        </w:rPr>
        <w:t>Our Technology and SaaS Products business includes Equator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SaaS-based technology to manage real estate owned (“REO”), short sales, foreclosure, bankruptcy and eviction processes), Vendorly Invoice (a vendor invoicing and payment system), RentRange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single and multi-family rental data, analytics and rent-based valuation solution), REALSynergy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commercial loan servicing platform), and NestRange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(an automated valuation model and analytics solution).</w:t>
      </w:r>
    </w:p>
    <w:p>
      <w:pPr>
        <w:spacing w:after="0" w:line="13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Within the Origination segment we provide:</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11"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Our Solutions business includes title insurance (as an agent) and settlement services, real estate valuation services, and loan fulfillment, certification and certification insurance services.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Lenders One</w:t>
      </w:r>
    </w:p>
    <w:p>
      <w:pPr>
        <w:spacing w:after="0" w:line="108"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18"/>
          <w:szCs w:val="18"/>
          <w:color w:val="auto"/>
        </w:rPr>
        <w:t>Our Lenders One business includes management services provided to the Best Partners Mortgage Cooperative, Inc., doing business as Lenders 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(“Lenders One”), and certain loan manufacturing and capital markets services provided to the members of the Lenders One cooperative.</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11" w:lineRule="exact"/>
        <w:rPr>
          <w:sz w:val="20"/>
          <w:szCs w:val="20"/>
          <w:color w:val="auto"/>
        </w:rPr>
      </w:pPr>
    </w:p>
    <w:p>
      <w:pPr>
        <w:jc w:val="both"/>
        <w:ind w:left="640"/>
        <w:spacing w:after="0" w:line="238" w:lineRule="auto"/>
        <w:rPr>
          <w:sz w:val="20"/>
          <w:szCs w:val="20"/>
          <w:color w:val="auto"/>
        </w:rPr>
      </w:pPr>
      <w:r>
        <w:rPr>
          <w:rFonts w:ascii="Times New Roman" w:cs="Times New Roman" w:eastAsia="Times New Roman" w:hAnsi="Times New Roman"/>
          <w:sz w:val="18"/>
          <w:szCs w:val="18"/>
          <w:color w:val="auto"/>
        </w:rPr>
        <w:t>Our Technology and SaaS Products business includes Vendorly Monitor (a vendor management platform), Lenders One Loan Automation (“LOLA”) (a marketplace to order services and a tool to automate components of the loan manufacturing process), TrelixAI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(technology to manage the workflow and automate components of the loan fulfillment, pre and post-close quality control and service transfer processes), and ADMS (a document management and data analytics delivery platform).</w:t>
      </w:r>
    </w:p>
    <w:p>
      <w:pPr>
        <w:spacing w:after="0" w:line="13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Core Businesses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continuing unsettled nature of the housing and mortgage servicing markets in the wake of governmental mandates taken in connection with the COVID-19 pandemic and other macro-economic trends, we continue to evaluate our strategy and core businesses and seek to position our businesses to provide long term value to our customers and shareholders.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Servicer and Real Estate:</w:t>
      </w:r>
    </w:p>
    <w:p>
      <w:pPr>
        <w:spacing w:after="0" w:line="1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Through our offerings that support residential real estate and loan investors and forward and reverse servicers, we provide a suite of solutions and technologies intended to meet their growing and evolving needs. We are focused on growing referrals from our existing customer base and attracting new customers to our offerings. We have a customer base that includes government-sponsored enterprises (“GSEs”), asset managers, and several large bank and non-bank servicers including Ocwen and Rithm. We believe we are one of only a few providers with a broad suite of solutions, nationwide coverage and scalability. Further, we believe we are well positioned to gain market share from existing and new customers if they consolidate to larger, full-service providers or outsource services that have historically been performed in-house.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which includes independent mortgage bankers, credit unions, and banks, as well as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Impacts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Actions taken by federal, state and local governments, GSEs and mortgage servicers in connection with the COVID-19 pandemic continue to have a profound impact on our business, our customers, and the industries in which we operate. Despite the expiration of certain such measures, we believe servicers are proceeding slowly with foreclosure initiations for borrowers in default and foreclosure initiations may not convert to foreclosure sales and REO at the same pace as prior to the pandemic due to improved home equity and borrower relief options. The decline in foreclosure initiations and foreclosure sales throughout the pandemic, partially offset by the restart of the default market, significantly decreased default related referrals to Altisource and continues to negatively impact virtually all of Altisource’s default related services revenue.</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cannot predict whether the default market will return to a pre-pandemic operating environment, we believe the demand for our Default business will grow. We estimate that in today’s environment it typically takes on average two years to convert foreclosure initiations to foreclosure sales and six months to market and sell the REO. The foreclosure timelines could vary significantly based upon, for example, upon the state where the property is located and whether the foreclosure is contested. The REO sale timelines could also vary significantly based upon, for example, the local real estate market, whether the home is located in a redemption state and whether the home is occupied post foreclosure.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2023 and the three months ended March 31, 2024, to address lower revenue, we worked to (1) reduce our cost structure, (2) maintain the infrastructure to deliver default related services for our customer base and support the anticipated increase in demand following the expiration of the moratoriums and forbearance plans and CFPB’s rules on temporary loss mitigation measures, and (3) add new Lenders One members, launch new solutions and increase customer adoption of our solutions to accelerate the growth of our origination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March 31, 2024, approximately 3.1 million shares of common stock remain available for repurchase under the program. There were no purchases of shares of common stock during the three months ended March 31, 2024 and 2023. Luxembourg law limits share repurchases to the balance of Altisource Portfolio Solutions S.A. (unconsolidated parent company) retained earnings, less the value of shares repurchased. As of March 31, 2024, we can repurchase up to approximately $115 million of our common stock under Luxembourg law. Under the Amended Credit Agreement, we are not permitted to repurchase shares except for limited circumstances.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 Related Matters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2024, Ocwen was our largest customer, accounting for 45% of our total revenue. Additionally, 7% of our revenue for the three months ended March 31, 2024 was earned on the loan portfolios serviced by Ocwen, when a party other than Ocwen or the mortgage servicing rights (“MSRs”) owner selected Altisource as the service provider.</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Ocwen has disclosed that it is subject to a number of ongoing regulatory examinations,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or proceed with default-related actions on the loans it services. Existing or future similar matters could result in adverse regulatory or other actions against Ocwen. In addition to the above, Ocwen may become subject to future adverse regulatory or other actions.</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Ocwen has disclosed that Rithm is one of its largest servicing clients. As of December 31, 2023, Ocwen reported that approximately 16% of loans serviced and subserviced by Ocwen (measured in UPB) and approximately 67% of all delinquent loans that Ocwen services were related to Rithm MSRs or rights to MSRs.</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existence or outcome of Ocwen regulatory matters or the termination of Ocwen’s sub-servicing agreements with Rithm or other significant Ocwen clients may have significant adverse effects on Ocwen’s business. For example, Ocwen may be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it purchases from us or the loss of other customers.</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10"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Ocwen as a customer or there is a significant reduction in the volume of services it purchases from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Rithm changes significantly, including Ocwen’s sub-servicing arrangement with Rithm expiring without renewal, and this change results in a change in our status as a provider of services related to the Subject MSRs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state servicing licenses in states with a significant number of loans in Ocwen’s servicing portfolio</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is subject to stays, moratoriums, suspensions or other restrictions that limit or delay default-related actions on the loans it services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Altisource changes significantly or there are significant changes to our pricing to Ocwen for services from which we generate material revenue</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 and/or there is a reduction in referral volumes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 We are seeking to diversify and grow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 the comparability of our results:</w:t>
      </w:r>
    </w:p>
    <w:p>
      <w:pPr>
        <w:spacing w:after="0" w:line="111" w:lineRule="exact"/>
        <w:rPr>
          <w:sz w:val="20"/>
          <w:szCs w:val="20"/>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initiations were 5% lower for January and February of 2024 compared to the same period in 2023 (and 35% lower than the same pre-COVID-19 period in 2019)</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sales were 11% lower for January and February of 2024 compared to the same period in 2023 (and 52% lower than the same pre-COVID-19 period in 2019)</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Company’s senior secured term loans was 14.20% for the three months ended March 31, 2024 compared to 8.73% for the same period in 2023</w:t>
      </w:r>
    </w:p>
    <w:p>
      <w:pPr>
        <w:spacing w:after="0" w:line="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14, 2023, Altisource Portfolio Solutions S.A. and its wholly-owned subsidiary, Altisource S.à r.l., entered into Amendment No. 2 to the Credit Agreement. In connection with Amendment No. 2, the Company paid $3.4 million for the three months ended March 31, 2023, to advisors and recorded these payments as other expense in the condensed consolidated statements of operations and comprehensive loss (no comparative amount for the three months ended March 31, 2024)</w:t>
      </w:r>
    </w:p>
    <w:p>
      <w:pPr>
        <w:spacing w:after="0" w:line="2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an income tax provision of $0.7 million and $1.5 million for the three months ended March 31, 2024 and 2023, respectively. The income tax provision for the three months ended March 31, 2024 was driven primarily by income tax expense on transfer pricing income from India and the United States, no tax benefit on the pretax loss from our Luxembourg operating company and uncertain tax positions.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Results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Times New Roman" w:cs="Times New Roman" w:eastAsia="Times New Roman" w:hAnsi="Times New Roman"/>
          <w:sz w:val="18"/>
          <w:szCs w:val="18"/>
          <w:i w:val="1"/>
          <w:iCs w:val="1"/>
          <w:color w:val="auto"/>
        </w:rPr>
        <w:t>Segment Results of Operations</w:t>
      </w:r>
      <w:r>
        <w:rPr>
          <w:rFonts w:ascii="Times New Roman" w:cs="Times New Roman" w:eastAsia="Times New Roman" w:hAnsi="Times New Roman"/>
          <w:sz w:val="18"/>
          <w:szCs w:val="18"/>
          <w:color w:val="auto"/>
        </w:rPr>
        <w:t>”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our consolidated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6"/>
          </w:tcPr>
          <w:p>
            <w:pPr>
              <w:ind w:left="10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5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Increase (decrease)</w:t>
            </w:r>
          </w:p>
        </w:tc>
        <w:tc>
          <w:tcPr>
            <w:tcW w:w="0" w:type="dxa"/>
            <w:vAlign w:val="bottom"/>
          </w:tcPr>
          <w:p>
            <w:pPr>
              <w:spacing w:after="0"/>
              <w:rPr>
                <w:sz w:val="1"/>
                <w:szCs w:val="1"/>
                <w:color w:val="auto"/>
              </w:rPr>
            </w:pPr>
          </w:p>
        </w:tc>
      </w:tr>
      <w:tr>
        <w:trPr>
          <w:trHeight w:val="195"/>
        </w:trPr>
        <w:tc>
          <w:tcPr>
            <w:tcW w:w="6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29,081</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29,761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4"/>
        </w:trPr>
        <w:tc>
          <w:tcPr>
            <w:tcW w:w="6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Origination</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7,810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7,310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6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service revenue</w:t>
            </w:r>
          </w:p>
        </w:tc>
        <w:tc>
          <w:tcPr>
            <w:tcW w:w="360" w:type="dxa"/>
            <w:vAlign w:val="bottom"/>
          </w:tcPr>
          <w:p>
            <w:pPr>
              <w:spacing w:after="0"/>
              <w:rPr>
                <w:sz w:val="17"/>
                <w:szCs w:val="17"/>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36,891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37,071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4"/>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7"/>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39,469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39,461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27,165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30,957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12,304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8,504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12,852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12,094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7"/>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(9,529)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(6,760)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0"/>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4"/>
        </w:trPr>
        <w:tc>
          <w:tcPr>
            <w:tcW w:w="6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amendment costs</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(3,242)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1,560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7"/>
        </w:trPr>
        <w:tc>
          <w:tcPr>
            <w:tcW w:w="6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(7,887)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(7,748)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before income taxes and non-controlling interests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(8,435)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(11,338)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94"/>
        </w:trPr>
        <w:tc>
          <w:tcPr>
            <w:tcW w:w="6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(9,157)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(12,867)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2"/>
        </w:trPr>
        <w:tc>
          <w:tcPr>
            <w:tcW w:w="6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94"/>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(9,198)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(12,947)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Gross profit / service revenue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operations / service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28,181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18,442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28,181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18,442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recognized service revenue of $36.9 million for the three months ended March 31, 2024, a less than 1% decrease compared to the three months ended March 31, 2023. The decrease is primarily driven by higher revenue in the Origination segment largely offset by lower revenue in the Servicer and Real Estate segment. Revenue was higher in the Origination segment from Lenders One growth driven by our newer reseller products and the overall market increase in mortgage originations. Revenue was lower in the Servicer and Real Estate segment from $0.8 million of first quarter 2023 non-recurring professional services revenue in the Equator business within the Technology and SaaS Products business and fewer home sales in the Marketplace business, partially offset by growth in our foreclosure trustee business in the Solutions business.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reimbursable expense revenue of $2.5 million for the three months ended March 31, 2024, a 10% increase compared to the three months ended March 31, 2023. The increase in reimbursable expenses was primarily driven by higher-value REO title related expenses in connection the default title business in the Solutions business within the Servicer and Real Estate segment partially offset by a decrease in property preservation services in the Solutions business within the Servicer and Real Estate segment.</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COVID-19 pandemic and related measures and the rapid rise in mortgage interest rates, the seasonal impact to revenue may not follow historical patterns.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5"/>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recognized cost of revenue of $27.2 million for the three months ended March 31, 2024, a 12% decrease compared to the three months ended March 31, 2023. Compensation and benefits for the three months ended March 31, 2024 decreased primarily due to efficiency initiatives and cost savings measures taken in 2023. Outside fees and services for the three months ended March 31, 2024 decreased primarily from lower Field Services revenue in the Solutions business within the Servicer and Real Estate segment. Technology and telecommunications for the three months ended March 31, 2024 decreased primarily due to lower overall headcount. In addition, changes in reimbursable expenses for the three months ended March 31, 2024 are consistent with the changes in reimbursable expense revenue discussed in the revenue section above.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increased to $12.3 million, representing 33% of service revenue, for the three months ended March 31, 2024 compared to $8.5 million, representing 23% of service revenue, for the three months ended March 31, 2023. Gross profit as a percentage of service revenue for the three months ended March 31, 2024 increased compared to the three months ended March 31, 2023 primarily due to margin expansion in both the Servicer and Real Estate segment and the Origination segment from efficiency initiatives and lower corporate costs as a percentage of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Selling, general and administrative (“SG&amp;A”) expenses includes payroll for personnel employed in executive, sales and marketing, finance, technology, law, compliance, audit, human resources, vendor management, facilities and risk management roles. This category also includes professional services fees, occupancy costs, marketing costs, depreciation and amortization of non-operating assets and other expenses.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SG&amp;A expenses for the three months ended March 31, 2024 of $12.9 million increased by 6% compared to the three months ended March 31, 2023. The increase for the three months ended March 31, 2024 was primarily driven by higher professional services and other expenses partially offset by lower occupancy related costs. Professional services for the three months ended March 31, 2024 increased primarily due to accruals for potential settlements of certain legacy indemnity claims and estimated legal matters. Other expenses increased due to the reversal of bad debt expense from collection of aged receivables in the first quarter of 2023. Occupancy related costs and compensation and benefits decreased from efficiency and cost reductions measures.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Loss from operations for the three months ended March 31, 2024 was $(0.5) million, representing (1)% of service revenue, compared to $(3.6) million, representing (10)% of service revenue, for the three months ended March 31, 2023. Loss from operations as a percentage of service revenue improved for the three months ended March 31, 2024 compared to the three months ended March 31, 2023, primarily as a result of higher gross profit margins.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Other income (expense), net was $(7.9) million for the three months ended March 31, 2024 compared to $(7.7) million for the three months ended March 31, 2023. The change for the three months ended March 31, 2024 was primarily driven by higher interest expense and a gain on the change in fair value of the warrant liability for the three months ended March 31, 2023 (no comparable amount for the three months ended March 31, 2024), largely offset by lower debt amendment costs. The higher interest expense was driven by higher interest rates on our amended SSTL and higher amortization of debt discount and debt issuance and amendment costs.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recognized an income tax provision of $0.7 million and $1.5 million for the three months ended March 31, 2024 and 2023, respectively. The income tax provision was driven primarily by income tax expense on transfer pricing income from India and the United States, no tax benefit on the pretax loss from our Luxembourg operating company and uncertain tax positions.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1"/>
                <w:szCs w:val="11"/>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200" w:type="dxa"/>
            <w:vAlign w:val="bottom"/>
          </w:tcPr>
          <w:p>
            <w:pPr>
              <w:spacing w:after="0"/>
              <w:rPr>
                <w:sz w:val="11"/>
                <w:szCs w:val="11"/>
                <w:color w:val="auto"/>
              </w:rPr>
            </w:pPr>
          </w:p>
        </w:tc>
        <w:tc>
          <w:tcPr>
            <w:tcW w:w="1220" w:type="dxa"/>
            <w:vAlign w:val="bottom"/>
          </w:tcPr>
          <w:p>
            <w:pPr>
              <w:jc w:val="center"/>
              <w:ind w:right="122"/>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4"/>
        </w:trPr>
        <w:tc>
          <w:tcPr>
            <w:tcW w:w="5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6"/>
                <w:szCs w:val="16"/>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29,081</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7,810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36,891</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2,537</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31,502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7,967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39,469</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19,132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6,133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27,165</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12,370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12,304</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1,959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7,795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12,852</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(7,887)</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(8,435)</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0"/>
                <w:szCs w:val="10"/>
                <w:color w:val="auto"/>
              </w:rPr>
            </w:pPr>
          </w:p>
        </w:tc>
        <w:tc>
          <w:tcPr>
            <w:tcW w:w="13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200" w:type="dxa"/>
            <w:vAlign w:val="bottom"/>
          </w:tcPr>
          <w:p>
            <w:pPr>
              <w:spacing w:after="0"/>
              <w:rPr>
                <w:sz w:val="10"/>
                <w:szCs w:val="10"/>
                <w:color w:val="auto"/>
              </w:rPr>
            </w:pPr>
          </w:p>
        </w:tc>
        <w:tc>
          <w:tcPr>
            <w:tcW w:w="1220" w:type="dxa"/>
            <w:vAlign w:val="bottom"/>
          </w:tcPr>
          <w:p>
            <w:pPr>
              <w:jc w:val="center"/>
              <w:ind w:right="122"/>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29,761</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7,310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37,071</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2,310</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31,945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7,516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39,461</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19,725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7,454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30,957</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12,220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8,504</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2,301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1,726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8,067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12,094</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9,919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(1,664)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(3,590)</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(7,748)</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9,919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(1,664)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(11,338)</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Servicer and Real Estate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line of business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0"/>
                <w:szCs w:val="20"/>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0"/>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19,258</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4"/>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0"/>
        </w:trPr>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7"/>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service 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0"/>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4"/>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4"/>
        </w:trPr>
        <w:tc>
          <w:tcPr>
            <w:tcW w:w="6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2"/>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31,945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recognized service revenue of $29.1 million for the three months ended March 31, 2024, a 2% decrease compared to the three months ended March 31, 2023. We also recognized reimbursable expense revenue of $2.4 million for the three months ended March 31, 2024, a 11% increase compared to the three months ended March 31, 2023. The decrease in service revenue for the three months ended March 31, 2024 was driven by $0.8 million of first quarter 2023 non-recurring professional services revenue in the Equator business within the Technology and SaaS Products business and fewer home sales in the Marketplace business, partially offset by growth in our foreclosure trustee business in the Solutions business.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COVID-19 pandemic and related measures and the rapid rise in mortgage interest rates the seasonal impact to revenue may not follow historical patterns.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0"/>
                <w:szCs w:val="20"/>
                <w:color w:val="auto"/>
              </w:rPr>
            </w:pPr>
          </w:p>
        </w:tc>
        <w:tc>
          <w:tcPr>
            <w:tcW w:w="10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5"/>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7"/>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for the three months ended March 31, 2024 of $19.1 million decreased by 3% compared to the three months ended March 31, 2023. The decrease in cost of revenue for the three months ended March 31, 2024 is primarily driven by lower outside fees and services primarily in Field Services in the Solutions business and lower compensation and benefits from efficiency initiatives.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Gross profit increased to $12.4 million, representing 43% of service revenue, for the three months ended March 31, 2024 compared to $12.2 million, representing 41% of service revenue, for the three months ended March 31, 2023. Gross profit as a percentage of service revenue for the three months ended March 31, 2024 increased primarily due to price increases for certain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and efficiency initiatives and cost savings measures. Our margins can vary substantially depending upon the service revenue mix.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0"/>
                <w:szCs w:val="20"/>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7"/>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SG&amp;A for the three months ended March 31, 2024 of $3.1 million increased by 35% compared to the three months ended March 31, 2023. The increase in SG&amp;A for the three months ended March 31, 2024 is primarily due to higher professional services and other expenses, partially offset by lower compensation and benefits. Professional services for the three months ended March 31, 2024 increased primarily due to accruals for potential settlements of certain legacy indemnity claims. Other expenses increased due to the reversal of bad debt expense from collection of aged receivables in the first quarter of 2023. Compensation and benefits decreased from efficiency and cost reduction measures.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Income from operations decreased to $9.3 million, representing 32% of service revenue, for the three months ended March 31, 2024 compared to $9.9 million, representing 33% of service revenue, for the three months ended March 31, 2023. The decrease in operating income as a percentage of service revenue for the three months ended March 31, 2024 is primarily the result of higher SG&amp;A expenses, partially offset by higher gross profit margins.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business unit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0"/>
                <w:szCs w:val="20"/>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5"/>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0"/>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Lenders One</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6,473</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4"/>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0"/>
        </w:trPr>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7"/>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service 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2"/>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0"/>
        </w:trPr>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7"/>
        </w:trPr>
        <w:tc>
          <w:tcPr>
            <w:tcW w:w="6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recognized service revenue of $7.8 million for the three months ended March 31, 2024, a 7% increase compared to the three months ended March 31, 2023. We also recognized reimbursable expense revenue of $0.1 million for the three months ended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March 31, 2024, a 8% decrease compared to the three months ended March 31, 2023. The increase in service revenue in the Origination segment for the three months ended March 31, 2024 is primarily driven by Lenders One growth with our new reseller products and the market increase in mortgage originations. The decline in the Solutions business revenue was driven by a lower volume of outsourced fulfillment services.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0"/>
                <w:szCs w:val="20"/>
                <w:color w:val="auto"/>
              </w:rPr>
            </w:pPr>
          </w:p>
        </w:tc>
        <w:tc>
          <w:tcPr>
            <w:tcW w:w="10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7"/>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for the three months ended March 31, 2024 of $6.1 million decreased by 18% compared to the three months ended March 31, 2023. The decrease in cost of revenue in the Solutions business for the three months ended March 31, 2024 was primarily driven by the prior year alignment of compensation and benefits with lower origination volume.</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Gross profit increased to $1.8 million, representing 23% of service revenue, for the three months ended March 31, 2024 compared to $0.1 million, representing 1% of service revenue, for the three months ended March 31, 2023. Gross profit as a percentage of service revenue for the three months ended March 31, 2024 increased from revenue growth and efficiency initiatives and cost savings measures.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0"/>
                <w:szCs w:val="20"/>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5"/>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194"/>
        </w:trPr>
        <w:tc>
          <w:tcPr>
            <w:tcW w:w="6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2"/>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SG&amp;A for the three months ended March 31, 2024 of $2.0 million increased by 13% compared to the three months ended March 31, 2023. The increase in SG&amp;A for the three months ended March 31, 2024 is primarily due to higher other expenses from the first quarter 2023 reversal of bad debt expense from collection of aged receivables partially offset by lower compensation and benefits from efficiency and cost reduction measures.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Loss from operations decreased to $(0.1) million, representing (2)% of service revenue, for the three months ended March 31, 2024 compared to $(1.7) million, representing (23)% of service revenue, for the three months ended March 31, 2023. The improvement in operating loss as a percentage of service revenue for the three months ended March 31, 2024 is primarily from higher gross profit margins.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0"/>
                <w:szCs w:val="20"/>
                <w:color w:val="auto"/>
              </w:rPr>
            </w:pPr>
          </w:p>
        </w:tc>
        <w:tc>
          <w:tcPr>
            <w:tcW w:w="10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7"/>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for the three months ended March 31, 2024 of $1.9 million decreased by 50% compared to the three months ended March 31, 2023. The decrease in cost of revenue for the three months ended March 31, 2024 is primarily driven by lower compensation and benefits and technology and telecommunications due to efficiency initiatives and cost savings initiatives.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SG&amp;A in Corporate and Others include costs related to the corporate functions including executive, finance, technology, law, compliance, human resources, vendor management, facilities, risk management and eliminations between reportable segments.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0"/>
                <w:szCs w:val="20"/>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5"/>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194"/>
        </w:trPr>
        <w:tc>
          <w:tcPr>
            <w:tcW w:w="6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2"/>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SG&amp;A for the three months ended March 31, 2024 of $7.8 million decreased by 3% compared to the three months ended March 31, 2023. The decrease for the three months ended March 31, 2024 is primarily driven by lower occupancy related costs partially offset by higher professional services. The decrease for the three months ended March 31, 2024 in occupancy related costs was driven by efficiency initiatives and cost savings measures. Professional services for the three months ended March 31, 2024 increased primarily due to accruals for estimated legal matters.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Other income (expense), net was $(7.9) million for the three months ended March 31, 2024 compared to $(7.7) million for the three months ended March 31, 2023. The change for the three months ended March 31, 2024 was primarily driven by higher interest expense and a gain on the change in fair value of the warrant liability for the three months ended March 31, 2023 (no comparable amount for the three months ended March 31, 2024), largely offset by lower debt amendment costs. The higher interest expense was driven by higher interest rates on our amended SSTL and higher amortization of debt discount and debt issuance and amendment costs.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primary source of liquidity has historically been cash flow from operations, cash proceeds from sales of businesses, cash proceeds from the sale of equity securities and cash on hand. However, due to governmental and market responses to the COVID-19 pandemic, revenue has declined significantly compared to pre-pandemic levels. The lower revenue, partially offset by efficiency initiatives and cost savings measures, resulted in negative operating cash flow from operations for the three months ended March 31, 2024 and 2023. We believe our anticipated revenue growth from the return of the default market, on-boarding sales wins, and revenue mix together with our reduced cost structure, should help reduce negative operating cash flow. 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We also use cash for repayments of our long-term debt and capital investments. In addition, from time to time we consider and evaluate business acquisitions, dispositions, closures, sales of equity securities or other similar actions that are aligned with our strategy.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2018, Altisource Portfolio Solutions S.A. and its wholly-owned subsidiary, Altisource S.à r.l., entered into a credit agreement with Morgan Stanley Senior Funding, Inc., as administrative agent and collateral agent, and certain lenders (the “Credit Agreement”). Under the Credit Agreement, Altisource borrowed $412 million in the form of senior secured term loans (“SSTL”). Effective February 14, 2023, Altisource Portfolio Solutions S.A. and Altisource S.à r.l. entered into Amendment No. 2 to the Credit Agreement (as amended by Amendment No. 2, the “Amended Credit Agreement”). Altisource Portfolio Solutions S.A. and its subsidiaries, subject to the applicable exclusions in the Amended Credit Agreement, are guarantors on the SSTL (collectively, the “Guarantors”). Effective June 1, 2023, the administrative agent and collateral agent of the Amended Credit Agreement changed to Wilmington Trust, N.A.</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maturity date of the Amended Credit Agreement is April 30, 2025. Since Aggregate Paydowns under the Amended Credit Agreement were equal to or greater than $30 million, the maturity date of the SSTL may be extended at the Company’s option to April 30, 2026 (subject to the representations and warranties being true and correct as of such date and there being no default or event of default being in existence as of such date). Such extension is conditioned upon the Company’s payment of a 2% payment-in-kind extension fee on or before April 30, 2025.</w:t>
      </w:r>
    </w:p>
    <w:p>
      <w:pPr>
        <w:spacing w:after="0" w:line="1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amounts outstanding under the SSTL become due on the earlier of (i) the maturity date, and (ii) the date on which the loans are declared to be due and owing by the administrative agent at the request (or with the consent) of the Required Lenders (as defined in the Amended Credit Agreement; other capitalized terms, unless defined herein, are defined in the Amended Credit Agreement) or as otherwise provided in the Amended Credit Agreement upon the occurrence of any event of default. There are no mandatory repayments of the SSTL, except as set forth herein, until the April 30, 2025 maturity when the balance is due. If the maturity date is extended to April 30, 2026, the Company is required to make mandatory repayments of $5.2 million in the first quarter of 2026 with the remaining balance due at the April 2026 maturity.</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SSTL is subject to mandatory prepayment upon issuances of debt, certain casualty and condemnation events and sales of assets, as well as from 50% of Consolidated Excess Cash Flow, as calculated in accordance with the provisions of the Amended Credit Agreement.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Altisource may incur incremental indebtedness under the Amended Credit Agreement from one or more incremental lenders, which may include existing lenders, in an aggregate incremental principal amount not to exceed $50 million, subject to certain conditions set forth in the Amended Credit Agreement. The lenders have no obligation to provide any incremental indebtedness.</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Through March 29, 2023, the SSTL’s interest rate was the Adjusted Eurodollar Rate plus 4.00%. Beginning March 30, 2023, the SSTL bears interest at rates based upon, at our option, the Secured Overnight Financing Rate (“SOFR”) or the Base Rate, as defined in the Amended Credit Agreement. SOFR-based term loans bear interest at a rate per annum equal to SOFR plus 5.00% payable in cash plus a payable in kind (“PIK”) component. Base Rate-based term loans bear interest at a rate per annum equal to the Base Rate plus 4.00% payable in cash plus a PIK component. The PIK component of the interest rate was subject to adjustment based on the amount of Aggregate Paydowns. Since Aggregate Paydowns were $20 million in the first quarter of 2023 and an additional $10 million in the third quarter of 2023, the PIK component was 4.50% for the period March 30, 2023 through June 30, 2023 and 3.75% for periods thereafter. The interest rate as of March 31, 2024, including the PIK component, was 14.20%.</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If, as of the end of any calendar quarter, (i) the amount of unencumbered cash and cash equivalents of Altisource S.à r.l. and its direct and indirect subsidiaries on a consolidated basis plus (ii) the undrawn commitment amount under the Revolver is, or is forecast as of the end of the immediately subsequent calendar quarter to be, less than $35 million, then up to 2.00% in interest otherwise payable in cash in the following quarter may be paid in kind at the Company’s election.</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payment of all amounts owing by Altisource under the Amended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Amended Credit Agreement includes covenants that restrict or limit, among other things, our ability, subject to certain exceptions and baskets, to incur additional debt, pay dividends and repurchase shares of our common stock. Under the Amended Credit Agreement, we are not permitted to repurchase shares except for limited circumstances. In the event we require additional liquidity, our ability to obtain it may be limited by the Amended 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outstanding principal balance of the SSTL was $226.2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a related party, STS Master Fund, Ltd. (“STS”) (the “Revolver”). STS is an investment fund managed by Deer Park. Deer Park owns approximately 16% of Altisource’s common stock as of March 31, 2024 and owns Altisource debt as a lender under the Amended Credit Agreement. An employee of Deer Park is a member of Altisource’s Board of Directors.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Revolver was amended effective February 14, 2023 (the “Amended Revolver”). Under the terms of the Amended Revolver, STS will make loans to Altisource from time to time, in amounts requested by Altisource and Altisource may voluntarily prepay all or any portion of the outstanding loans at any time. The Amended Revolver provides Altisource the ability to borrow a maximum amount of $15.0 million. Amounts that are repaid may be re-borrowed in accordance with the limitations set forth below.</w:t>
      </w:r>
    </w:p>
    <w:p>
      <w:pPr>
        <w:spacing w:after="0" w:line="12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maturity date of the Amended Revolver coincides with the maturity date of the SSTL under the Amended Credit Agreement, as it may be extended. The outstanding balance on the Amended Revolver is due and payable on such maturity date.</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Amended Revolver bear interest of 10.00% per annum in cash and 3.00% per annum PIK and are payable quarterly on the last business day of each March, June, September and December. In connection with the Amended Revolver, Altisource is required to pay a usage fee equal to $0.75 million at the initial extension of credit pursuant to the Amended Revolver.</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obligations under the Amended Revolver are secured by a first-priority lien on substantially all of the assets of the Company, which lien will be pari passu with liens securing the SSTL under the Amended Credit Agreement.</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Amended Revolver contains additional representations, warranties, covenants, terms and conditions customary for transactions of this type, that restrict or limit, among other things, our ability to use the proceeds of credit only for general corporate purposes.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31, 2024, there was no outstanding debt under the Amended Revolver, and since amending the Revolver, the Company has not borrowed any amount under the Amended Revolver.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three months ended March 31: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5"/>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8"/>
              </w:rPr>
              <w:t>(3,058)</w:t>
            </w:r>
          </w:p>
        </w:tc>
        <w:tc>
          <w:tcPr>
            <w:tcW w:w="1540" w:type="dxa"/>
            <w:vAlign w:val="bottom"/>
            <w:gridSpan w:val="2"/>
            <w:shd w:val="clear" w:color="auto" w:fill="CCEEFF"/>
          </w:tcPr>
          <w:p>
            <w:pPr>
              <w:jc w:val="center"/>
              <w:ind w:left="1161"/>
              <w:spacing w:after="0"/>
              <w:rPr>
                <w:sz w:val="20"/>
                <w:szCs w:val="20"/>
                <w:color w:val="auto"/>
              </w:rPr>
            </w:pPr>
            <w:r>
              <w:rPr>
                <w:rFonts w:ascii="Times New Roman" w:cs="Times New Roman" w:eastAsia="Times New Roman" w:hAnsi="Times New Roman"/>
                <w:sz w:val="16"/>
                <w:szCs w:val="16"/>
                <w:color w:val="auto"/>
                <w:w w:val="97"/>
              </w:rPr>
              <w:t>(27)</w:t>
            </w:r>
          </w:p>
        </w:tc>
      </w:tr>
      <w:tr>
        <w:trPr>
          <w:trHeight w:val="21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w w:val="98"/>
              </w:rPr>
              <w:t>(4,887)</w:t>
            </w:r>
          </w:p>
        </w:tc>
        <w:tc>
          <w:tcPr>
            <w:tcW w:w="1540" w:type="dxa"/>
            <w:vAlign w:val="bottom"/>
            <w:tcBorders>
              <w:bottom w:val="single" w:sz="8" w:color="CCEEFF"/>
            </w:tcBorders>
            <w:gridSpan w:val="2"/>
          </w:tcPr>
          <w:p>
            <w:pPr>
              <w:jc w:val="center"/>
              <w:ind w:left="1181"/>
              <w:spacing w:after="0"/>
              <w:rPr>
                <w:sz w:val="20"/>
                <w:szCs w:val="20"/>
                <w:color w:val="auto"/>
              </w:rPr>
            </w:pPr>
            <w:r>
              <w:rPr>
                <w:rFonts w:ascii="Times New Roman" w:cs="Times New Roman" w:eastAsia="Times New Roman" w:hAnsi="Times New Roman"/>
                <w:sz w:val="16"/>
                <w:szCs w:val="16"/>
                <w:color w:val="auto"/>
                <w:w w:val="99"/>
              </w:rPr>
              <w:t>86</w:t>
            </w:r>
          </w:p>
        </w:tc>
      </w:tr>
      <w:tr>
        <w:trPr>
          <w:trHeight w:val="207"/>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8"/>
              </w:rPr>
              <w:t>(7,945)</w:t>
            </w:r>
          </w:p>
        </w:tc>
        <w:tc>
          <w:tcPr>
            <w:tcW w:w="1540" w:type="dxa"/>
            <w:vAlign w:val="bottom"/>
            <w:gridSpan w:val="2"/>
            <w:shd w:val="clear" w:color="auto" w:fill="CCEEFF"/>
          </w:tcPr>
          <w:p>
            <w:pPr>
              <w:jc w:val="center"/>
              <w:ind w:left="1161"/>
              <w:spacing w:after="0"/>
              <w:rPr>
                <w:sz w:val="20"/>
                <w:szCs w:val="20"/>
                <w:color w:val="auto"/>
              </w:rPr>
            </w:pPr>
            <w:r>
              <w:rPr>
                <w:rFonts w:ascii="Times New Roman" w:cs="Times New Roman" w:eastAsia="Times New Roman" w:hAnsi="Times New Roman"/>
                <w:sz w:val="16"/>
                <w:szCs w:val="16"/>
                <w:color w:val="auto"/>
                <w:w w:val="97"/>
              </w:rPr>
              <w:t>(63)</w:t>
            </w:r>
          </w:p>
        </w:tc>
      </w:tr>
      <w:tr>
        <w:trPr>
          <w:trHeight w:val="21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54,273</w:t>
            </w:r>
          </w:p>
        </w:tc>
        <w:tc>
          <w:tcPr>
            <w:tcW w:w="1540" w:type="dxa"/>
            <w:vAlign w:val="bottom"/>
            <w:tcBorders>
              <w:bottom w:val="single" w:sz="8" w:color="CCEEFF"/>
            </w:tcBorders>
            <w:gridSpan w:val="2"/>
          </w:tcPr>
          <w:p>
            <w:pPr>
              <w:jc w:val="center"/>
              <w:ind w:left="1161"/>
              <w:spacing w:after="0"/>
              <w:rPr>
                <w:sz w:val="20"/>
                <w:szCs w:val="20"/>
                <w:color w:val="auto"/>
              </w:rPr>
            </w:pPr>
            <w:r>
              <w:rPr>
                <w:rFonts w:ascii="Times New Roman" w:cs="Times New Roman" w:eastAsia="Times New Roman" w:hAnsi="Times New Roman"/>
                <w:sz w:val="16"/>
                <w:szCs w:val="16"/>
                <w:color w:val="auto"/>
                <w:w w:val="97"/>
              </w:rPr>
              <w:t>(35)</w:t>
            </w:r>
          </w:p>
        </w:tc>
      </w:tr>
      <w:tr>
        <w:trPr>
          <w:trHeight w:val="194"/>
        </w:trPr>
        <w:tc>
          <w:tcPr>
            <w:tcW w:w="6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2"/>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46,328</w:t>
            </w:r>
          </w:p>
        </w:tc>
        <w:tc>
          <w:tcPr>
            <w:tcW w:w="1540" w:type="dxa"/>
            <w:vAlign w:val="bottom"/>
            <w:gridSpan w:val="2"/>
          </w:tcPr>
          <w:p>
            <w:pPr>
              <w:jc w:val="center"/>
              <w:ind w:left="1161"/>
              <w:spacing w:after="0"/>
              <w:rPr>
                <w:sz w:val="20"/>
                <w:szCs w:val="20"/>
                <w:color w:val="auto"/>
              </w:rPr>
            </w:pPr>
            <w:r>
              <w:rPr>
                <w:rFonts w:ascii="Times New Roman" w:cs="Times New Roman" w:eastAsia="Times New Roman" w:hAnsi="Times New Roman"/>
                <w:sz w:val="16"/>
                <w:szCs w:val="16"/>
                <w:color w:val="auto"/>
                <w:w w:val="97"/>
              </w:rPr>
              <w:t>(30)</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Cash flows from operating activities generally consist of the cash effects of transactions and events that enter into the determination of net loss. For the three months ended March 31, 2024, net cash used in operating activities was $(2.2) million compared to net cash used in operating activities of $(3.1) million for the three months ended March 31, 2023. The improvement in cash used in operating activities was driven by a $7.5 million improvement in net loss adjusted for non-cash items included in the determination of net loss (PIK interest, stock based compensation, change in the fair value of warrant liability, bad debt expense, depreciation and amortization, deferred income taxes, amortization of debt discount, amortization of debt issuance and amendment costs, loss on disposal of fixed assets and amortization of intangible assets). This was partially offset by a $6.7 million decrease in cash provided by working capital from the $0.2 million net payment of taxes in the first quarter of 2024 compared to the $4.7 million net collection of taxes receivable in the first quarter of 2023 and a $2.0 million return of surety bonds in the first quarter of 2023.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Net cash provided by (used in) financing activities were $(0.7) million and $(4.9) million for the three months ended March 31, 2024 and 2023, respectively. During the three months ended March 31, 2024 and 2023, we made payments of $0.6 million and $0.5 million, respectively,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 In addition, during the three months ended March 31, 2024 and 2023, we distributed less than $0.1 million and $0.1 million, respectively, to non-controlling interests. During the three months ended March 31, 2023, we received $20.5 million in proceeds from the issuance of common stock, net of issuance costs, and used $20.0 million of the proceeds for repayment of debt. Also during the three months ended March 31, 2023, we paid $4.8 million to lenders or others on behalf of the lenders related to the debt amendment.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Uses of Cash</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significant future liquidity obligations primarily pertain to the maturity of the SSTL under the Amended Credit Agreement, interest expense under the Amended Credit Agreement (see Liquidity section above), and operating lease payments on certain of our premises and equipment.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future uses of cash include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2027-2028</w:t>
            </w:r>
          </w:p>
        </w:tc>
        <w:tc>
          <w:tcPr>
            <w:tcW w:w="0" w:type="dxa"/>
            <w:vAlign w:val="bottom"/>
          </w:tcPr>
          <w:p>
            <w:pPr>
              <w:spacing w:after="0"/>
              <w:rPr>
                <w:sz w:val="1"/>
                <w:szCs w:val="1"/>
                <w:color w:val="auto"/>
              </w:rPr>
            </w:pPr>
          </w:p>
        </w:tc>
      </w:tr>
      <w:tr>
        <w:trPr>
          <w:trHeight w:val="195"/>
        </w:trPr>
        <w:tc>
          <w:tcPr>
            <w:tcW w:w="5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2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Senior secured term loans </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Interest expense payments </w:t>
            </w:r>
            <w:r>
              <w:rPr>
                <w:rFonts w:ascii="Times New Roman" w:cs="Times New Roman" w:eastAsia="Times New Roman" w:hAnsi="Times New Roman"/>
                <w:sz w:val="20"/>
                <w:szCs w:val="20"/>
                <w:color w:val="auto"/>
                <w:vertAlign w:val="superscript"/>
              </w:rPr>
              <w:t>(2)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payments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265,477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245,861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58" w:lineRule="exact"/>
        <w:rPr>
          <w:sz w:val="20"/>
          <w:szCs w:val="20"/>
          <w:color w:val="auto"/>
        </w:rPr>
      </w:pPr>
    </w:p>
    <w:p>
      <w:pPr>
        <w:jc w:val="both"/>
        <w:ind w:left="240" w:hanging="234"/>
        <w:spacing w:after="0" w:line="237" w:lineRule="auto"/>
        <w:tabs>
          <w:tab w:leader="none" w:pos="334"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outstanding balance of our SSTL as of March 31, 2024 is $226.2 million and is due on April 30, 2025. Since Aggregate Paydowns were equal to or greater than $30 million, the maturity date of the SSTL may be extended at the Company’s option to April 30, 2026 (subject to a payment of a 2% payment-in-kind extension fee on or before April 30, 2025 and subject to the representations and warranties being true and correct as of such date and there being no default or event of default being in existence as of such date). The table herein reflects a maturity of April 2025. The increase in outstanding balance is from the PIK component of our interest expense and is assumed to be paid in kind through the April 2025 maturity date.</w:t>
      </w:r>
    </w:p>
    <w:p>
      <w:pPr>
        <w:ind w:left="240" w:hanging="234"/>
        <w:spacing w:after="0" w:line="215" w:lineRule="auto"/>
        <w:tabs>
          <w:tab w:leader="none" w:pos="355"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future interest payments based on the SOFR interest rate as of March 31, 2024 and the April 30, 2025 maturity date. Based on the April 30, 2025 maturity date, no interest expense has been included beyond April 30, 2025.</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We anticipate funding future liquidity requirements with a combination of existing cash balances, cash anticipated to be generated by operating activities and, as needed, proceeds from the Amended Revolver. For further information, see Note 10 and Note 21 to the condensed consolidated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off-balance sheet arrangements consist of escrow arrangements.</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We hold customers’ assets in escrow and other accounts at various financial institutions pending completion of certain real estate and construction review activities. These amounts are held in escrow and other accounts for limited periods of time and are not included in the accompanying condensed consolidated balance sheets. Amounts held in escrow and other accounts were $24.9 million and $21.6 million as of March 31, 2024 and December 31,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2024, there were no significant changes to our contractual obligations from those identified in our Form 10-K for the fiscal year ended December 31, 2023 and this Form 10-Q, other than those that occur in the normal course of business. See Note 21 to the condensed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ESTIMATES AND RECENT ACCOUNTING PRONOUNCEMENTS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prepare our interim condensed consolidated financial statements in accordance with GAAP.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critical accounting policies are described in the MD&amp;A section of our Form 10-K for the year ended December 31, 2023 filed with the SEC on March 7, 2024. There have been no material changes to our critical accounting policies during the three months ended March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Future Adoption of New Accounting Pronouncements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discussion of recently issued accounting pronouncements, including pronouncements that were adopted in the current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market risk consists primarily of interest rate and foreign currency exchange rate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terms of the Amended Credit Agreement, the initial interest rate charged on the SSTL is SOFR (as defined in the Amended Credit Agreement), with a minimum floor of 1.00%, plus 5.00% paid in cash plus 5.00% PIK. Based on par paydowns of $30 million during the year ended December 31, 2023, the PIK component was reduced to 3.75%.</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Based on the principal amount outstanding and SOFR as of March 31, 2024, a one percentage point increase in SOFR above the minimum floor would increase our annual interest expense by approximately $2.3 million. There would be a $2.3 million decrease in our annual interest expense if there was a one percentage point decrease in SOFR.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Exchange Risk</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first quarter of 2024, a one percentage point increase or decrease in value of the Indian rupee in relation to the United States dollar would increase or decrease our annual expenses by approximately $0.2 million.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4"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As of March 31, 2024,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March 31, 2024.</w:t>
      </w:r>
    </w:p>
    <w:p>
      <w:pPr>
        <w:spacing w:after="0" w:line="104"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in our risk factors from those disclosed in Part I, Item 1A, of our Form 10-K for the year ended December 31, 2023 filed with the SEC on March 7,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were no purchases of shares of common stock during the three months ended March 31, 2024. On May 16, 2023, our shareholders approved the renewal and amendment of the share repurchase program previously approved by the shareholders on May 15, 2018. Under the program, we are authorized to purchase up to 3.1 million shares of our common stock in the open market, subject to certain parameters, for a period of five years from the date of approval. As of March 31, 2024, the maximum number of shares that may be purchased under the repurchase program is 3.1 million shares of the Company’s common stock. In addition to the share repurchase program, during the three months ended March 31, 2024, 220,259 common shares were withheld from employees to satisfy tax withholding obligations that arose from the vesting of restricted shares.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February 20, 2024, the Company issued a total of 232,580 Restricted share units (“RSUs”) as equity compensation under the Altisource 2024 Long Term Incentive Plan to the Company’s Chairman and Chief Executive Officer, Chief Financial Officer, and Chief Legal and Compliance Officer as unregistered securities in a private placement exempt from registration pursuant to Rule 4(a)(2) of the Securities Act of 1933, as amended.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19"/>
                <w:szCs w:val="19"/>
                <w:color w:val="auto"/>
              </w:rPr>
            </w:pPr>
          </w:p>
        </w:tc>
        <w:tc>
          <w:tcPr>
            <w:tcW w:w="101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Section 302 Certification of the Chief Executive Officer pursuant to Exchange Act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shd w:val="clear" w:color="auto" w:fill="0000FF"/>
          </w:tcPr>
          <w:p>
            <w:pPr>
              <w:spacing w:after="0" w:line="20" w:lineRule="exact"/>
              <w:rPr>
                <w:sz w:val="1"/>
                <w:szCs w:val="1"/>
                <w:color w:val="auto"/>
              </w:rPr>
            </w:pPr>
          </w:p>
        </w:tc>
        <w:tc>
          <w:tcPr>
            <w:tcW w:w="24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Section 302 Certification of the Chief Financial Officer pursuant to Exchange Act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Certification by the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3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color w:val="2C2C2C"/>
              </w:rPr>
              <w:t>*</w:t>
            </w:r>
          </w:p>
        </w:tc>
        <w:tc>
          <w:tcPr>
            <w:tcW w:w="100" w:type="dxa"/>
            <w:vAlign w:val="bottom"/>
          </w:tcPr>
          <w:p>
            <w:pPr>
              <w:spacing w:after="0"/>
              <w:rPr>
                <w:sz w:val="21"/>
                <w:szCs w:val="21"/>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Pursuant to Rule 405 of Regulation S-T, the following financial information from the Company’s Quarterly Report on Form 10-Q for the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period ended March 31, 2024 is formatted in Inline XBRL interactive data files: (i) Condensed Consolidated Balance Sheets as of March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77" w:lineRule="exact"/>
              <w:rPr>
                <w:sz w:val="20"/>
                <w:szCs w:val="20"/>
                <w:color w:val="auto"/>
              </w:rPr>
            </w:pPr>
            <w:r>
              <w:rPr>
                <w:rFonts w:ascii="Times New Roman" w:cs="Times New Roman" w:eastAsia="Times New Roman" w:hAnsi="Times New Roman"/>
                <w:sz w:val="18"/>
                <w:szCs w:val="18"/>
                <w:color w:val="auto"/>
              </w:rPr>
              <w:t>2024 and December 31, 2023; (ii) Condensed Consolidated Statements of Operations and Comprehensive Loss for the three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140" w:type="dxa"/>
            <w:vAlign w:val="bottom"/>
            <w:gridSpan w:val="4"/>
          </w:tcPr>
          <w:p>
            <w:pPr>
              <w:ind w:left="20"/>
              <w:spacing w:after="0" w:line="172" w:lineRule="exact"/>
              <w:rPr>
                <w:sz w:val="20"/>
                <w:szCs w:val="20"/>
                <w:color w:val="auto"/>
              </w:rPr>
            </w:pPr>
            <w:r>
              <w:rPr>
                <w:rFonts w:ascii="Times New Roman" w:cs="Times New Roman" w:eastAsia="Times New Roman" w:hAnsi="Times New Roman"/>
                <w:sz w:val="18"/>
                <w:szCs w:val="18"/>
                <w:color w:val="auto"/>
              </w:rPr>
              <w:t>March 31, 2024 and 2023; (iii) Condensed Consolidated Statements of Equity for the three months ended March 31, 2024 and 2023; (iv)</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2024 and 2023; and (v) Notes to Condensed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0" w:type="dxa"/>
            <w:vAlign w:val="bottom"/>
          </w:tcPr>
          <w:p>
            <w:pPr>
              <w:spacing w:after="0"/>
              <w:rPr>
                <w:sz w:val="1"/>
                <w:szCs w:val="1"/>
                <w:color w:val="auto"/>
              </w:rPr>
            </w:pPr>
          </w:p>
        </w:tc>
      </w:tr>
      <w:tr>
        <w:trPr>
          <w:trHeight w:val="278"/>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4"/>
                <w:szCs w:val="24"/>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4" w:lineRule="exact"/>
        <w:rPr>
          <w:sz w:val="20"/>
          <w:szCs w:val="20"/>
          <w:color w:val="auto"/>
        </w:rPr>
      </w:pPr>
    </w:p>
    <w:p>
      <w:pPr>
        <w:ind w:left="1120" w:hanging="1096"/>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ALTISOURCE PORTFOLIO SOLUTIONS S.A.</w:t>
      </w:r>
    </w:p>
    <w:p>
      <w:pPr>
        <w:spacing w:after="0" w:line="2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700" w:val="left"/>
          <w:tab w:leader="none" w:pos="6380" w:val="left"/>
          <w:tab w:leader="none" w:pos="6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14605</wp:posOffset>
            </wp:positionV>
            <wp:extent cx="27851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1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2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Officer</w:t>
      </w:r>
    </w:p>
    <w:p>
      <w:pPr>
        <w:ind w:left="6880"/>
        <w:spacing w:after="0" w:line="236" w:lineRule="auto"/>
        <w:rPr>
          <w:sz w:val="20"/>
          <w:szCs w:val="20"/>
          <w:color w:val="auto"/>
        </w:rPr>
      </w:pPr>
      <w:r>
        <w:rPr>
          <w:rFonts w:ascii="Times New Roman" w:cs="Times New Roman" w:eastAsia="Times New Roman" w:hAnsi="Times New Roman"/>
          <w:sz w:val="18"/>
          <w:szCs w:val="18"/>
          <w:color w:val="auto"/>
        </w:rPr>
        <w:t>(On behalf of the Registrant and as its Principal Financial</w:t>
      </w:r>
    </w:p>
    <w:p>
      <w:pPr>
        <w:spacing w:after="0" w:line="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SECTION 302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Shepro, hereby certify that:</w:t>
      </w:r>
    </w:p>
    <w:p>
      <w:pPr>
        <w:spacing w:after="0" w:line="164"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Altisource Portfolio Solutions S.A.;</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7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13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960" w:hanging="318"/>
        <w:spacing w:after="0" w:line="274" w:lineRule="auto"/>
        <w:tabs>
          <w:tab w:leader="none" w:pos="114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6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25, 2024</w:t>
            </w:r>
          </w:p>
        </w:tc>
        <w:tc>
          <w:tcPr>
            <w:tcW w:w="716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   /s/ William B. Shepro</w:t>
            </w:r>
          </w:p>
        </w:tc>
      </w:tr>
      <w:tr>
        <w:trPr>
          <w:trHeight w:val="213"/>
        </w:trPr>
        <w:tc>
          <w:tcPr>
            <w:tcW w:w="37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r>
      <w:tr>
        <w:trPr>
          <w:trHeight w:val="225"/>
        </w:trPr>
        <w:tc>
          <w:tcPr>
            <w:tcW w:w="37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1"/>
        </w:trPr>
        <w:tc>
          <w:tcPr>
            <w:tcW w:w="37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7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SECTION 302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D. Esterman, hereby certify that:</w:t>
      </w:r>
    </w:p>
    <w:p>
      <w:pPr>
        <w:spacing w:after="0" w:line="164"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Altisource Portfolio Solutions S.A.;</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7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13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960" w:hanging="318"/>
        <w:spacing w:after="0" w:line="274" w:lineRule="auto"/>
        <w:tabs>
          <w:tab w:leader="none" w:pos="114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6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25, 2024</w:t>
            </w:r>
          </w:p>
        </w:tc>
        <w:tc>
          <w:tcPr>
            <w:tcW w:w="716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   /s/ Michelle D. Esterman</w:t>
            </w:r>
          </w:p>
        </w:tc>
      </w:tr>
      <w:tr>
        <w:trPr>
          <w:trHeight w:val="213"/>
        </w:trPr>
        <w:tc>
          <w:tcPr>
            <w:tcW w:w="37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5"/>
        </w:trPr>
        <w:tc>
          <w:tcPr>
            <w:tcW w:w="37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77"/>
        </w:trPr>
        <w:tc>
          <w:tcPr>
            <w:tcW w:w="37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4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1"/>
        </w:trPr>
        <w:tc>
          <w:tcPr>
            <w:tcW w:w="37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87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MARCH 31, 2024</w:t>
      </w:r>
    </w:p>
    <w:p>
      <w:pPr>
        <w:spacing w:after="0" w:line="3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In connection with the Quarterly Report on Form 10-Q of Altisource Portfolio Solutions S.A. (the “Company”) for the quarterly period ended March 31, 2024,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06" w:lineRule="exact"/>
        <w:rPr>
          <w:sz w:val="20"/>
          <w:szCs w:val="20"/>
          <w:color w:val="auto"/>
        </w:rPr>
      </w:pPr>
    </w:p>
    <w:p>
      <w:pPr>
        <w:ind w:left="700" w:hanging="376"/>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13"/>
        </w:trPr>
        <w:tc>
          <w:tcPr>
            <w:tcW w:w="5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100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25"/>
        </w:trPr>
        <w:tc>
          <w:tcPr>
            <w:tcW w:w="5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1"/>
        </w:trPr>
        <w:tc>
          <w:tcPr>
            <w:tcW w:w="5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25, 2024</w:t>
            </w:r>
          </w:p>
        </w:tc>
        <w:tc>
          <w:tcPr>
            <w:tcW w:w="100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25, 2024</w:t>
            </w:r>
          </w:p>
        </w:tc>
      </w:tr>
    </w:tbl>
    <w:p>
      <w:pPr>
        <w:spacing w:after="0" w:line="1" w:lineRule="exact"/>
        <w:rPr>
          <w:sz w:val="20"/>
          <w:szCs w:val="20"/>
          <w:color w:val="auto"/>
        </w:rPr>
      </w:pP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2024-04-25T06:26:18Z</dcterms:created>
  <dcterms:modified xsi:type="dcterms:W3CDTF">2024-04-25T06:26:18Z</dcterms:modified>
</cp:coreProperties>
</file>