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6"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-325120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 the quarterly period ended September 30, 2019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80" w:right="1300" w:hanging="3967"/>
        <w:spacing w:after="0" w:line="416" w:lineRule="auto"/>
        <w:tabs>
          <w:tab w:leader="none" w:pos="957"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45720</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ALTISOURCE PORTFOLIO SOLUTIONS S.A.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jc w:val="center"/>
              <w:ind w:left="1844"/>
              <w:spacing w:after="0"/>
              <w:rPr>
                <w:sz w:val="20"/>
                <w:szCs w:val="20"/>
                <w:color w:val="auto"/>
              </w:rPr>
            </w:pPr>
            <w:r>
              <w:rPr>
                <w:rFonts w:ascii="Arial" w:cs="Arial" w:eastAsia="Arial" w:hAnsi="Arial"/>
                <w:sz w:val="18"/>
                <w:szCs w:val="18"/>
                <w:b w:val="1"/>
                <w:bCs w:val="1"/>
                <w:color w:val="auto"/>
                <w:w w:val="91"/>
              </w:rPr>
              <w:t>Luxembourg</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80" w:type="dxa"/>
            <w:vAlign w:val="bottom"/>
          </w:tcPr>
          <w:p>
            <w:pPr>
              <w:jc w:val="right"/>
              <w:ind w:right="2364"/>
              <w:spacing w:after="0"/>
              <w:rPr>
                <w:sz w:val="20"/>
                <w:szCs w:val="20"/>
                <w:color w:val="auto"/>
              </w:rPr>
            </w:pPr>
            <w:r>
              <w:rPr>
                <w:rFonts w:ascii="Arial" w:cs="Arial" w:eastAsia="Arial" w:hAnsi="Arial"/>
                <w:sz w:val="18"/>
                <w:szCs w:val="18"/>
                <w:b w:val="1"/>
                <w:bCs w:val="1"/>
                <w:color w:val="auto"/>
              </w:rPr>
              <w:t>98-0554932</w:t>
            </w:r>
          </w:p>
        </w:tc>
      </w:tr>
      <w:tr>
        <w:trPr>
          <w:trHeight w:val="218"/>
        </w:trPr>
        <w:tc>
          <w:tcPr>
            <w:tcW w:w="7340" w:type="dxa"/>
            <w:vAlign w:val="bottom"/>
            <w:gridSpan w:val="6"/>
          </w:tcPr>
          <w:p>
            <w:pPr>
              <w:jc w:val="center"/>
              <w:ind w:right="162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080" w:type="dxa"/>
            <w:vAlign w:val="bottom"/>
          </w:tcPr>
          <w:p>
            <w:pPr>
              <w:jc w:val="center"/>
              <w:ind w:right="1584"/>
              <w:spacing w:after="0"/>
              <w:rPr>
                <w:sz w:val="20"/>
                <w:szCs w:val="20"/>
                <w:color w:val="auto"/>
              </w:rPr>
            </w:pPr>
            <w:r>
              <w:rPr>
                <w:rFonts w:ascii="Arial" w:cs="Arial" w:eastAsia="Arial" w:hAnsi="Arial"/>
                <w:sz w:val="14"/>
                <w:szCs w:val="14"/>
                <w:color w:val="auto"/>
                <w:w w:val="97"/>
              </w:rPr>
              <w:t>(I.R.S. Employer Identification No.)</w:t>
            </w:r>
          </w:p>
        </w:tc>
      </w:tr>
      <w:tr>
        <w:trPr>
          <w:trHeight w:val="264"/>
        </w:trPr>
        <w:tc>
          <w:tcPr>
            <w:tcW w:w="3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40, avenue Monterey</w:t>
            </w:r>
          </w:p>
        </w:tc>
        <w:tc>
          <w:tcPr>
            <w:tcW w:w="4080" w:type="dxa"/>
            <w:vAlign w:val="bottom"/>
          </w:tcPr>
          <w:p>
            <w:pPr>
              <w:spacing w:after="0"/>
              <w:rPr>
                <w:sz w:val="22"/>
                <w:szCs w:val="22"/>
                <w:color w:val="auto"/>
              </w:rPr>
            </w:pPr>
          </w:p>
        </w:tc>
      </w:tr>
      <w:tr>
        <w:trPr>
          <w:trHeight w:val="216"/>
        </w:trPr>
        <w:tc>
          <w:tcPr>
            <w:tcW w:w="3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2"/>
              </w:rPr>
              <w:t>L-2163 Luxembourg</w:t>
            </w:r>
          </w:p>
        </w:tc>
        <w:tc>
          <w:tcPr>
            <w:tcW w:w="408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2"/>
              </w:rPr>
              <w:t>Grand Duchy of Luxembourg</w:t>
            </w:r>
          </w:p>
        </w:tc>
        <w:tc>
          <w:tcPr>
            <w:tcW w:w="4080" w:type="dxa"/>
            <w:vAlign w:val="bottom"/>
          </w:tcPr>
          <w:p>
            <w:pPr>
              <w:spacing w:after="0"/>
              <w:rPr>
                <w:sz w:val="18"/>
                <w:szCs w:val="18"/>
                <w:color w:val="auto"/>
              </w:rPr>
            </w:pPr>
          </w:p>
        </w:tc>
      </w:tr>
      <w:tr>
        <w:trPr>
          <w:trHeight w:val="182"/>
        </w:trPr>
        <w:tc>
          <w:tcPr>
            <w:tcW w:w="3800" w:type="dxa"/>
            <w:vAlign w:val="bottom"/>
          </w:tcPr>
          <w:p>
            <w:pPr>
              <w:spacing w:after="0"/>
              <w:rPr>
                <w:sz w:val="15"/>
                <w:szCs w:val="15"/>
                <w:color w:val="auto"/>
              </w:rPr>
            </w:pPr>
          </w:p>
        </w:tc>
        <w:tc>
          <w:tcPr>
            <w:tcW w:w="3540" w:type="dxa"/>
            <w:vAlign w:val="bottom"/>
            <w:gridSpan w:val="5"/>
          </w:tcPr>
          <w:p>
            <w:pPr>
              <w:jc w:val="center"/>
              <w:ind w:left="219"/>
              <w:spacing w:after="0"/>
              <w:rPr>
                <w:sz w:val="20"/>
                <w:szCs w:val="20"/>
                <w:color w:val="auto"/>
              </w:rPr>
            </w:pPr>
            <w:r>
              <w:rPr>
                <w:rFonts w:ascii="Arial" w:cs="Arial" w:eastAsia="Arial" w:hAnsi="Arial"/>
                <w:sz w:val="14"/>
                <w:szCs w:val="14"/>
                <w:color w:val="auto"/>
                <w:w w:val="95"/>
              </w:rPr>
              <w:t>(Address of principal executive offices) (Zip Code)</w:t>
            </w:r>
          </w:p>
        </w:tc>
        <w:tc>
          <w:tcPr>
            <w:tcW w:w="4080" w:type="dxa"/>
            <w:vAlign w:val="bottom"/>
          </w:tcPr>
          <w:p>
            <w:pPr>
              <w:spacing w:after="0"/>
              <w:rPr>
                <w:sz w:val="15"/>
                <w:szCs w:val="15"/>
                <w:color w:val="auto"/>
              </w:rPr>
            </w:pPr>
          </w:p>
        </w:tc>
      </w:tr>
      <w:tr>
        <w:trPr>
          <w:trHeight w:val="304"/>
        </w:trPr>
        <w:tc>
          <w:tcPr>
            <w:tcW w:w="3800" w:type="dxa"/>
            <w:vAlign w:val="bottom"/>
          </w:tcPr>
          <w:p>
            <w:pPr>
              <w:spacing w:after="0"/>
              <w:rPr>
                <w:sz w:val="24"/>
                <w:szCs w:val="24"/>
                <w:color w:val="auto"/>
              </w:rPr>
            </w:pPr>
          </w:p>
        </w:tc>
        <w:tc>
          <w:tcPr>
            <w:tcW w:w="3060" w:type="dxa"/>
            <w:vAlign w:val="bottom"/>
            <w:gridSpan w:val="3"/>
          </w:tcPr>
          <w:p>
            <w:pPr>
              <w:jc w:val="center"/>
              <w:ind w:left="679"/>
              <w:spacing w:after="0"/>
              <w:rPr>
                <w:sz w:val="20"/>
                <w:szCs w:val="20"/>
                <w:color w:val="auto"/>
              </w:rPr>
            </w:pPr>
            <w:r>
              <w:rPr>
                <w:rFonts w:ascii="Arial" w:cs="Arial" w:eastAsia="Arial" w:hAnsi="Arial"/>
                <w:sz w:val="18"/>
                <w:szCs w:val="18"/>
                <w:b w:val="1"/>
                <w:bCs w:val="1"/>
                <w:color w:val="auto"/>
                <w:w w:val="91"/>
              </w:rPr>
              <w:t>(352) 24 69 79 00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82"/>
        </w:trPr>
        <w:tc>
          <w:tcPr>
            <w:tcW w:w="3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3"/>
          </w:tcPr>
          <w:p>
            <w:pPr>
              <w:jc w:val="center"/>
              <w:ind w:right="500"/>
              <w:spacing w:after="0"/>
              <w:rPr>
                <w:sz w:val="20"/>
                <w:szCs w:val="20"/>
                <w:color w:val="auto"/>
              </w:rPr>
            </w:pPr>
            <w:r>
              <w:rPr>
                <w:rFonts w:ascii="Arial" w:cs="Arial" w:eastAsia="Arial" w:hAnsi="Arial"/>
                <w:sz w:val="14"/>
                <w:szCs w:val="14"/>
                <w:color w:val="auto"/>
                <w:w w:val="92"/>
              </w:rPr>
              <w:t>(Registrant’s telephone number)</w:t>
            </w:r>
          </w:p>
        </w:tc>
        <w:tc>
          <w:tcPr>
            <w:tcW w:w="4080" w:type="dxa"/>
            <w:vAlign w:val="bottom"/>
          </w:tcPr>
          <w:p>
            <w:pPr>
              <w:spacing w:after="0"/>
              <w:rPr>
                <w:sz w:val="15"/>
                <w:szCs w:val="15"/>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98"/>
        </w:trPr>
        <w:tc>
          <w:tcPr>
            <w:tcW w:w="38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Title of each class</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4"/>
        </w:trPr>
        <w:tc>
          <w:tcPr>
            <w:tcW w:w="3800" w:type="dxa"/>
            <w:vAlign w:val="bottom"/>
          </w:tcPr>
          <w:p>
            <w:pPr>
              <w:ind w:left="1360"/>
              <w:spacing w:after="0"/>
              <w:rPr>
                <w:sz w:val="20"/>
                <w:szCs w:val="20"/>
                <w:color w:val="auto"/>
              </w:rPr>
            </w:pPr>
            <w:r>
              <w:rPr>
                <w:rFonts w:ascii="Arial" w:cs="Arial" w:eastAsia="Arial" w:hAnsi="Arial"/>
                <w:sz w:val="14"/>
                <w:szCs w:val="14"/>
                <w:color w:val="auto"/>
              </w:rPr>
              <w:t>Common Stock, $1.00 par value</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3"/>
          </w:tcPr>
          <w:p>
            <w:pPr>
              <w:jc w:val="center"/>
              <w:ind w:right="460"/>
              <w:spacing w:after="0"/>
              <w:rPr>
                <w:sz w:val="20"/>
                <w:szCs w:val="20"/>
                <w:color w:val="auto"/>
              </w:rPr>
            </w:pPr>
            <w:r>
              <w:rPr>
                <w:rFonts w:ascii="Arial" w:cs="Arial" w:eastAsia="Arial" w:hAnsi="Arial"/>
                <w:sz w:val="14"/>
                <w:szCs w:val="14"/>
                <w:color w:val="auto"/>
                <w:w w:val="90"/>
              </w:rPr>
              <w:t>ASPS</w:t>
            </w:r>
          </w:p>
        </w:tc>
        <w:tc>
          <w:tcPr>
            <w:tcW w:w="4080" w:type="dxa"/>
            <w:vAlign w:val="bottom"/>
          </w:tcPr>
          <w:p>
            <w:pPr>
              <w:jc w:val="center"/>
              <w:ind w:right="284"/>
              <w:spacing w:after="0"/>
              <w:rPr>
                <w:sz w:val="20"/>
                <w:szCs w:val="20"/>
                <w:color w:val="auto"/>
              </w:rPr>
            </w:pPr>
            <w:r>
              <w:rPr>
                <w:rFonts w:ascii="Arial" w:cs="Arial" w:eastAsia="Arial" w:hAnsi="Arial"/>
                <w:sz w:val="14"/>
                <w:szCs w:val="14"/>
                <w:color w:val="auto"/>
                <w:w w:val="97"/>
              </w:rPr>
              <w:t>NASDAQ Global Select Market</w:t>
            </w:r>
          </w:p>
        </w:tc>
      </w:tr>
    </w:tbl>
    <w:p>
      <w:pPr>
        <w:spacing w:after="0" w:line="47"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27"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160" w:type="dxa"/>
        <w:tblCellMar>
          <w:top w:w="0" w:type="dxa"/>
          <w:left w:w="0" w:type="dxa"/>
          <w:bottom w:w="0" w:type="dxa"/>
          <w:right w:w="0" w:type="dxa"/>
        </w:tblCellMar>
      </w:tblPr>
      <w:tr>
        <w:trPr>
          <w:trHeight w:val="226"/>
        </w:trPr>
        <w:tc>
          <w:tcPr>
            <w:tcW w:w="4680" w:type="dxa"/>
            <w:vAlign w:val="bottom"/>
          </w:tcPr>
          <w:p>
            <w:pPr>
              <w:spacing w:after="0"/>
              <w:rPr>
                <w:sz w:val="20"/>
                <w:szCs w:val="20"/>
                <w:color w:val="auto"/>
              </w:rPr>
            </w:pPr>
            <w:r>
              <w:rPr>
                <w:rFonts w:ascii="Arial" w:cs="Arial" w:eastAsia="Arial" w:hAnsi="Arial"/>
                <w:sz w:val="14"/>
                <w:szCs w:val="14"/>
                <w:color w:val="auto"/>
              </w:rPr>
              <w:t>Large accelerated filer o</w:t>
            </w:r>
          </w:p>
        </w:tc>
        <w:tc>
          <w:tcPr>
            <w:tcW w:w="4980" w:type="dxa"/>
            <w:vAlign w:val="bottom"/>
          </w:tcPr>
          <w:p>
            <w:pPr>
              <w:ind w:left="33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0"/>
        </w:trPr>
        <w:tc>
          <w:tcPr>
            <w:tcW w:w="4680" w:type="dxa"/>
            <w:vAlign w:val="bottom"/>
          </w:tcPr>
          <w:p>
            <w:pPr>
              <w:spacing w:after="0"/>
              <w:rPr>
                <w:sz w:val="20"/>
                <w:szCs w:val="20"/>
                <w:color w:val="auto"/>
              </w:rPr>
            </w:pPr>
            <w:r>
              <w:rPr>
                <w:rFonts w:ascii="Arial" w:cs="Arial" w:eastAsia="Arial" w:hAnsi="Arial"/>
                <w:sz w:val="14"/>
                <w:szCs w:val="14"/>
                <w:color w:val="auto"/>
              </w:rPr>
              <w:t>Non-accelerated filer o</w:t>
            </w:r>
          </w:p>
        </w:tc>
        <w:tc>
          <w:tcPr>
            <w:tcW w:w="4980" w:type="dxa"/>
            <w:vAlign w:val="bottom"/>
          </w:tcPr>
          <w:p>
            <w:pPr>
              <w:ind w:left="3300"/>
              <w:spacing w:after="0"/>
              <w:rPr>
                <w:sz w:val="20"/>
                <w:szCs w:val="20"/>
                <w:color w:val="auto"/>
              </w:rPr>
            </w:pPr>
            <w:r>
              <w:rPr>
                <w:rFonts w:ascii="Arial" w:cs="Arial" w:eastAsia="Arial" w:hAnsi="Arial"/>
                <w:sz w:val="14"/>
                <w:szCs w:val="14"/>
                <w:color w:val="auto"/>
                <w:w w:val="92"/>
              </w:rPr>
              <w:t>Smaller reporting company o</w:t>
            </w:r>
          </w:p>
        </w:tc>
      </w:tr>
      <w:tr>
        <w:trPr>
          <w:trHeight w:val="270"/>
        </w:trPr>
        <w:tc>
          <w:tcPr>
            <w:tcW w:w="4680" w:type="dxa"/>
            <w:vAlign w:val="bottom"/>
          </w:tcPr>
          <w:p>
            <w:pPr>
              <w:spacing w:after="0"/>
              <w:rPr>
                <w:sz w:val="23"/>
                <w:szCs w:val="23"/>
                <w:color w:val="auto"/>
              </w:rPr>
            </w:pPr>
          </w:p>
        </w:tc>
        <w:tc>
          <w:tcPr>
            <w:tcW w:w="4980" w:type="dxa"/>
            <w:vAlign w:val="bottom"/>
          </w:tcPr>
          <w:p>
            <w:pPr>
              <w:ind w:left="3300"/>
              <w:spacing w:after="0"/>
              <w:rPr>
                <w:sz w:val="20"/>
                <w:szCs w:val="20"/>
                <w:color w:val="auto"/>
              </w:rPr>
            </w:pPr>
            <w:r>
              <w:rPr>
                <w:rFonts w:ascii="Arial" w:cs="Arial" w:eastAsia="Arial" w:hAnsi="Arial"/>
                <w:sz w:val="14"/>
                <w:szCs w:val="14"/>
                <w:color w:val="auto"/>
                <w:w w:val="93"/>
              </w:rPr>
              <w:t>Emerging growth company o</w:t>
            </w:r>
          </w:p>
        </w:tc>
      </w:tr>
    </w:tbl>
    <w:p>
      <w:pPr>
        <w:spacing w:after="0" w:line="4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4"/>
          <w:szCs w:val="14"/>
          <w:b w:val="1"/>
          <w:bCs w:val="1"/>
          <w:color w:val="auto"/>
        </w:rPr>
        <w:t>o</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As of October 18, 2019, there were 15,688,752 shares of the registrant’s common stock outstanding (excluding 9,723,996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PART I — Financial Information</w:t>
              </w:r>
            </w:hyperlink>
          </w:p>
        </w:tc>
        <w:tc>
          <w:tcPr>
            <w:tcW w:w="7860" w:type="dxa"/>
            <w:vAlign w:val="bottom"/>
            <w:gridSpan w:val="11"/>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85"/>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Condensed Consolidated Financial Statements (Unaudited)</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9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1640" w:type="dxa"/>
            <w:vAlign w:val="bottom"/>
            <w:tcBorders>
              <w:top w:val="single" w:sz="8" w:color="0000EE"/>
            </w:tcBorders>
            <w:gridSpan w:val="6"/>
          </w:tcPr>
          <w:p>
            <w:pPr>
              <w:spacing w:after="0"/>
              <w:rPr>
                <w:sz w:val="21"/>
                <w:szCs w:val="21"/>
                <w:color w:val="auto"/>
              </w:rPr>
            </w:pPr>
          </w:p>
        </w:tc>
        <w:tc>
          <w:tcPr>
            <w:tcW w:w="438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(Loss)</w:t>
              </w:r>
            </w:hyperlink>
          </w:p>
        </w:tc>
        <w:tc>
          <w:tcPr>
            <w:tcW w:w="2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9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Equity</w:t>
              </w:r>
            </w:hyperlink>
          </w:p>
        </w:tc>
        <w:tc>
          <w:tcPr>
            <w:tcW w:w="620" w:type="dxa"/>
            <w:vAlign w:val="bottom"/>
            <w:gridSpan w:val="2"/>
          </w:tcPr>
          <w:p>
            <w:pPr>
              <w:jc w:val="center"/>
              <w:ind w:left="432"/>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5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524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96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8</w:t>
              </w:r>
            </w:hyperlink>
          </w:p>
        </w:tc>
        <w:tc>
          <w:tcPr>
            <w:tcW w:w="520" w:type="dxa"/>
            <w:vAlign w:val="bottom"/>
          </w:tcPr>
          <w:p>
            <w:pPr>
              <w:spacing w:after="0"/>
              <w:rPr>
                <w:sz w:val="21"/>
                <w:szCs w:val="2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914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914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21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PART II — Other Information</w:t>
              </w:r>
            </w:hyperlink>
          </w:p>
        </w:tc>
        <w:tc>
          <w:tcPr>
            <w:tcW w:w="806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Item 1A</w:t>
              </w:r>
            </w:hyperlink>
          </w:p>
        </w:tc>
        <w:tc>
          <w:tcPr>
            <w:tcW w:w="38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18"/>
                <w:szCs w:val="18"/>
                <w:color w:val="0000EE"/>
                <w:w w:val="81"/>
              </w:rPr>
            </w:pPr>
            <w:hyperlink w:anchor="page42">
              <w:r>
                <w:rPr>
                  <w:rFonts w:ascii="Arial" w:cs="Arial" w:eastAsia="Arial" w:hAnsi="Arial"/>
                  <w:sz w:val="18"/>
                  <w:szCs w:val="18"/>
                  <w:color w:val="0000EE"/>
                  <w:w w:val="81"/>
                </w:rPr>
                <w:t>Risk Factors</w:t>
              </w:r>
            </w:hyperlink>
          </w:p>
        </w:tc>
        <w:tc>
          <w:tcPr>
            <w:tcW w:w="830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42">
              <w:r>
                <w:rPr>
                  <w:rFonts w:ascii="Arial" w:cs="Arial" w:eastAsia="Arial" w:hAnsi="Arial"/>
                  <w:sz w:val="17"/>
                  <w:szCs w:val="17"/>
                  <w:color w:val="0000EE"/>
                  <w:w w:val="73"/>
                </w:rPr>
                <w:t>41</w:t>
              </w:r>
            </w:hyperlink>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6</w:t>
              </w:r>
            </w:hyperlink>
          </w:p>
        </w:tc>
        <w:tc>
          <w:tcPr>
            <w:tcW w:w="914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42</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1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SIGNATURES</w:t>
              </w:r>
            </w:hyperlink>
          </w:p>
        </w:tc>
        <w:tc>
          <w:tcPr>
            <w:tcW w:w="9140" w:type="dxa"/>
            <w:vAlign w:val="bottom"/>
            <w:gridSpan w:val="17"/>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44">
              <w:r>
                <w:rPr>
                  <w:rFonts w:ascii="Arial" w:cs="Arial" w:eastAsia="Arial" w:hAnsi="Arial"/>
                  <w:sz w:val="17"/>
                  <w:szCs w:val="17"/>
                  <w:color w:val="0000EE"/>
                  <w:w w:val="73"/>
                </w:rPr>
                <w:t>43</w:t>
              </w:r>
            </w:hyperlink>
          </w:p>
        </w:tc>
        <w:tc>
          <w:tcPr>
            <w:tcW w:w="520" w:type="dxa"/>
            <w:vAlign w:val="bottom"/>
          </w:tcPr>
          <w:p>
            <w:pPr>
              <w:spacing w:after="0"/>
              <w:rPr>
                <w:sz w:val="24"/>
                <w:szCs w:val="24"/>
                <w:color w:val="auto"/>
              </w:rPr>
            </w:pPr>
          </w:p>
        </w:tc>
      </w:tr>
      <w:tr>
        <w:trPr>
          <w:trHeight w:val="723"/>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8340" w:type="dxa"/>
            <w:vAlign w:val="bottom"/>
            <w:tcBorders>
              <w:bottom w:val="single" w:sz="8" w:color="CCEEFF"/>
            </w:tcBorders>
            <w:shd w:val="clear" w:color="auto" w:fill="CCEEFF"/>
          </w:tcPr>
          <w:p>
            <w:pPr>
              <w:ind w:left="5420"/>
              <w:spacing w:after="0"/>
              <w:rPr>
                <w:sz w:val="20"/>
                <w:szCs w:val="20"/>
                <w:color w:val="auto"/>
              </w:rPr>
            </w:pPr>
            <w:r>
              <w:rPr>
                <w:rFonts w:ascii="Arial" w:cs="Arial" w:eastAsia="Arial" w:hAnsi="Arial"/>
                <w:sz w:val="16"/>
                <w:szCs w:val="16"/>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58,294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Investment in equity securities (Note 4)</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36,181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36,466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Short-term investments in real estate (Note 7)</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39,873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30,720</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187,331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201,534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Premises and equipment, net (Note 8)</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45,631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under operating leases (Notes 1 and 9)</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79,009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81,387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91,653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293,412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309,089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12,406</w:t>
            </w:r>
          </w:p>
        </w:tc>
      </w:tr>
      <w:tr>
        <w:trPr>
          <w:trHeight w:val="210"/>
        </w:trPr>
        <w:tc>
          <w:tcPr>
            <w:tcW w:w="8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689,129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741,700</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7"/>
        </w:trPr>
        <w:tc>
          <w:tcPr>
            <w:tcW w:w="8340" w:type="dxa"/>
            <w:vAlign w:val="bottom"/>
            <w:tcBorders>
              <w:bottom w:val="single" w:sz="8" w:color="CCEEFF"/>
            </w:tcBorders>
            <w:shd w:val="clear" w:color="auto" w:fill="CCEEFF"/>
          </w:tcPr>
          <w:p>
            <w:pPr>
              <w:ind w:left="4740"/>
              <w:spacing w:after="0"/>
              <w:rPr>
                <w:sz w:val="20"/>
                <w:szCs w:val="20"/>
                <w:color w:val="auto"/>
              </w:rPr>
            </w:pPr>
            <w:r>
              <w:rPr>
                <w:rFonts w:ascii="Arial" w:cs="Arial" w:eastAsia="Arial" w:hAnsi="Arial"/>
                <w:sz w:val="16"/>
                <w:szCs w:val="16"/>
                <w:color w:val="auto"/>
              </w:rPr>
              <w:t>LIABILITIES AND EQUITY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87,240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10,108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 (Notes 1 and 12)</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7,030</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88,994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104,378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287,707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331,476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 (Notes 1 and 14)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9,178</w:t>
            </w:r>
          </w:p>
        </w:tc>
      </w:tr>
      <w:tr>
        <w:trPr>
          <w:trHeight w:val="216"/>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contingencies and regulatory matters (Note 24)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7"/>
              </w:rPr>
              <w:t>Common stock ($1.00 par value; 100,000 shares authorized, 25,413 issued and 15,778 outstanding as of</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September 30, 2019; 16,276 outstanding as of December 31, 2018)</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25,413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122,667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579,557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590,655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(9,635 shares as of September 30, 2019 and 9,137 shares as of</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December 31, 2018)</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(443,304)</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Altisource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287,331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295,431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1,237</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288,656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296,668</w:t>
            </w:r>
          </w:p>
        </w:tc>
      </w:tr>
      <w:tr>
        <w:trPr>
          <w:trHeight w:val="210"/>
        </w:trPr>
        <w:tc>
          <w:tcPr>
            <w:tcW w:w="8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689,129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741,700</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1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111"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40" w:type="dxa"/>
            <w:vAlign w:val="bottom"/>
            <w:gridSpan w:val="4"/>
            <w:vMerge w:val="restart"/>
          </w:tcPr>
          <w:p>
            <w:pPr>
              <w:jc w:val="right"/>
              <w:ind w:right="31"/>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141,493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204,575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507,963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620,569</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110,906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147,580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387,651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457,980</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30,587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56,995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120,312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162,589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27,184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46,329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104,275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132,377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sale of businesses (Note 3)</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(13,688)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Restructuring charges (Note 23)</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18,200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20,918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24,515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40,464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(19,615)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investment in equity securities (Note 4)</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(26,236)</w:t>
            </w: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14,228</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(6,059)</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15,897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17,033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16,133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17,184</w:t>
            </w:r>
          </w:p>
        </w:tc>
        <w:tc>
          <w:tcPr>
            <w:tcW w:w="0" w:type="dxa"/>
            <w:vAlign w:val="bottom"/>
          </w:tcPr>
          <w:p>
            <w:pPr>
              <w:spacing w:after="0"/>
              <w:rPr>
                <w:sz w:val="1"/>
                <w:szCs w:val="1"/>
                <w:color w:val="auto"/>
              </w:rPr>
            </w:pP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17,669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9,521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280"/>
              <w:spacing w:after="0"/>
              <w:rPr>
                <w:sz w:val="20"/>
                <w:szCs w:val="20"/>
                <w:color w:val="auto"/>
              </w:rPr>
            </w:pPr>
            <w:r>
              <w:rPr>
                <w:rFonts w:ascii="Arial" w:cs="Arial" w:eastAsia="Arial" w:hAnsi="Arial"/>
                <w:sz w:val="18"/>
                <w:szCs w:val="18"/>
                <w:color w:val="auto"/>
              </w:rPr>
              <w:t>Reclassification of unrealized gain on investment in equity securities,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net of income tax provision of $200, to retained earnings from the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440"/>
              <w:spacing w:after="0"/>
              <w:rPr>
                <w:sz w:val="20"/>
                <w:szCs w:val="20"/>
                <w:color w:val="auto"/>
              </w:rPr>
            </w:pPr>
            <w:r>
              <w:rPr>
                <w:rFonts w:ascii="Arial" w:cs="Arial" w:eastAsia="Arial" w:hAnsi="Arial"/>
                <w:sz w:val="18"/>
                <w:szCs w:val="18"/>
                <w:color w:val="auto"/>
              </w:rPr>
              <w:t>cumulative effect of an accounting change</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Comprehensive income, net of tax</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7,436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1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111" w:gutter="0" w:footer="0" w:header="0"/>
          <w:type w:val="continuous"/>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Altisource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23495</wp:posOffset>
            </wp:positionV>
            <wp:extent cx="4030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25" w:lineRule="exact"/>
        <w:rPr>
          <w:sz w:val="20"/>
          <w:szCs w:val="20"/>
          <w:color w:val="auto"/>
        </w:rPr>
      </w:pPr>
    </w:p>
    <w:tbl>
      <w:tblPr>
        <w:tblLayout w:type="fixed"/>
        <w:tblInd w:w="280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Accumulated other</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5"/>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Additional paid-</w:t>
            </w:r>
          </w:p>
        </w:tc>
        <w:tc>
          <w:tcPr>
            <w:tcW w:w="1120" w:type="dxa"/>
            <w:vAlign w:val="bottom"/>
            <w:gridSpan w:val="2"/>
          </w:tcPr>
          <w:p>
            <w:pPr>
              <w:ind w:left="260"/>
              <w:spacing w:after="0" w:line="135" w:lineRule="exact"/>
              <w:rPr>
                <w:sz w:val="20"/>
                <w:szCs w:val="20"/>
                <w:color w:val="auto"/>
              </w:rPr>
            </w:pPr>
            <w:r>
              <w:rPr>
                <w:rFonts w:ascii="Arial" w:cs="Arial" w:eastAsia="Arial" w:hAnsi="Arial"/>
                <w:sz w:val="13"/>
                <w:szCs w:val="13"/>
                <w:b w:val="1"/>
                <w:bCs w:val="1"/>
                <w:color w:val="auto"/>
              </w:rPr>
              <w:t>Retained</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comprehensive</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Treasury stock,</w:t>
            </w: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900" w:type="dxa"/>
            <w:vAlign w:val="bottom"/>
          </w:tcPr>
          <w:p>
            <w:pPr>
              <w:spacing w:after="0"/>
              <w:rPr>
                <w:sz w:val="11"/>
                <w:szCs w:val="11"/>
                <w:color w:val="auto"/>
              </w:rPr>
            </w:pPr>
          </w:p>
        </w:tc>
      </w:tr>
      <w:tr>
        <w:trPr>
          <w:trHeight w:val="174"/>
        </w:trPr>
        <w:tc>
          <w:tcPr>
            <w:tcW w:w="174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 capital</w:t>
            </w:r>
          </w:p>
        </w:tc>
        <w:tc>
          <w:tcPr>
            <w:tcW w:w="120" w:type="dxa"/>
            <w:vAlign w:val="bottom"/>
          </w:tcPr>
          <w:p>
            <w:pPr>
              <w:spacing w:after="0"/>
              <w:rPr>
                <w:sz w:val="15"/>
                <w:szCs w:val="15"/>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at cost</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Total</w:t>
            </w:r>
          </w:p>
        </w:tc>
      </w:tr>
      <w:tr>
        <w:trPr>
          <w:trHeight w:val="264"/>
        </w:trPr>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Shares</w:t>
            </w:r>
          </w:p>
        </w:tc>
        <w:tc>
          <w:tcPr>
            <w:tcW w:w="1040" w:type="dxa"/>
            <w:vAlign w:val="bottom"/>
            <w:gridSpan w:val="2"/>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120015</wp:posOffset>
            </wp:positionV>
            <wp:extent cx="71691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ectPr>
          <w:pgSz w:w="11900" w:h="16838" w:orient="portrait"/>
          <w:cols w:equalWidth="0" w:num="1">
            <w:col w:w="11260"/>
          </w:cols>
          <w:pgMar w:left="280" w:top="121" w:right="359" w:bottom="1440" w:gutter="0" w:footer="0" w:header="0"/>
        </w:sect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0" w:type="dxa"/>
            <w:vAlign w:val="bottom"/>
            <w:gridSpan w:val="5"/>
          </w:tcPr>
          <w:p>
            <w:pPr>
              <w:spacing w:after="0"/>
              <w:rPr>
                <w:sz w:val="20"/>
                <w:szCs w:val="20"/>
                <w:color w:val="auto"/>
              </w:rPr>
            </w:pPr>
            <w:r>
              <w:rPr>
                <w:rFonts w:ascii="Arial" w:cs="Arial" w:eastAsia="Arial" w:hAnsi="Arial"/>
                <w:sz w:val="14"/>
                <w:szCs w:val="14"/>
                <w:color w:val="auto"/>
              </w:rPr>
              <w:t>Balance, December 31, 2017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112,475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9"/>
        </w:trPr>
        <w:tc>
          <w:tcPr>
            <w:tcW w:w="2800" w:type="dxa"/>
            <w:vAlign w:val="bottom"/>
            <w:gridSpan w:val="5"/>
          </w:tcPr>
          <w:p>
            <w:pPr>
              <w:spacing w:after="0"/>
              <w:rPr>
                <w:sz w:val="20"/>
                <w:szCs w:val="20"/>
                <w:color w:val="auto"/>
              </w:rPr>
            </w:pPr>
            <w:r>
              <w:rPr>
                <w:rFonts w:ascii="Arial" w:cs="Arial" w:eastAsia="Arial" w:hAnsi="Arial"/>
                <w:sz w:val="14"/>
                <w:szCs w:val="14"/>
                <w:color w:val="auto"/>
              </w:rPr>
              <w:t>Net (loss)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gridSpan w:val="5"/>
          </w:tcPr>
          <w:p>
            <w:pPr>
              <w:spacing w:after="0"/>
              <w:rPr>
                <w:sz w:val="20"/>
                <w:szCs w:val="20"/>
                <w:color w:val="auto"/>
              </w:rPr>
            </w:pPr>
            <w:r>
              <w:rPr>
                <w:rFonts w:ascii="Arial" w:cs="Arial" w:eastAsia="Arial" w:hAnsi="Arial"/>
                <w:sz w:val="14"/>
                <w:szCs w:val="14"/>
                <w:color w:val="auto"/>
                <w:w w:val="96"/>
              </w:rPr>
              <w:t>Distributions to non-controlling interest holders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gridSpan w:val="5"/>
          </w:tcPr>
          <w:p>
            <w:pPr>
              <w:spacing w:after="0"/>
              <w:rPr>
                <w:sz w:val="20"/>
                <w:szCs w:val="20"/>
                <w:color w:val="auto"/>
              </w:rPr>
            </w:pPr>
            <w:r>
              <w:rPr>
                <w:rFonts w:ascii="Arial" w:cs="Arial" w:eastAsia="Arial" w:hAnsi="Arial"/>
                <w:sz w:val="14"/>
                <w:szCs w:val="14"/>
                <w:color w:val="auto"/>
              </w:rPr>
              <w:t>Share-based compensation expense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2,201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gridSpan w:val="5"/>
          </w:tcPr>
          <w:p>
            <w:pPr>
              <w:spacing w:after="0"/>
              <w:rPr>
                <w:sz w:val="20"/>
                <w:szCs w:val="20"/>
                <w:color w:val="auto"/>
              </w:rPr>
            </w:pPr>
            <w:r>
              <w:rPr>
                <w:rFonts w:ascii="Arial" w:cs="Arial" w:eastAsia="Arial" w:hAnsi="Arial"/>
                <w:sz w:val="14"/>
                <w:szCs w:val="14"/>
                <w:color w:val="auto"/>
              </w:rPr>
              <w:t>Cumulative effect of accounting changes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800" w:type="dxa"/>
            <w:vAlign w:val="bottom"/>
            <w:gridSpan w:val="5"/>
          </w:tcPr>
          <w:p>
            <w:pPr>
              <w:spacing w:after="0"/>
              <w:rPr>
                <w:sz w:val="20"/>
                <w:szCs w:val="20"/>
                <w:color w:val="auto"/>
              </w:rPr>
            </w:pPr>
            <w:r>
              <w:rPr>
                <w:rFonts w:ascii="Arial" w:cs="Arial" w:eastAsia="Arial" w:hAnsi="Arial"/>
                <w:sz w:val="14"/>
                <w:szCs w:val="14"/>
                <w:color w:val="auto"/>
              </w:rPr>
              <w:t>Exercise of stock options and issuance of</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Arial" w:cs="Arial" w:eastAsia="Arial" w:hAnsi="Arial"/>
                <w:sz w:val="14"/>
                <w:szCs w:val="14"/>
                <w:color w:val="auto"/>
                <w:w w:val="99"/>
              </w:rPr>
              <w:t>restricted share units and restricted shares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800" w:type="dxa"/>
            <w:vAlign w:val="bottom"/>
            <w:gridSpan w:val="5"/>
          </w:tcPr>
          <w:p>
            <w:pPr>
              <w:spacing w:after="0"/>
              <w:rPr>
                <w:sz w:val="20"/>
                <w:szCs w:val="20"/>
                <w:color w:val="auto"/>
              </w:rPr>
            </w:pPr>
            <w:r>
              <w:rPr>
                <w:rFonts w:ascii="Arial" w:cs="Arial" w:eastAsia="Arial" w:hAnsi="Arial"/>
                <w:sz w:val="14"/>
                <w:szCs w:val="14"/>
                <w:color w:val="auto"/>
              </w:rPr>
              <w:t>Repurchase of shares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800" w:type="dxa"/>
            <w:vAlign w:val="bottom"/>
            <w:gridSpan w:val="5"/>
          </w:tcPr>
          <w:p>
            <w:pPr>
              <w:spacing w:after="0"/>
              <w:rPr>
                <w:sz w:val="20"/>
                <w:szCs w:val="20"/>
                <w:color w:val="auto"/>
              </w:rPr>
            </w:pPr>
            <w:r>
              <w:rPr>
                <w:rFonts w:ascii="Arial" w:cs="Arial" w:eastAsia="Arial" w:hAnsi="Arial"/>
                <w:sz w:val="14"/>
                <w:szCs w:val="14"/>
                <w:color w:val="auto"/>
              </w:rPr>
              <w:t>Balance, March 31, 2018</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114,676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0" w:type="dxa"/>
            <w:vAlign w:val="bottom"/>
            <w:gridSpan w:val="5"/>
          </w:tcPr>
          <w:p>
            <w:pPr>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gridSpan w:val="5"/>
          </w:tcPr>
          <w:p>
            <w:pPr>
              <w:spacing w:after="0"/>
              <w:rPr>
                <w:sz w:val="20"/>
                <w:szCs w:val="20"/>
                <w:color w:val="auto"/>
              </w:rPr>
            </w:pPr>
            <w:r>
              <w:rPr>
                <w:rFonts w:ascii="Arial" w:cs="Arial" w:eastAsia="Arial" w:hAnsi="Arial"/>
                <w:sz w:val="14"/>
                <w:szCs w:val="14"/>
                <w:color w:val="auto"/>
                <w:w w:val="96"/>
              </w:rPr>
              <w:t>Distributions to non-controlling interest holders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gridSpan w:val="5"/>
          </w:tcPr>
          <w:p>
            <w:pPr>
              <w:spacing w:after="0"/>
              <w:rPr>
                <w:sz w:val="20"/>
                <w:szCs w:val="20"/>
                <w:color w:val="auto"/>
              </w:rPr>
            </w:pPr>
            <w:r>
              <w:rPr>
                <w:rFonts w:ascii="Arial" w:cs="Arial" w:eastAsia="Arial" w:hAnsi="Arial"/>
                <w:sz w:val="14"/>
                <w:szCs w:val="14"/>
                <w:color w:val="auto"/>
              </w:rPr>
              <w:t>Share-based compensation expense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1,910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240" w:type="dxa"/>
            <w:vAlign w:val="bottom"/>
            <w:vMerge w:val="restart"/>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1"/>
                <w:shd w:val="clear" w:color="auto" w:fill="CCEEFF"/>
              </w:rPr>
              <w:t>Exercise of stock options and issuance of</w:t>
            </w:r>
          </w:p>
        </w:tc>
        <w:tc>
          <w:tcPr>
            <w:tcW w:w="1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9"/>
                <w:shd w:val="clear" w:color="auto" w:fill="CCEEFF"/>
              </w:rPr>
              <w:t>restricted share units and restricted shares</w:t>
            </w:r>
          </w:p>
        </w:tc>
        <w:tc>
          <w:tcPr>
            <w:tcW w:w="2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800" w:type="dxa"/>
            <w:vAlign w:val="bottom"/>
            <w:gridSpan w:val="5"/>
          </w:tcPr>
          <w:p>
            <w:pPr>
              <w:spacing w:after="0"/>
              <w:rPr>
                <w:sz w:val="20"/>
                <w:szCs w:val="20"/>
                <w:color w:val="auto"/>
              </w:rPr>
            </w:pPr>
            <w:r>
              <w:rPr>
                <w:rFonts w:ascii="Arial" w:cs="Arial" w:eastAsia="Arial" w:hAnsi="Arial"/>
                <w:sz w:val="14"/>
                <w:szCs w:val="14"/>
                <w:color w:val="auto"/>
                <w:w w:val="94"/>
              </w:rPr>
              <w:t>Treasury shares withheld for the payment of tax</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3"/>
          </w:tcPr>
          <w:p>
            <w:pPr>
              <w:spacing w:after="0" w:line="149" w:lineRule="exact"/>
              <w:rPr>
                <w:sz w:val="20"/>
                <w:szCs w:val="20"/>
                <w:color w:val="auto"/>
              </w:rPr>
            </w:pPr>
            <w:r>
              <w:rPr>
                <w:rFonts w:ascii="Arial" w:cs="Arial" w:eastAsia="Arial" w:hAnsi="Arial"/>
                <w:sz w:val="14"/>
                <w:szCs w:val="14"/>
                <w:color w:val="auto"/>
                <w:w w:val="97"/>
              </w:rPr>
              <w:t>on restricted share unit and restricted share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Arial" w:cs="Arial" w:eastAsia="Arial" w:hAnsi="Arial"/>
                <w:sz w:val="14"/>
                <w:szCs w:val="14"/>
                <w:color w:val="auto"/>
              </w:rPr>
              <w:t>issuances and stock option exercises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800" w:type="dxa"/>
            <w:vAlign w:val="bottom"/>
            <w:gridSpan w:val="5"/>
          </w:tcPr>
          <w:p>
            <w:pPr>
              <w:spacing w:after="0"/>
              <w:rPr>
                <w:sz w:val="20"/>
                <w:szCs w:val="20"/>
                <w:color w:val="auto"/>
              </w:rPr>
            </w:pPr>
            <w:r>
              <w:rPr>
                <w:rFonts w:ascii="Arial" w:cs="Arial" w:eastAsia="Arial" w:hAnsi="Arial"/>
                <w:sz w:val="14"/>
                <w:szCs w:val="14"/>
                <w:color w:val="auto"/>
              </w:rPr>
              <w:t>Repurchase of shares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7"/>
        </w:trPr>
        <w:tc>
          <w:tcPr>
            <w:tcW w:w="2800" w:type="dxa"/>
            <w:vAlign w:val="bottom"/>
            <w:gridSpan w:val="5"/>
          </w:tcPr>
          <w:p>
            <w:pPr>
              <w:spacing w:after="0"/>
              <w:rPr>
                <w:sz w:val="20"/>
                <w:szCs w:val="20"/>
                <w:color w:val="auto"/>
              </w:rPr>
            </w:pPr>
            <w:r>
              <w:rPr>
                <w:rFonts w:ascii="Arial" w:cs="Arial" w:eastAsia="Arial" w:hAnsi="Arial"/>
                <w:sz w:val="14"/>
                <w:szCs w:val="14"/>
                <w:color w:val="auto"/>
              </w:rPr>
              <w:t>Balance, June 30, 2018</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116,586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0" w:type="dxa"/>
            <w:vAlign w:val="bottom"/>
            <w:gridSpan w:val="5"/>
          </w:tcPr>
          <w:p>
            <w:pPr>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gridSpan w:val="5"/>
          </w:tcPr>
          <w:p>
            <w:pPr>
              <w:spacing w:after="0"/>
              <w:rPr>
                <w:sz w:val="20"/>
                <w:szCs w:val="20"/>
                <w:color w:val="auto"/>
              </w:rPr>
            </w:pPr>
            <w:r>
              <w:rPr>
                <w:rFonts w:ascii="Arial" w:cs="Arial" w:eastAsia="Arial" w:hAnsi="Arial"/>
                <w:sz w:val="14"/>
                <w:szCs w:val="14"/>
                <w:color w:val="auto"/>
                <w:w w:val="96"/>
              </w:rPr>
              <w:t>Distributions to non-controlling interest holders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00" w:type="dxa"/>
            <w:vAlign w:val="bottom"/>
            <w:gridSpan w:val="5"/>
          </w:tcPr>
          <w:p>
            <w:pPr>
              <w:spacing w:after="0"/>
              <w:rPr>
                <w:sz w:val="20"/>
                <w:szCs w:val="20"/>
                <w:color w:val="auto"/>
              </w:rPr>
            </w:pPr>
            <w:r>
              <w:rPr>
                <w:rFonts w:ascii="Arial" w:cs="Arial" w:eastAsia="Arial" w:hAnsi="Arial"/>
                <w:sz w:val="14"/>
                <w:szCs w:val="14"/>
                <w:color w:val="auto"/>
              </w:rPr>
              <w:t>Share-based compensation expense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2,039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800" w:type="dxa"/>
            <w:vAlign w:val="bottom"/>
            <w:gridSpan w:val="5"/>
          </w:tcPr>
          <w:p>
            <w:pPr>
              <w:spacing w:after="0"/>
              <w:rPr>
                <w:sz w:val="20"/>
                <w:szCs w:val="20"/>
                <w:color w:val="auto"/>
              </w:rPr>
            </w:pPr>
            <w:r>
              <w:rPr>
                <w:rFonts w:ascii="Arial" w:cs="Arial" w:eastAsia="Arial" w:hAnsi="Arial"/>
                <w:sz w:val="14"/>
                <w:szCs w:val="14"/>
                <w:color w:val="auto"/>
              </w:rPr>
              <w:t>Exercise of stock options and issuance of</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Arial" w:cs="Arial" w:eastAsia="Arial" w:hAnsi="Arial"/>
                <w:sz w:val="14"/>
                <w:szCs w:val="14"/>
                <w:color w:val="auto"/>
                <w:w w:val="99"/>
              </w:rPr>
              <w:t>restricted share units and restricted shares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00" w:type="dxa"/>
            <w:vAlign w:val="bottom"/>
            <w:gridSpan w:val="5"/>
          </w:tcPr>
          <w:p>
            <w:pPr>
              <w:spacing w:after="0"/>
              <w:rPr>
                <w:sz w:val="20"/>
                <w:szCs w:val="20"/>
                <w:color w:val="auto"/>
              </w:rPr>
            </w:pPr>
            <w:r>
              <w:rPr>
                <w:rFonts w:ascii="Arial" w:cs="Arial" w:eastAsia="Arial" w:hAnsi="Arial"/>
                <w:sz w:val="14"/>
                <w:szCs w:val="14"/>
                <w:color w:val="auto"/>
                <w:w w:val="94"/>
              </w:rPr>
              <w:t>Treasury shares withheld for the payment of tax</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40" w:type="dxa"/>
            <w:vAlign w:val="bottom"/>
            <w:gridSpan w:val="3"/>
          </w:tcPr>
          <w:p>
            <w:pPr>
              <w:spacing w:after="0" w:line="149" w:lineRule="exact"/>
              <w:rPr>
                <w:sz w:val="20"/>
                <w:szCs w:val="20"/>
                <w:color w:val="auto"/>
              </w:rPr>
            </w:pPr>
            <w:r>
              <w:rPr>
                <w:rFonts w:ascii="Arial" w:cs="Arial" w:eastAsia="Arial" w:hAnsi="Arial"/>
                <w:sz w:val="14"/>
                <w:szCs w:val="14"/>
                <w:color w:val="auto"/>
                <w:w w:val="97"/>
              </w:rPr>
              <w:t>on restricted share unit and restricted share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Arial" w:cs="Arial" w:eastAsia="Arial" w:hAnsi="Arial"/>
                <w:sz w:val="14"/>
                <w:szCs w:val="14"/>
                <w:color w:val="auto"/>
              </w:rPr>
              <w:t>issuances and stock option exercises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800" w:type="dxa"/>
            <w:vAlign w:val="bottom"/>
            <w:gridSpan w:val="5"/>
          </w:tcPr>
          <w:p>
            <w:pPr>
              <w:spacing w:after="0"/>
              <w:rPr>
                <w:sz w:val="20"/>
                <w:szCs w:val="20"/>
                <w:color w:val="auto"/>
              </w:rPr>
            </w:pPr>
            <w:r>
              <w:rPr>
                <w:rFonts w:ascii="Arial" w:cs="Arial" w:eastAsia="Arial" w:hAnsi="Arial"/>
                <w:sz w:val="14"/>
                <w:szCs w:val="14"/>
                <w:color w:val="auto"/>
              </w:rPr>
              <w:t>Repurchase of shares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0"/>
        </w:trPr>
        <w:tc>
          <w:tcPr>
            <w:tcW w:w="2800" w:type="dxa"/>
            <w:vAlign w:val="bottom"/>
            <w:gridSpan w:val="5"/>
          </w:tcPr>
          <w:p>
            <w:pPr>
              <w:spacing w:after="0"/>
              <w:rPr>
                <w:sz w:val="20"/>
                <w:szCs w:val="20"/>
                <w:color w:val="auto"/>
              </w:rPr>
            </w:pPr>
            <w:r>
              <w:rPr>
                <w:rFonts w:ascii="Arial" w:cs="Arial" w:eastAsia="Arial" w:hAnsi="Arial"/>
                <w:sz w:val="14"/>
                <w:szCs w:val="14"/>
                <w:color w:val="auto"/>
              </w:rPr>
              <w:t>Balance, September 30, 2018</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118,625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-4690110</wp:posOffset>
            </wp:positionV>
            <wp:extent cx="71691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-4347210</wp:posOffset>
            </wp:positionV>
            <wp:extent cx="71691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-4004310</wp:posOffset>
            </wp:positionV>
            <wp:extent cx="716915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-3309620</wp:posOffset>
            </wp:positionV>
            <wp:extent cx="716915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12001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-3018155</wp:posOffset>
            </wp:positionV>
            <wp:extent cx="71691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-2675255</wp:posOffset>
            </wp:positionV>
            <wp:extent cx="716915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-2134870</wp:posOffset>
            </wp:positionV>
            <wp:extent cx="71691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-1834515</wp:posOffset>
            </wp:positionV>
            <wp:extent cx="71691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-1543050</wp:posOffset>
            </wp:positionV>
            <wp:extent cx="71691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-1200150</wp:posOffset>
            </wp:positionV>
            <wp:extent cx="71691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-805180</wp:posOffset>
            </wp:positionV>
            <wp:extent cx="7169150"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31750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-316865</wp:posOffset>
            </wp:positionV>
            <wp:extent cx="716915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150" cy="12890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-3609975</wp:posOffset>
            </wp:positionV>
            <wp:extent cx="716915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626,600</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(426,609)</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339,985</w:t>
            </w:r>
          </w:p>
        </w:tc>
      </w:tr>
      <w:tr>
        <w:trPr>
          <w:trHeight w:val="459"/>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(4,132)</w:t>
            </w: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(3,607)</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(672)</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2,201</w:t>
            </w:r>
          </w:p>
        </w:tc>
      </w:tr>
      <w:tr>
        <w:trPr>
          <w:trHeight w:val="270"/>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(9,715)</w:t>
            </w:r>
          </w:p>
        </w:tc>
        <w:tc>
          <w:tcPr>
            <w:tcW w:w="4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(10,448)</w:t>
            </w:r>
          </w:p>
        </w:tc>
      </w:tr>
      <w:tr>
        <w:trPr>
          <w:trHeight w:val="351"/>
        </w:trPr>
        <w:tc>
          <w:tcPr>
            <w:tcW w:w="680" w:type="dxa"/>
            <w:vAlign w:val="bottom"/>
          </w:tcPr>
          <w:p>
            <w:pPr>
              <w:jc w:val="right"/>
              <w:ind w:right="108"/>
              <w:spacing w:after="0"/>
              <w:rPr>
                <w:sz w:val="20"/>
                <w:szCs w:val="20"/>
                <w:color w:val="auto"/>
              </w:rPr>
            </w:pPr>
            <w:r>
              <w:rPr>
                <w:rFonts w:ascii="Arial" w:cs="Arial" w:eastAsia="Arial" w:hAnsi="Arial"/>
                <w:sz w:val="14"/>
                <w:szCs w:val="14"/>
                <w:color w:val="auto"/>
                <w:w w:val="91"/>
              </w:rPr>
              <w:t>(12,500)</w:t>
            </w: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15,117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2,617</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(9,994)</w:t>
            </w:r>
          </w:p>
        </w:tc>
      </w:tr>
      <w:tr>
        <w:trPr>
          <w:trHeight w:val="447"/>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600,253</w:t>
            </w: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(421,486)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320,082</w:t>
            </w:r>
          </w:p>
        </w:tc>
      </w:tr>
      <w:tr>
        <w:trPr>
          <w:trHeight w:val="459"/>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1,568</w:t>
            </w: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2,255</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(509)</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1,910</w:t>
            </w:r>
          </w:p>
        </w:tc>
      </w:tr>
      <w:tr>
        <w:trPr>
          <w:trHeight w:val="351"/>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(4,737)</w:t>
            </w: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4,827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90</w:t>
            </w:r>
          </w:p>
        </w:tc>
      </w:tr>
      <w:tr>
        <w:trPr>
          <w:trHeight w:val="500"/>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(816)</w:t>
            </w: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(11,127)</w:t>
            </w:r>
          </w:p>
        </w:tc>
      </w:tr>
      <w:tr>
        <w:trPr>
          <w:trHeight w:val="447"/>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596,268</w:t>
            </w: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(427,380)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312,291</w:t>
            </w:r>
          </w:p>
        </w:tc>
      </w:tr>
      <w:tr>
        <w:trPr>
          <w:trHeight w:val="459"/>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8,667</w:t>
            </w: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9,521</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(731)</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2,039</w:t>
            </w:r>
          </w:p>
        </w:tc>
      </w:tr>
      <w:tr>
        <w:trPr>
          <w:trHeight w:val="351"/>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(1,287)</w:t>
            </w: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2,156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869</w:t>
            </w:r>
          </w:p>
        </w:tc>
      </w:tr>
      <w:tr>
        <w:trPr>
          <w:trHeight w:val="500"/>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(305)</w:t>
            </w:r>
          </w:p>
        </w:tc>
        <w:tc>
          <w:tcPr>
            <w:tcW w:w="4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w:t>
            </w:r>
          </w:p>
        </w:tc>
      </w:tr>
      <w:tr>
        <w:trPr>
          <w:trHeight w:val="439"/>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603,343</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(425,767)</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323,141</w:t>
            </w:r>
          </w:p>
        </w:tc>
      </w:tr>
      <w:tr>
        <w:trPr>
          <w:trHeight w:val="20"/>
        </w:trPr>
        <w:tc>
          <w:tcPr>
            <w:tcW w:w="6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-25400</wp:posOffset>
            </wp:positionV>
            <wp:extent cx="6343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-273050</wp:posOffset>
            </wp:positionH>
            <wp:positionV relativeFrom="paragraph">
              <wp:posOffset>-8255</wp:posOffset>
            </wp:positionV>
            <wp:extent cx="6343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-273050</wp:posOffset>
            </wp:positionH>
            <wp:positionV relativeFrom="paragraph">
              <wp:posOffset>-1963420</wp:posOffset>
            </wp:positionV>
            <wp:extent cx="6343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340"/>
            <w:col w:w="5000"/>
          </w:cols>
          <w:pgMar w:left="280" w:top="121" w:right="359" w:bottom="1440" w:gutter="0" w:footer="0" w:header="0"/>
          <w:type w:val="continuous"/>
        </w:sectPr>
      </w:pPr>
    </w:p>
    <w:p>
      <w:pPr>
        <w:spacing w:after="0" w:line="83"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80" w:top="121" w:right="359" w:bottom="1440" w:gutter="0" w:footer="0" w:header="0"/>
          <w:type w:val="continuous"/>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Altisource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23495</wp:posOffset>
            </wp:positionV>
            <wp:extent cx="40303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25" w:lineRule="exact"/>
        <w:rPr>
          <w:sz w:val="20"/>
          <w:szCs w:val="20"/>
          <w:color w:val="auto"/>
        </w:rPr>
      </w:pPr>
    </w:p>
    <w:tbl>
      <w:tblPr>
        <w:tblLayout w:type="fixed"/>
        <w:tblInd w:w="282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Accumulated other</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Additional paid-</w:t>
            </w:r>
          </w:p>
        </w:tc>
        <w:tc>
          <w:tcPr>
            <w:tcW w:w="110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Retained</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Treasury stock,</w:t>
            </w: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880" w:type="dxa"/>
            <w:vAlign w:val="bottom"/>
          </w:tcPr>
          <w:p>
            <w:pPr>
              <w:spacing w:after="0"/>
              <w:rPr>
                <w:sz w:val="11"/>
                <w:szCs w:val="11"/>
                <w:color w:val="auto"/>
              </w:rPr>
            </w:pPr>
          </w:p>
        </w:tc>
      </w:tr>
      <w:tr>
        <w:trPr>
          <w:trHeight w:val="174"/>
        </w:trPr>
        <w:tc>
          <w:tcPr>
            <w:tcW w:w="174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 capital</w:t>
            </w:r>
          </w:p>
        </w:tc>
        <w:tc>
          <w:tcPr>
            <w:tcW w:w="120" w:type="dxa"/>
            <w:vAlign w:val="bottom"/>
          </w:tcPr>
          <w:p>
            <w:pPr>
              <w:spacing w:after="0"/>
              <w:rPr>
                <w:sz w:val="15"/>
                <w:szCs w:val="15"/>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at cost</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interests</w:t>
            </w:r>
          </w:p>
        </w:tc>
        <w:tc>
          <w:tcPr>
            <w:tcW w:w="120" w:type="dxa"/>
            <w:vAlign w:val="bottom"/>
          </w:tcPr>
          <w:p>
            <w:pPr>
              <w:spacing w:after="0"/>
              <w:rPr>
                <w:sz w:val="15"/>
                <w:szCs w:val="15"/>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Total</w:t>
            </w:r>
          </w:p>
        </w:tc>
      </w:tr>
      <w:tr>
        <w:trPr>
          <w:trHeight w:val="264"/>
        </w:trPr>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Shares</w:t>
            </w:r>
          </w:p>
        </w:tc>
        <w:tc>
          <w:tcPr>
            <w:tcW w:w="1060" w:type="dxa"/>
            <w:vAlign w:val="bottom"/>
            <w:gridSpan w:val="2"/>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120015</wp:posOffset>
            </wp:positionV>
            <wp:extent cx="716915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ectPr>
          <w:pgSz w:w="11900" w:h="16838" w:orient="portrait"/>
          <w:cols w:equalWidth="0" w:num="1">
            <w:col w:w="11260"/>
          </w:cols>
          <w:pgMar w:left="340" w:top="121" w:right="299" w:bottom="1440" w:gutter="0" w:footer="0" w:header="0"/>
        </w:sect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20" w:type="dxa"/>
            <w:vAlign w:val="bottom"/>
          </w:tcPr>
          <w:p>
            <w:pPr>
              <w:spacing w:after="0"/>
              <w:rPr>
                <w:sz w:val="20"/>
                <w:szCs w:val="20"/>
                <w:color w:val="auto"/>
              </w:rPr>
            </w:pPr>
            <w:r>
              <w:rPr>
                <w:rFonts w:ascii="Arial" w:cs="Arial" w:eastAsia="Arial" w:hAnsi="Arial"/>
                <w:sz w:val="14"/>
                <w:szCs w:val="14"/>
                <w:color w:val="auto"/>
              </w:rPr>
              <w:t>Balance, December 31, 2018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122,667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00"/>
        </w:trPr>
        <w:tc>
          <w:tcPr>
            <w:tcW w:w="2820" w:type="dxa"/>
            <w:vAlign w:val="bottom"/>
          </w:tcPr>
          <w:p>
            <w:pPr>
              <w:spacing w:after="0"/>
              <w:rPr>
                <w:sz w:val="20"/>
                <w:szCs w:val="20"/>
                <w:color w:val="auto"/>
              </w:rPr>
            </w:pPr>
            <w:r>
              <w:rPr>
                <w:rFonts w:ascii="Arial" w:cs="Arial" w:eastAsia="Arial" w:hAnsi="Arial"/>
                <w:sz w:val="14"/>
                <w:szCs w:val="14"/>
                <w:color w:val="auto"/>
              </w:rPr>
              <w:t>Net (loss)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r>
      <w:tr>
        <w:trPr>
          <w:trHeight w:val="270"/>
        </w:trPr>
        <w:tc>
          <w:tcPr>
            <w:tcW w:w="2820" w:type="dxa"/>
            <w:vAlign w:val="bottom"/>
          </w:tcPr>
          <w:p>
            <w:pPr>
              <w:spacing w:after="0"/>
              <w:rPr>
                <w:sz w:val="20"/>
                <w:szCs w:val="20"/>
                <w:color w:val="auto"/>
              </w:rPr>
            </w:pPr>
            <w:r>
              <w:rPr>
                <w:rFonts w:ascii="Arial" w:cs="Arial" w:eastAsia="Arial" w:hAnsi="Arial"/>
                <w:sz w:val="14"/>
                <w:szCs w:val="14"/>
                <w:color w:val="auto"/>
                <w:w w:val="97"/>
              </w:rPr>
              <w:t>Distributions to non-controlling interest holders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r>
      <w:tr>
        <w:trPr>
          <w:trHeight w:val="270"/>
        </w:trPr>
        <w:tc>
          <w:tcPr>
            <w:tcW w:w="282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2,621</w:t>
            </w:r>
          </w:p>
        </w:tc>
        <w:tc>
          <w:tcPr>
            <w:tcW w:w="200" w:type="dxa"/>
            <w:vAlign w:val="bottom"/>
          </w:tcPr>
          <w:p>
            <w:pPr>
              <w:spacing w:after="0"/>
              <w:rPr>
                <w:sz w:val="23"/>
                <w:szCs w:val="23"/>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color w:val="auto"/>
              </w:rPr>
              <w:t>Exercise of stock options and issuance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2"/>
        </w:trPr>
        <w:tc>
          <w:tcPr>
            <w:tcW w:w="2820" w:type="dxa"/>
            <w:vAlign w:val="bottom"/>
          </w:tcPr>
          <w:p>
            <w:pPr>
              <w:ind w:left="160"/>
              <w:spacing w:after="0"/>
              <w:rPr>
                <w:sz w:val="20"/>
                <w:szCs w:val="20"/>
                <w:color w:val="auto"/>
              </w:rPr>
            </w:pPr>
            <w:r>
              <w:rPr>
                <w:rFonts w:ascii="Arial" w:cs="Arial" w:eastAsia="Arial" w:hAnsi="Arial"/>
                <w:sz w:val="14"/>
                <w:szCs w:val="14"/>
                <w:color w:val="auto"/>
                <w:w w:val="99"/>
              </w:rPr>
              <w:t>restricted share units and restricted shares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color w:val="auto"/>
                <w:w w:val="94"/>
              </w:rPr>
              <w:t>Treasury shares withheld for the payment of tax</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820" w:type="dxa"/>
            <w:vAlign w:val="bottom"/>
          </w:tcPr>
          <w:p>
            <w:pPr>
              <w:ind w:left="160"/>
              <w:spacing w:after="0" w:line="149" w:lineRule="exact"/>
              <w:rPr>
                <w:sz w:val="20"/>
                <w:szCs w:val="20"/>
                <w:color w:val="auto"/>
              </w:rPr>
            </w:pPr>
            <w:r>
              <w:rPr>
                <w:rFonts w:ascii="Arial" w:cs="Arial" w:eastAsia="Arial" w:hAnsi="Arial"/>
                <w:sz w:val="14"/>
                <w:szCs w:val="14"/>
                <w:color w:val="auto"/>
                <w:w w:val="97"/>
              </w:rPr>
              <w:t>on restricted share unit and restricted share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88"/>
        </w:trPr>
        <w:tc>
          <w:tcPr>
            <w:tcW w:w="2820" w:type="dxa"/>
            <w:vAlign w:val="bottom"/>
          </w:tcPr>
          <w:p>
            <w:pPr>
              <w:ind w:left="160"/>
              <w:spacing w:after="0"/>
              <w:rPr>
                <w:sz w:val="20"/>
                <w:szCs w:val="20"/>
                <w:color w:val="auto"/>
              </w:rPr>
            </w:pPr>
            <w:r>
              <w:rPr>
                <w:rFonts w:ascii="Arial" w:cs="Arial" w:eastAsia="Arial" w:hAnsi="Arial"/>
                <w:sz w:val="14"/>
                <w:szCs w:val="14"/>
                <w:color w:val="auto"/>
              </w:rPr>
              <w:t>issuances and stock option exercises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r>
      <w:tr>
        <w:trPr>
          <w:trHeight w:val="447"/>
        </w:trPr>
        <w:tc>
          <w:tcPr>
            <w:tcW w:w="2820" w:type="dxa"/>
            <w:vAlign w:val="bottom"/>
          </w:tcPr>
          <w:p>
            <w:pPr>
              <w:spacing w:after="0"/>
              <w:rPr>
                <w:sz w:val="20"/>
                <w:szCs w:val="20"/>
                <w:color w:val="auto"/>
              </w:rPr>
            </w:pPr>
            <w:r>
              <w:rPr>
                <w:rFonts w:ascii="Arial" w:cs="Arial" w:eastAsia="Arial" w:hAnsi="Arial"/>
                <w:sz w:val="14"/>
                <w:szCs w:val="14"/>
                <w:color w:val="auto"/>
              </w:rPr>
              <w:t>Balance, March 31, 2019</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125,288</w:t>
            </w:r>
          </w:p>
        </w:tc>
        <w:tc>
          <w:tcPr>
            <w:tcW w:w="200" w:type="dxa"/>
            <w:vAlign w:val="bottom"/>
          </w:tcPr>
          <w:p>
            <w:pPr>
              <w:spacing w:after="0"/>
              <w:rPr>
                <w:sz w:val="24"/>
                <w:szCs w:val="24"/>
                <w:color w:val="auto"/>
              </w:rPr>
            </w:pPr>
          </w:p>
        </w:tc>
      </w:tr>
      <w:tr>
        <w:trPr>
          <w:trHeight w:val="459"/>
        </w:trPr>
        <w:tc>
          <w:tcPr>
            <w:tcW w:w="2820" w:type="dxa"/>
            <w:vAlign w:val="bottom"/>
          </w:tcPr>
          <w:p>
            <w:pPr>
              <w:spacing w:after="0"/>
              <w:rPr>
                <w:sz w:val="20"/>
                <w:szCs w:val="20"/>
                <w:color w:val="auto"/>
              </w:rPr>
            </w:pPr>
            <w:r>
              <w:rPr>
                <w:rFonts w:ascii="Arial" w:cs="Arial" w:eastAsia="Arial" w:hAnsi="Arial"/>
                <w:sz w:val="14"/>
                <w:szCs w:val="14"/>
                <w:color w:val="auto"/>
              </w:rPr>
              <w:t>Net (loss)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r>
      <w:tr>
        <w:trPr>
          <w:trHeight w:val="270"/>
        </w:trPr>
        <w:tc>
          <w:tcPr>
            <w:tcW w:w="2820" w:type="dxa"/>
            <w:vAlign w:val="bottom"/>
          </w:tcPr>
          <w:p>
            <w:pPr>
              <w:spacing w:after="0"/>
              <w:rPr>
                <w:sz w:val="20"/>
                <w:szCs w:val="20"/>
                <w:color w:val="auto"/>
              </w:rPr>
            </w:pPr>
            <w:r>
              <w:rPr>
                <w:rFonts w:ascii="Arial" w:cs="Arial" w:eastAsia="Arial" w:hAnsi="Arial"/>
                <w:sz w:val="14"/>
                <w:szCs w:val="14"/>
                <w:color w:val="auto"/>
                <w:w w:val="97"/>
              </w:rPr>
              <w:t>Distributions to non-controlling interest holders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r>
      <w:tr>
        <w:trPr>
          <w:trHeight w:val="270"/>
        </w:trPr>
        <w:tc>
          <w:tcPr>
            <w:tcW w:w="282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2,832</w:t>
            </w:r>
          </w:p>
        </w:tc>
        <w:tc>
          <w:tcPr>
            <w:tcW w:w="200" w:type="dxa"/>
            <w:vAlign w:val="bottom"/>
          </w:tcPr>
          <w:p>
            <w:pPr>
              <w:spacing w:after="0"/>
              <w:rPr>
                <w:sz w:val="23"/>
                <w:szCs w:val="23"/>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color w:val="auto"/>
              </w:rPr>
              <w:t>Exercise of stock options and issuance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2"/>
        </w:trPr>
        <w:tc>
          <w:tcPr>
            <w:tcW w:w="2820" w:type="dxa"/>
            <w:vAlign w:val="bottom"/>
          </w:tcPr>
          <w:p>
            <w:pPr>
              <w:ind w:left="160"/>
              <w:spacing w:after="0"/>
              <w:rPr>
                <w:sz w:val="20"/>
                <w:szCs w:val="20"/>
                <w:color w:val="auto"/>
              </w:rPr>
            </w:pPr>
            <w:r>
              <w:rPr>
                <w:rFonts w:ascii="Arial" w:cs="Arial" w:eastAsia="Arial" w:hAnsi="Arial"/>
                <w:sz w:val="14"/>
                <w:szCs w:val="14"/>
                <w:color w:val="auto"/>
                <w:w w:val="99"/>
              </w:rPr>
              <w:t>restricted share units and restricted shares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color w:val="auto"/>
                <w:w w:val="94"/>
              </w:rPr>
              <w:t>Treasury shares withheld for the payment of tax</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820" w:type="dxa"/>
            <w:vAlign w:val="bottom"/>
          </w:tcPr>
          <w:p>
            <w:pPr>
              <w:ind w:left="160"/>
              <w:spacing w:after="0" w:line="149" w:lineRule="exact"/>
              <w:rPr>
                <w:sz w:val="20"/>
                <w:szCs w:val="20"/>
                <w:color w:val="auto"/>
              </w:rPr>
            </w:pPr>
            <w:r>
              <w:rPr>
                <w:rFonts w:ascii="Arial" w:cs="Arial" w:eastAsia="Arial" w:hAnsi="Arial"/>
                <w:sz w:val="14"/>
                <w:szCs w:val="14"/>
                <w:color w:val="auto"/>
                <w:w w:val="97"/>
              </w:rPr>
              <w:t>on restricted share unit and restricted share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82"/>
        </w:trPr>
        <w:tc>
          <w:tcPr>
            <w:tcW w:w="2820" w:type="dxa"/>
            <w:vAlign w:val="bottom"/>
          </w:tcPr>
          <w:p>
            <w:pPr>
              <w:ind w:left="160"/>
              <w:spacing w:after="0"/>
              <w:rPr>
                <w:sz w:val="20"/>
                <w:szCs w:val="20"/>
                <w:color w:val="auto"/>
              </w:rPr>
            </w:pPr>
            <w:r>
              <w:rPr>
                <w:rFonts w:ascii="Arial" w:cs="Arial" w:eastAsia="Arial" w:hAnsi="Arial"/>
                <w:sz w:val="14"/>
                <w:szCs w:val="14"/>
                <w:color w:val="auto"/>
              </w:rPr>
              <w:t>issuances and stock option exercises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r>
      <w:tr>
        <w:trPr>
          <w:trHeight w:val="276"/>
        </w:trPr>
        <w:tc>
          <w:tcPr>
            <w:tcW w:w="2820" w:type="dxa"/>
            <w:vAlign w:val="bottom"/>
          </w:tcPr>
          <w:p>
            <w:pPr>
              <w:spacing w:after="0"/>
              <w:rPr>
                <w:sz w:val="20"/>
                <w:szCs w:val="20"/>
                <w:color w:val="auto"/>
              </w:rPr>
            </w:pPr>
            <w:r>
              <w:rPr>
                <w:rFonts w:ascii="Arial" w:cs="Arial" w:eastAsia="Arial" w:hAnsi="Arial"/>
                <w:sz w:val="14"/>
                <w:szCs w:val="14"/>
                <w:color w:val="auto"/>
              </w:rPr>
              <w:t>Repurchase of shares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r>
      <w:tr>
        <w:trPr>
          <w:trHeight w:val="447"/>
        </w:trPr>
        <w:tc>
          <w:tcPr>
            <w:tcW w:w="2820" w:type="dxa"/>
            <w:vAlign w:val="bottom"/>
          </w:tcPr>
          <w:p>
            <w:pPr>
              <w:spacing w:after="0"/>
              <w:rPr>
                <w:sz w:val="20"/>
                <w:szCs w:val="20"/>
                <w:color w:val="auto"/>
              </w:rPr>
            </w:pPr>
            <w:r>
              <w:rPr>
                <w:rFonts w:ascii="Arial" w:cs="Arial" w:eastAsia="Arial" w:hAnsi="Arial"/>
                <w:sz w:val="14"/>
                <w:szCs w:val="14"/>
                <w:color w:val="auto"/>
              </w:rPr>
              <w:t>Balance, June 30, 2019</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128,120</w:t>
            </w:r>
          </w:p>
        </w:tc>
        <w:tc>
          <w:tcPr>
            <w:tcW w:w="200" w:type="dxa"/>
            <w:vAlign w:val="bottom"/>
          </w:tcPr>
          <w:p>
            <w:pPr>
              <w:spacing w:after="0"/>
              <w:rPr>
                <w:sz w:val="24"/>
                <w:szCs w:val="24"/>
                <w:color w:val="auto"/>
              </w:rPr>
            </w:pPr>
          </w:p>
        </w:tc>
      </w:tr>
      <w:tr>
        <w:trPr>
          <w:trHeight w:val="459"/>
        </w:trPr>
        <w:tc>
          <w:tcPr>
            <w:tcW w:w="282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r>
      <w:tr>
        <w:trPr>
          <w:trHeight w:val="270"/>
        </w:trPr>
        <w:tc>
          <w:tcPr>
            <w:tcW w:w="2820" w:type="dxa"/>
            <w:vAlign w:val="bottom"/>
          </w:tcPr>
          <w:p>
            <w:pPr>
              <w:spacing w:after="0"/>
              <w:rPr>
                <w:sz w:val="20"/>
                <w:szCs w:val="20"/>
                <w:color w:val="auto"/>
              </w:rPr>
            </w:pPr>
            <w:r>
              <w:rPr>
                <w:rFonts w:ascii="Arial" w:cs="Arial" w:eastAsia="Arial" w:hAnsi="Arial"/>
                <w:sz w:val="14"/>
                <w:szCs w:val="14"/>
                <w:color w:val="auto"/>
                <w:w w:val="97"/>
              </w:rPr>
              <w:t>Distributions to non-controlling interest holders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r>
      <w:tr>
        <w:trPr>
          <w:trHeight w:val="270"/>
        </w:trPr>
        <w:tc>
          <w:tcPr>
            <w:tcW w:w="282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2,831</w:t>
            </w:r>
          </w:p>
        </w:tc>
        <w:tc>
          <w:tcPr>
            <w:tcW w:w="200" w:type="dxa"/>
            <w:vAlign w:val="bottom"/>
          </w:tcPr>
          <w:p>
            <w:pPr>
              <w:spacing w:after="0"/>
              <w:rPr>
                <w:sz w:val="23"/>
                <w:szCs w:val="23"/>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color w:val="auto"/>
              </w:rPr>
              <w:t>Exercise of stock options and issuance of</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2"/>
        </w:trPr>
        <w:tc>
          <w:tcPr>
            <w:tcW w:w="2820" w:type="dxa"/>
            <w:vAlign w:val="bottom"/>
          </w:tcPr>
          <w:p>
            <w:pPr>
              <w:ind w:left="160"/>
              <w:spacing w:after="0"/>
              <w:rPr>
                <w:sz w:val="20"/>
                <w:szCs w:val="20"/>
                <w:color w:val="auto"/>
              </w:rPr>
            </w:pPr>
            <w:r>
              <w:rPr>
                <w:rFonts w:ascii="Arial" w:cs="Arial" w:eastAsia="Arial" w:hAnsi="Arial"/>
                <w:sz w:val="14"/>
                <w:szCs w:val="14"/>
                <w:color w:val="auto"/>
                <w:w w:val="99"/>
              </w:rPr>
              <w:t>restricted share units and restricted shares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color w:val="auto"/>
                <w:w w:val="94"/>
              </w:rPr>
              <w:t>Treasury shares withheld for the payment of tax</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820" w:type="dxa"/>
            <w:vAlign w:val="bottom"/>
          </w:tcPr>
          <w:p>
            <w:pPr>
              <w:ind w:left="160"/>
              <w:spacing w:after="0" w:line="149" w:lineRule="exact"/>
              <w:rPr>
                <w:sz w:val="20"/>
                <w:szCs w:val="20"/>
                <w:color w:val="auto"/>
              </w:rPr>
            </w:pPr>
            <w:r>
              <w:rPr>
                <w:rFonts w:ascii="Arial" w:cs="Arial" w:eastAsia="Arial" w:hAnsi="Arial"/>
                <w:sz w:val="14"/>
                <w:szCs w:val="14"/>
                <w:color w:val="auto"/>
                <w:w w:val="97"/>
              </w:rPr>
              <w:t>on restricted share unit and restricted share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82"/>
        </w:trPr>
        <w:tc>
          <w:tcPr>
            <w:tcW w:w="2820" w:type="dxa"/>
            <w:vAlign w:val="bottom"/>
          </w:tcPr>
          <w:p>
            <w:pPr>
              <w:ind w:left="160"/>
              <w:spacing w:after="0"/>
              <w:rPr>
                <w:sz w:val="20"/>
                <w:szCs w:val="20"/>
                <w:color w:val="auto"/>
              </w:rPr>
            </w:pPr>
            <w:r>
              <w:rPr>
                <w:rFonts w:ascii="Arial" w:cs="Arial" w:eastAsia="Arial" w:hAnsi="Arial"/>
                <w:sz w:val="14"/>
                <w:szCs w:val="14"/>
                <w:color w:val="auto"/>
              </w:rPr>
              <w:t>issuances and stock option exercises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r>
      <w:tr>
        <w:trPr>
          <w:trHeight w:val="276"/>
        </w:trPr>
        <w:tc>
          <w:tcPr>
            <w:tcW w:w="2820" w:type="dxa"/>
            <w:vAlign w:val="bottom"/>
          </w:tcPr>
          <w:p>
            <w:pPr>
              <w:spacing w:after="0"/>
              <w:rPr>
                <w:sz w:val="20"/>
                <w:szCs w:val="20"/>
                <w:color w:val="auto"/>
              </w:rPr>
            </w:pPr>
            <w:r>
              <w:rPr>
                <w:rFonts w:ascii="Arial" w:cs="Arial" w:eastAsia="Arial" w:hAnsi="Arial"/>
                <w:sz w:val="14"/>
                <w:szCs w:val="14"/>
                <w:color w:val="auto"/>
              </w:rPr>
              <w:t>Repurchase of shares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r>
      <w:tr>
        <w:trPr>
          <w:trHeight w:val="440"/>
        </w:trPr>
        <w:tc>
          <w:tcPr>
            <w:tcW w:w="2820" w:type="dxa"/>
            <w:vAlign w:val="bottom"/>
          </w:tcPr>
          <w:p>
            <w:pPr>
              <w:spacing w:after="0"/>
              <w:rPr>
                <w:sz w:val="20"/>
                <w:szCs w:val="20"/>
                <w:color w:val="auto"/>
              </w:rPr>
            </w:pPr>
            <w:r>
              <w:rPr>
                <w:rFonts w:ascii="Arial" w:cs="Arial" w:eastAsia="Arial" w:hAnsi="Arial"/>
                <w:sz w:val="14"/>
                <w:szCs w:val="14"/>
                <w:color w:val="auto"/>
              </w:rPr>
              <w:t>Balance, September 30, 2019</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25,413</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130,951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-4664710</wp:posOffset>
            </wp:positionV>
            <wp:extent cx="71691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-4321810</wp:posOffset>
            </wp:positionV>
            <wp:extent cx="716915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-3926840</wp:posOffset>
            </wp:positionV>
            <wp:extent cx="716915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3175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-3481070</wp:posOffset>
            </wp:positionV>
            <wp:extent cx="71691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-3189605</wp:posOffset>
            </wp:positionV>
            <wp:extent cx="71691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-2846705</wp:posOffset>
            </wp:positionV>
            <wp:extent cx="71691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-2451735</wp:posOffset>
            </wp:positionV>
            <wp:extent cx="7169150" cy="317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0" cy="3175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-1663065</wp:posOffset>
            </wp:positionV>
            <wp:extent cx="716915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150" cy="12001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-1371600</wp:posOffset>
            </wp:positionV>
            <wp:extent cx="71691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-1028700</wp:posOffset>
            </wp:positionV>
            <wp:extent cx="7169150"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150" cy="22288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-488315</wp:posOffset>
            </wp:positionV>
            <wp:extent cx="71691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-187960</wp:posOffset>
            </wp:positionV>
            <wp:extent cx="71691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-1963420</wp:posOffset>
            </wp:positionV>
            <wp:extent cx="716915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590,655</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(443,304)</w:t>
            </w:r>
          </w:p>
        </w:tc>
        <w:tc>
          <w:tcPr>
            <w:tcW w:w="10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1,237</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296,668</w:t>
            </w:r>
          </w:p>
        </w:tc>
      </w:tr>
      <w:tr>
        <w:trPr>
          <w:trHeight w:val="500"/>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(3,184)</w:t>
            </w:r>
          </w:p>
        </w:tc>
        <w:tc>
          <w:tcPr>
            <w:tcW w:w="48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(2,744)</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(620)</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2,621</w:t>
            </w:r>
          </w:p>
        </w:tc>
      </w:tr>
      <w:tr>
        <w:trPr>
          <w:trHeight w:val="351"/>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(1,549)</w:t>
            </w:r>
          </w:p>
        </w:tc>
        <w:tc>
          <w:tcPr>
            <w:tcW w:w="48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1,577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506"/>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(1,163)</w:t>
            </w: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w:t>
            </w:r>
          </w:p>
        </w:tc>
      </w:tr>
      <w:tr>
        <w:trPr>
          <w:trHeight w:val="447"/>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584,759</w:t>
            </w:r>
          </w:p>
        </w:tc>
        <w:tc>
          <w:tcPr>
            <w:tcW w:w="48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(441,149)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295,368</w:t>
            </w:r>
          </w:p>
        </w:tc>
      </w:tr>
      <w:tr>
        <w:trPr>
          <w:trHeight w:val="459"/>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(5,844)</w:t>
            </w:r>
          </w:p>
        </w:tc>
        <w:tc>
          <w:tcPr>
            <w:tcW w:w="48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(4,604)</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(518)</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2,832</w:t>
            </w:r>
          </w:p>
        </w:tc>
      </w:tr>
      <w:tr>
        <w:trPr>
          <w:trHeight w:val="351"/>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(3,473)</w:t>
            </w:r>
          </w:p>
        </w:tc>
        <w:tc>
          <w:tcPr>
            <w:tcW w:w="48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207</w:t>
            </w:r>
          </w:p>
        </w:tc>
      </w:tr>
      <w:tr>
        <w:trPr>
          <w:trHeight w:val="500"/>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(1,402)</w:t>
            </w:r>
          </w:p>
        </w:tc>
        <w:tc>
          <w:tcPr>
            <w:tcW w:w="48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(713)</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(6,700)</w:t>
            </w:r>
          </w:p>
        </w:tc>
      </w:tr>
      <w:tr>
        <w:trPr>
          <w:trHeight w:val="447"/>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574,040</w:t>
            </w:r>
          </w:p>
        </w:tc>
        <w:tc>
          <w:tcPr>
            <w:tcW w:w="48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(443,480)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1,779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285,872</w:t>
            </w:r>
          </w:p>
        </w:tc>
      </w:tr>
      <w:tr>
        <w:trPr>
          <w:trHeight w:val="459"/>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7,165</w:t>
            </w:r>
          </w:p>
        </w:tc>
        <w:tc>
          <w:tcPr>
            <w:tcW w:w="48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7,576</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(865)</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2,831</w:t>
            </w:r>
          </w:p>
        </w:tc>
      </w:tr>
      <w:tr>
        <w:trPr>
          <w:trHeight w:val="351"/>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(1,214)</w:t>
            </w:r>
          </w:p>
        </w:tc>
        <w:tc>
          <w:tcPr>
            <w:tcW w:w="48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157</w:t>
            </w:r>
          </w:p>
        </w:tc>
      </w:tr>
      <w:tr>
        <w:trPr>
          <w:trHeight w:val="500"/>
        </w:trPr>
        <w:tc>
          <w:tcPr>
            <w:tcW w:w="680" w:type="dxa"/>
            <w:vAlign w:val="bottom"/>
          </w:tcPr>
          <w:p>
            <w:pPr>
              <w:jc w:val="right"/>
              <w:ind w:right="108"/>
              <w:spacing w:after="0"/>
              <w:rPr>
                <w:sz w:val="20"/>
                <w:szCs w:val="20"/>
                <w:color w:val="auto"/>
              </w:rPr>
            </w:pPr>
            <w:r>
              <w:rPr>
                <w:rFonts w:ascii="Arial" w:cs="Arial" w:eastAsia="Arial" w:hAnsi="Arial"/>
                <w:sz w:val="14"/>
                <w:szCs w:val="14"/>
                <w:color w:val="auto"/>
              </w:rPr>
              <w:t>(434)</w:t>
            </w:r>
          </w:p>
        </w:tc>
        <w:tc>
          <w:tcPr>
            <w:tcW w:w="480" w:type="dxa"/>
            <w:vAlign w:val="bottom"/>
          </w:tcPr>
          <w:p>
            <w:pPr>
              <w:spacing w:after="0"/>
              <w:rPr>
                <w:sz w:val="24"/>
                <w:szCs w:val="24"/>
                <w:color w:val="auto"/>
              </w:rPr>
            </w:pP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(218)</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(6,697)</w:t>
            </w:r>
          </w:p>
        </w:tc>
      </w:tr>
      <w:tr>
        <w:trPr>
          <w:trHeight w:val="439"/>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579,557</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(448,590)</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1,325</w:t>
            </w:r>
          </w:p>
        </w:tc>
        <w:tc>
          <w:tcPr>
            <w:tcW w:w="12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288,656</w:t>
            </w:r>
          </w:p>
        </w:tc>
      </w:tr>
      <w:tr>
        <w:trPr>
          <w:trHeight w:val="20"/>
        </w:trPr>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-8255</wp:posOffset>
            </wp:positionV>
            <wp:extent cx="6343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-267970</wp:posOffset>
            </wp:positionH>
            <wp:positionV relativeFrom="paragraph">
              <wp:posOffset>-316865</wp:posOffset>
            </wp:positionV>
            <wp:extent cx="6343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-267970</wp:posOffset>
            </wp:positionH>
            <wp:positionV relativeFrom="paragraph">
              <wp:posOffset>-3609975</wp:posOffset>
            </wp:positionV>
            <wp:extent cx="6343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340"/>
            <w:col w:w="5000"/>
          </w:cols>
          <w:pgMar w:left="340" w:top="121" w:right="299" w:bottom="1440" w:gutter="0" w:footer="0" w:header="0"/>
          <w:type w:val="continuous"/>
        </w:sectPr>
      </w:pP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340" w:top="121" w:right="29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3"/>
        </w:trPr>
        <w:tc>
          <w:tcPr>
            <w:tcW w:w="8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8,169</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24,743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 under 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21,311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investment in 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6,150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sale of businesses (Note 3)</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(13,688)</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debt refinancing (Note 13)</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(excludes effect of sale of businesses):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Short-term investments in real estate</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39,873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(22,283)</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554</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and non-current operating lease liabilities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43,650</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15"/>
        </w:trPr>
        <w:tc>
          <w:tcPr>
            <w:tcW w:w="8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received from sale of equity securities</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7,819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sale of a business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10,793</w:t>
            </w:r>
          </w:p>
        </w:tc>
      </w:tr>
      <w:tr>
        <w:trPr>
          <w:trHeight w:val="115"/>
        </w:trPr>
        <w:tc>
          <w:tcPr>
            <w:tcW w:w="83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407,880</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and repurchases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(436,821)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treasury shares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(21,771)</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Payments of tax withholding on issuance of restricted share units and restricted shares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(54,698)</w:t>
            </w:r>
          </w:p>
        </w:tc>
      </w:tr>
      <w:tr>
        <w:trPr>
          <w:trHeight w:val="115"/>
        </w:trPr>
        <w:tc>
          <w:tcPr>
            <w:tcW w:w="83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64,046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108,843</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15"/>
        </w:trPr>
        <w:tc>
          <w:tcPr>
            <w:tcW w:w="8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70,625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108,588</w:t>
            </w:r>
          </w:p>
        </w:tc>
      </w:tr>
      <w:tr>
        <w:trPr>
          <w:trHeight w:val="257"/>
        </w:trPr>
        <w:tc>
          <w:tcPr>
            <w:tcW w:w="8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17,889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paid, net</w:t>
            </w:r>
          </w:p>
        </w:tc>
        <w:tc>
          <w:tcPr>
            <w:tcW w:w="3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4,162</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right-of-use assets with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Reduction of right-of-use assets from operating lease modifications or reassessments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22"/>
        </w:trPr>
        <w:tc>
          <w:tcPr>
            <w:tcW w:w="8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in payables for purchases of premises and equipment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ectPr>
          <w:pgSz w:w="11900" w:h="16838" w:orient="portrait"/>
          <w:cols w:equalWidth="0" w:num="1">
            <w:col w:w="11420"/>
          </w:cols>
          <w:pgMar w:left="240" w:top="125" w:right="239" w:bottom="0" w:gutter="0" w:footer="0" w:header="0"/>
        </w:sect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420"/>
          </w:cols>
          <w:pgMar w:left="240" w:top="125" w:right="2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395"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 Certain prior year amounts have been reclassified to conform to the current year presentation.</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Effective January 1, 2019, the Company reorganized its internal reporting structure in connection with Project Catalyst, a project initiated in August 2018 to optimize our operations and reduce costs to better align our cost structure with our anticipated revenues and improve our operating margins (see Note 23). The internal reorganization included, among other changes, the replacement of segment presidents with a chief operating officer, who is responsible for products, services and operations for the Company’s Mortgage Market and Real Estate Market businesses, reporting to our Chairman and Chief Executive Officer (our chief operating decision maker) who manages our businesses, regularly reviews operating results and profitability, allocates resources and evaluates performance on a consolidated basis. Prior to January 1, 2019, the Company reported our operations through two reportable segments: </w:t>
      </w:r>
      <w:r>
        <w:rPr>
          <w:rFonts w:ascii="Arial" w:cs="Arial" w:eastAsia="Arial" w:hAnsi="Arial"/>
          <w:sz w:val="17"/>
          <w:szCs w:val="17"/>
          <w:i w:val="1"/>
          <w:iCs w:val="1"/>
          <w:color w:val="auto"/>
        </w:rPr>
        <w:t>Mortgage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w:t>
      </w:r>
      <w:r>
        <w:rPr>
          <w:rFonts w:ascii="Arial" w:cs="Arial" w:eastAsia="Arial" w:hAnsi="Arial"/>
          <w:sz w:val="17"/>
          <w:szCs w:val="17"/>
          <w:color w:val="auto"/>
        </w:rPr>
        <w:t>and</w:t>
      </w:r>
      <w:r>
        <w:rPr>
          <w:rFonts w:ascii="Arial" w:cs="Arial" w:eastAsia="Arial" w:hAnsi="Arial"/>
          <w:sz w:val="17"/>
          <w:szCs w:val="17"/>
          <w:i w:val="1"/>
          <w:iCs w:val="1"/>
          <w:color w:val="auto"/>
        </w:rPr>
        <w:t xml:space="preserve"> Real Estate Market</w:t>
      </w:r>
      <w:r>
        <w:rPr>
          <w:rFonts w:ascii="Arial" w:cs="Arial" w:eastAsia="Arial" w:hAnsi="Arial"/>
          <w:sz w:val="17"/>
          <w:szCs w:val="17"/>
          <w:color w:val="auto"/>
        </w:rPr>
        <w:t>. In addition, we reported</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separately. The prior year presentation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reclassified to conform to the current year presentation.</w:t>
      </w:r>
    </w:p>
    <w:p>
      <w:pPr>
        <w:spacing w:after="0" w:line="12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September 30, 2019, Lenders One had total assets of $1.8 million and total liabilities of $0.7 million. As of December 31, 2018, Lenders One had total assets of $2.7 million and total liabilities of $1.3 million.</w:t>
      </w:r>
    </w:p>
    <w:p>
      <w:pPr>
        <w:spacing w:after="0" w:line="13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September 2019, Altisource announced the creation of Pointillist, Inc. (“Pointillist”) and contributed the Pointillist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journey analytics business and $8.5 million to it. Pointillist is owned by Altisource and management of Pointillist. Management of Pointillist owns a non-controlling interest representing 12% of the outstanding equity of Pointillist. Altisource has no ongoing obligation to provide future funding to Pointillist. Pointillist is presented in the accompanying condensed consolidated financial statements on a consolidated basis and the portion of Pointillist owned by Pointillist management is reported as non-controlling interests.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2018, as filed with the SEC on February 26, 2019.</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and in July 2018, the FASB issued ASU No.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and ASU No. 2018-11, </w:t>
      </w:r>
      <w:r>
        <w:rPr>
          <w:rFonts w:ascii="Arial" w:cs="Arial" w:eastAsia="Arial" w:hAnsi="Arial"/>
          <w:sz w:val="17"/>
          <w:szCs w:val="17"/>
          <w:i w:val="1"/>
          <w:iCs w:val="1"/>
          <w:color w:val="auto"/>
        </w:rPr>
        <w:t>Leases (Topic 842): Targeted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w:t>
      </w:r>
      <w:r>
        <w:rPr>
          <w:rFonts w:ascii="Arial" w:cs="Arial" w:eastAsia="Arial" w:hAnsi="Arial"/>
          <w:sz w:val="17"/>
          <w:szCs w:val="17"/>
          <w:color w:val="auto"/>
        </w:rPr>
        <w:t>(collectively “Topic 842”). Topic 842 introduces a new lessee model that brings substantially all leases on the balance sheet. This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lessees to recognize lease assets and lease liabilities on their balance sheets and disclose key information about leasing arrangements in their financial statements. The Company adopted Topic 842 effective January 1, 2019 using the modified retrospective transition approach. In addition, the Company elected the practical expedients permitted under the transition guidance within the new standard, including allowing the Company to carry forward its historical lease classification, using hindsight to determine the lease term for existing leases, combining fixed lease and non-lease components and excluding short-term leases. Adoption of this new standard resulted in the recognition of $42.1 million of right-of-use assets in right-of-use assets under operating leases, $45.5 million of operating lease liabilities ($16.7 million in other current liabilities and $28.8 million in other non-current liabilities) and reduced accrued rent and lease incentives of $3.4 million in accounts payable and accrued expenses and other non-current liabilities on the accompanying condensed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This standard will simplify the subsequent measurement of goodwill by eliminating Step 2 from the goodwill impairment test. Current guidance requires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is currently evaluating the impact this guidance may have on its condensed consolidated financial statements; however, adoption of this standard as of September 30, 2019 would not have had any impact on the Company’s condensed consolidated financial statements.</w:t>
      </w:r>
    </w:p>
    <w:p>
      <w:pPr>
        <w:spacing w:after="0" w:line="1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w:t>
      </w:r>
      <w:r>
        <w:rPr>
          <w:rFonts w:ascii="Arial" w:cs="Arial" w:eastAsia="Arial" w:hAnsi="Arial"/>
          <w:sz w:val="16"/>
          <w:szCs w:val="16"/>
          <w:color w:val="auto"/>
        </w:rPr>
        <w:t xml:space="preserve"> </w:t>
      </w:r>
      <w:r>
        <w:rPr>
          <w:rFonts w:ascii="Arial" w:cs="Arial" w:eastAsia="Arial" w:hAnsi="Arial"/>
          <w:sz w:val="16"/>
          <w:szCs w:val="16"/>
          <w:i w:val="1"/>
          <w:iCs w:val="1"/>
          <w:color w:val="auto"/>
        </w:rPr>
        <w:t>for Fair Value Measurement</w:t>
      </w:r>
      <w:r>
        <w:rPr>
          <w:rFonts w:ascii="Arial" w:cs="Arial" w:eastAsia="Arial" w:hAnsi="Arial"/>
          <w:sz w:val="16"/>
          <w:szCs w:val="16"/>
          <w:color w:val="auto"/>
        </w:rPr>
        <w:t>. This standard modifies certain disclosure requirements such as the valuation processes for Level 3 fair value measurements.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This standard also requires new disclosures such as the disclosure of certain assumptions used to develop significant unobservable inputs for Level 3 fair value measurements. This standard will be effective for annual periods beginning after December 15, 2019, including interim periods within that reporting period. Early adoption of either the entire standard or only the provisions that eliminate or modify requirements is permitted. The Company currently does not expect the adoption of this guidance to have an impact on its condensed consolidated financial statements.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 (a consensus of the FASB Emerging Issues Task Force)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This standard aligns the requirements for capitalizing implementation costs in a hosting arrangement service contract with the existing guidance for capitalizing implementation costs incurred for an internal-use software license. This standard also requires capitalizing or expensing implementation costs based on the nature of the costs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project stage during which they are incurred and establishes additional disclosure requirements. This standard will be effective for annual periods beginning after December 15, 2019, including interim periods within that reporting period. Early adoption of this standard is permitted. The Company currently plans to adopt the standard prospectively and is currently evaluating the impact this guidance may have on its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and nine months ended September 30, 2019, Ocwen was our largest customer, accounting for 54% of our total revenue for the nine months ended September 30, 2019 (63% of our revenue for the third quarter of 2019). Ocwen purchases certain mortgage services and technology services from us under the terms of services agreements and amendments thereto (collectively, the “Ocwen Services Agreements”) with terms extending through August 2025. Certain of the Ocwen Services Agreements contain a “most favored nation” provision and also grant the parties the right to renegotiate pricing, among other things.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nine months ended September 30, 2019 and 2018, we recognized revenue from Ocwen of $275.1 million and $325.8 million, respectively ($89.8 million and $115.0 million for the third quarter of 2019 and 2018, respectively). Revenue from Ocwen as a percentage of consolidated revenue was 54% and 53% for the nine months ended September 30, 2019 and 2018, respectively (63% and 56% for the third quarter of 2019 and 2018, respectively).</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earn additional revenue related to the portfolios serviced and subserviced by Ocwen when a party other than Ocwen or the MSR owner selects Altisource as the service provider. For the nine months ended September 30, 2019 and 2018, we recognized revenue of $28.3 million and $37.3 million, respectively ($8.1 million and $11.1 million for the third quarter of 2019 and 2018, respectively), related to the portfolios serviced by Ocwen when a party other than Ocwen or the MSR owner selected Altisource as the service provider. These amounts are not included in deriving revenue from Ocwen and revenue from Ocwen as a percentage of revenue discussed above.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accounts receivable from Ocwen totaled $32.9 million, $29.0 million of which was billed and $3.9 million of which was unbilled.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accounts receivable from Ocwen totaled $15.2 million, $11.6 million of which was billed and $3.6 million of which was unbilled.</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February 22, 2019, Altisource and Ocwen entered into agreements that, among other things, facilitate Ocwen’s transition from REALServicing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related technologies to another mortgage servicing software platform, establish a process for Ocwen to review and approve the assignment of one or more of our agreements to potential buyers of Altisource’s business lines, permit Ocwen to use service providers other than Altisource for up to 10% of referrals from certain portfolios (determined on a service-by-service basis), subject to certain restrictions, and affirms Altisource’s role as a strategic service provider to Ocwen through August 2025. If Altisource fails certain performance standards for specified periods of time, then Ocwen may terminate Altisource as a provider for the applicable service(s), subject to certain limitations and Altisource’s right to cure. We do not anticipate that the servicing technology transition will materially impact the other services we provide to Ocwen, other than what we believe is a temporary impact on default related referral volume and real estate owned (“REO”) inventory conversion rates from Ocwen’s transition to another servicing system. For the nine months ended September 30, 2019 and 2018, service revenue from REALServicing and related technologies was $13.8 million and $27.8 million, respectively ($2.5 million and $10.3 million for the third quarter of 2019 and 2018,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New Residential Investment Corp. (individually, together with one or more of its subsidiaries or one or more of its subsidiaries individually, “NRZ”) is a real estate investment trust that invests in and manages investments primarily related to residential real estate, including MSRs and excess MSRs.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has disclosed that NRZ is its largest client. As of June 30, 2019, NRZ owned MSRs or rights to MSRs relating to approximately 53% of loans serviced and subserviced by Ocwen (measured in unpaid principal balances (“UPB”)). In July 2017 and January 2018, Ocwen and NRZ entered into a series of agreements pursuant to which the parties agreed, among other things,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undertake certain actions to facilitate the transfer from Ocwen to NRZ of Ocwen’s legal title to certain of its MSRs (the “Subject MSRs”) and under which Ocwen will subservice mortgage loans underlying the MSRs for an initial term of five years.</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can, at Altisource’s discretion, be terminated by Altisource if a services agreement is not signed by Altisource and NRZ. The Brokerage Agreement may otherwise only be terminated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nine months ended September 30, 2019 and 2018, we recognized revenue from NRZ of $9.6 million and $24.1 million, respectively ($2.6 million and $5.0 million for the third quarter of 2019 and 2018, respectively), under the Brokerage Agreement. For the nine months ended September 30, 2019 and 2018, we recognized additional revenue of $45.5 million and $64.4 million, respectively ($11.4 million and $21.6 million for the third quarter of 2019 and 2018, respectively), relating to the Subject MSRs when a party other than NRZ selects Altisource as the service provider.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SALE OF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Property Management Business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These services were historically provided under an agreement between RESI and Altisource, in which Altisource was the sole provider of rental property management services to RESI through December 2027, subject to certain exceptions. The proceeds from the transaction totaled $18.0 million, payable in two installments. The first installment of $15.0 million was received on the closing date of August 8, 2018. The second installment of $3.0 million will be received on the earlier of a RESI change of control or on August 8, 2023. The present value of the second installment is included in other assets in the accompanying condensed consolidated balance sheets and has a discounted value of $2.3 million and $2.2 million as of September 30, 2019 and December 31, 2018,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 Business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28, 2019, Altisource entered into a definitive agreement to sell its Financial Services business, consisting of its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and transaction costs upon closing of the sale, and an additional $4.0 million payment on the one year anniversary of the sale closing. The sale closed on July 1, 2019 and in connection with this sale, we recognized a $17.6 million pretax gain on sale for the nine months ended September 30, 2019 and the third quarter of 2019. The parties also entered into a transition services agreement to provide for the management and orderly transition of certain services and technologies to TSI for periods ranging from 2 months to 13 months. These services include support for information technology systems and infrastructure, facilities management, finance, compliance and human resources functions and will be charged to TSI on a fixed fee or hourly basis. On July 17, 2019, Altisource used $37.0 million of the net up-front payment to repay a portion of its senior secured term loan.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IN EQUITY SECURITIES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2016, we purchased 4.1 million shares of RESI common stock. This investment is reflected in the accompanying condensed consolidated balance sheets at fair value and changes in fair value are included in other income (expense), net in the accompanying condensed consolidated statements of operations and comprehensive income (loss). As of September 30, 2019 and December 31, 2018, we held 3.5 million and 4.1 million shares, respectively, of RESI common stock. As of September 30, 2019 and December 31, 2018, the fair value of our investment was $40.1 million and $36.2 million, respectively. During the nine months ended September 30, 2019 and 2018, we recognized an unrealized gain (loss) from the change in fair value of $11.7 million and $(4.2)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million, respectively ($(2.3) million and $1.8 million for the third quarter of 2019 and 2018, respectively). The unrealized (loss) gain for the three and nine months ended September 30, 2019 included a less than $0.1 million net loss and a $1.9 million net gain, respectively, recognized on RESI shares sold during the periods. During the nine months ended September 30, 2019 and 2018, we earned dividends of $1.7 million and $1.9 million, respectively ($0.5 million and $0.6 million for the third quarter of 2019 and 2018, respectively), related to this investment.</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agreement between Altisource and RESI to sell the rental property management business to RESI (see Note 3 for additional information), Altisource was subject to a lock-up period with respect to the sale or transfer of the shares of common stock of RESI owned by Altisource (the “Shares”) through December 31, 2018. In addition, during each quarter of 2019, Altisource is permitted to sell or transfer no more than 25% of the Shares, subject to the exceptions described below, provided that any Shares not sold in the applicable quarter will increase the amount that may be sold in the subsequent quarters by 50% of the unsold permitted amount. Thereafter, all transfer restrictions will expire and any remaining Shares will be freely transferable. Notwithstanding these restrictions, Altisource retains the right to sell or transfer the Shares at any time: (i) where Altisource has a good faith belief that its or its affiliates’ liquidity should be increased and the sale is necessary to achieve such an increase; (ii) where the proceeds of sales will be used to finance a strategic acquisition transaction; (iii) in privately negotiated block transactions with unrelated third parties or a similar transaction; or (iv) where RESI is the subject of a tender offer that is reasonably likely to result in a change of control or where RESI undergoes a change of control. In May 2019, the Company began selling its investment in RESI common stock. During the nine months ended September 30, 2019, the Company sold 0.7 million shares for net proceeds of $7.8 million (0.1 million shares for net proceeds of $1.3 million for the third quarter of 2019). As required by our senior secured term loan agreement, the Company used the net proceeds to repay a portion of its senior secured term loan.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Billed</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35,590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12,678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71,145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47,349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(10,883)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64,083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36,466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consists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current portion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9,696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16,254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30,720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DISCONTINUATION OF THE BUY-RENOVATE-LEASE-SELL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26, 2018, the Company announced its plans to sell its short-term investments in real estate (“BRS Inventory”) and discontinue the Company’s Buy-Renovate-Lease-Sell (“BRS”) business. Altisource’s BRS business focused on buying, renovating, leasing and selling single-family homes to real estate investors. The BRS business was not material in relation to the Company’s</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of operations or financial position. In anticipation of receiving the majority of the proceeds from the sale of the BRS Inventory in 2019, the Company repaid $49.9 million of its senior secured term loan in the fourth quarter of 2018.</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On June 28, 2019, the Company sold the majority of the BRS Inventory to Lafayette Real Estate for $38.9 million and incurred closing costs of $1.8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2019, the Company sold the remaining two BRS Inventory homes for $0.4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PREMISES AND EQUIPMENT,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182,215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13,313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 equipment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24,064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29,781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232,693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(187,062)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28,431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45,631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totaled $14.2 million and $24.7 million for the nine months ended September 30, 2019 and 2018, respectively ($(3.1) million and $7.7 million for the third quarter of 2019 and 2018, respectively), and is included in cost of revenue for operating assets and in selling, general and administrative expenses for non-operating assets in the accompanying condensed consolidated statements of operations and comprehensive income (loss). During the third quarter of 2019, we reclassified certain operating lease items recorded in the first half of the year. This resulted in a $6.8 million decrease in depreciation and amortization expense for the third quarter of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25,693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14,975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28,431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45,631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 RIGHT-OF-USE ASSETS UNDER OPERATING LEASES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360" w:type="dxa"/>
            <w:vAlign w:val="bottom"/>
            <w:gridSpan w:val="2"/>
          </w:tcPr>
          <w:p>
            <w:pPr>
              <w:spacing w:after="0"/>
              <w:rPr>
                <w:sz w:val="20"/>
                <w:szCs w:val="20"/>
                <w:color w:val="auto"/>
              </w:rPr>
            </w:pPr>
            <w:r>
              <w:rPr>
                <w:rFonts w:ascii="Arial" w:cs="Arial" w:eastAsia="Arial" w:hAnsi="Arial"/>
                <w:sz w:val="18"/>
                <w:szCs w:val="18"/>
                <w:color w:val="auto"/>
              </w:rPr>
              <w:t>Right-of-use assets under operating leases consist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Right-of-use assets under operating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26,028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Topic 842 effective January 1, 2019, which resulted in the recognition of $42.1 million of right-of-use assets upon adoption for operating leases, primarily for office space (see Note 1). Amortization of operating leases was $9.1 million for the nine months ended September 30, 2019 ($2.9 million for the third quarter 2019) (no comparative amounts for the nine months ended September 30, 2018 and the third quarter of 2018), and is included in cost of revenue for operating assets and</w:t>
      </w:r>
    </w:p>
    <w:p>
      <w:pPr>
        <w:sectPr>
          <w:pgSz w:w="11900" w:h="16838" w:orient="portrait"/>
          <w:cols w:equalWidth="0" w:num="1">
            <w:col w:w="11420"/>
          </w:cols>
          <w:pgMar w:left="240" w:top="125" w:right="239" w:bottom="865"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865"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selling, general and administrative expenses for non-operating assets in the accompanying condensed consolidated statements of operations and comprehensive income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goodwill during the nine months ended September 30, 2019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9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9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81,387</w:t>
            </w:r>
          </w:p>
        </w:tc>
        <w:tc>
          <w:tcPr>
            <w:tcW w:w="0" w:type="dxa"/>
            <w:vAlign w:val="bottom"/>
          </w:tcPr>
          <w:p>
            <w:pPr>
              <w:spacing w:after="0"/>
              <w:rPr>
                <w:sz w:val="1"/>
                <w:szCs w:val="1"/>
                <w:color w:val="auto"/>
              </w:rPr>
            </w:pPr>
          </w:p>
        </w:tc>
      </w:tr>
      <w:tr>
        <w:trPr>
          <w:trHeight w:val="270"/>
        </w:trPr>
        <w:tc>
          <w:tcPr>
            <w:tcW w:w="994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Disposition</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91"/>
        </w:trPr>
        <w:tc>
          <w:tcPr>
            <w:tcW w:w="9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2019</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79,009</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line="234" w:lineRule="auto"/>
        <w:tabs>
          <w:tab w:leader="none" w:pos="2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During the third quarter of 2019, the Company sold the Financial Services Business (see Note 3) which had $2.4 million of goodwill attributed to it.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248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4"/>
                <w:szCs w:val="14"/>
                <w:color w:val="auto"/>
              </w:rPr>
            </w:pPr>
          </w:p>
        </w:tc>
        <w:tc>
          <w:tcPr>
            <w:tcW w:w="24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Accumulated amortization</w:t>
            </w:r>
          </w:p>
        </w:tc>
        <w:tc>
          <w:tcPr>
            <w:tcW w:w="140" w:type="dxa"/>
            <w:vAlign w:val="bottom"/>
          </w:tcPr>
          <w:p>
            <w:pPr>
              <w:spacing w:after="0"/>
              <w:rPr>
                <w:sz w:val="14"/>
                <w:szCs w:val="14"/>
                <w:color w:val="auto"/>
              </w:rPr>
            </w:pPr>
          </w:p>
        </w:tc>
        <w:tc>
          <w:tcPr>
            <w:tcW w:w="2360" w:type="dxa"/>
            <w:vAlign w:val="bottom"/>
            <w:gridSpan w:val="4"/>
            <w:vMerge w:val="restart"/>
          </w:tcPr>
          <w:p>
            <w:pPr>
              <w:jc w:val="right"/>
              <w:ind w:right="69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estimated</w:t>
            </w: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8"/>
                <w:szCs w:val="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8"/>
                <w:szCs w:val="8"/>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useful life</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2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280"/>
              <w:spacing w:after="0"/>
              <w:rPr>
                <w:sz w:val="20"/>
                <w:szCs w:val="20"/>
                <w:color w:val="auto"/>
              </w:rPr>
            </w:pPr>
            <w:r>
              <w:rPr>
                <w:rFonts w:ascii="Arial" w:cs="Arial" w:eastAsia="Arial" w:hAnsi="Arial"/>
                <w:sz w:val="18"/>
                <w:szCs w:val="18"/>
                <w:color w:val="auto"/>
              </w:rPr>
              <w:t>Customer related intangible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40"/>
              <w:spacing w:after="0"/>
              <w:rPr>
                <w:sz w:val="20"/>
                <w:szCs w:val="20"/>
                <w:color w:val="auto"/>
              </w:rPr>
            </w:pPr>
            <w:r>
              <w:rPr>
                <w:rFonts w:ascii="Arial" w:cs="Arial" w:eastAsia="Arial" w:hAnsi="Arial"/>
                <w:sz w:val="18"/>
                <w:szCs w:val="18"/>
                <w:color w:val="auto"/>
              </w:rPr>
              <w:t>assets</w:t>
            </w:r>
          </w:p>
        </w:tc>
        <w:tc>
          <w:tcPr>
            <w:tcW w:w="104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214,973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273,172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(173,253)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(207,639)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41,720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65,533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agreement</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19,368</w:t>
            </w:r>
          </w:p>
        </w:tc>
        <w:tc>
          <w:tcPr>
            <w:tcW w:w="0" w:type="dxa"/>
            <w:vAlign w:val="bottom"/>
          </w:tcPr>
          <w:p>
            <w:pPr>
              <w:spacing w:after="0"/>
              <w:rPr>
                <w:sz w:val="1"/>
                <w:szCs w:val="1"/>
                <w:color w:val="auto"/>
              </w:rPr>
            </w:pP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w w:val="94"/>
              </w:rPr>
              <w:t>Trademarks and trade names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11,140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11,349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2520" w:type="dxa"/>
            <w:vAlign w:val="bottom"/>
          </w:tcPr>
          <w:p>
            <w:pPr>
              <w:ind w:left="2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266,388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324,796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65,318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91,653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$15.5 million and $21.3 million for nine months ended September 30, 2019 and 2018, respectively ($3.3 million and $6.6 million for the third quarter of 2019 and 2018, respectively)</w:t>
      </w:r>
      <w:r>
        <w:rPr>
          <w:rFonts w:ascii="Arial" w:cs="Arial" w:eastAsia="Arial" w:hAnsi="Arial"/>
          <w:sz w:val="16"/>
          <w:szCs w:val="16"/>
          <w:color w:val="auto"/>
        </w:rPr>
        <w:t>.</w:t>
      </w:r>
      <w:r>
        <w:rPr>
          <w:rFonts w:ascii="Arial" w:cs="Arial" w:eastAsia="Arial" w:hAnsi="Arial"/>
          <w:sz w:val="18"/>
          <w:szCs w:val="18"/>
          <w:color w:val="auto"/>
        </w:rPr>
        <w:t xml:space="preserve"> Expected annual definite lived intangible asset amortization expense for 2019 through 2023 is $19.0 million, $13.3 million, $11.1 million, $5.3 million and $5.3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9,600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12,406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360"/>
        <w:spacing w:after="0" w:line="435" w:lineRule="auto"/>
        <w:rPr>
          <w:sz w:val="20"/>
          <w:szCs w:val="20"/>
          <w:color w:val="auto"/>
        </w:rPr>
      </w:pPr>
      <w:r>
        <w:rPr>
          <w:rFonts w:ascii="Arial" w:cs="Arial" w:eastAsia="Arial" w:hAnsi="Arial"/>
          <w:sz w:val="18"/>
          <w:szCs w:val="18"/>
          <w:b w:val="1"/>
          <w:bCs w:val="1"/>
          <w:color w:val="auto"/>
        </w:rPr>
        <w:t xml:space="preserve">NOTE 12 — ACCOUNTS PAYABLE, ACCRUED EXPENSES AND OTHER CURRENT LIABILITIES </w:t>
      </w:r>
      <w:r>
        <w:rPr>
          <w:rFonts w:ascii="Arial" w:cs="Arial" w:eastAsia="Arial" w:hAnsi="Arial"/>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50"/>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0"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3"/>
                <w:szCs w:val="13"/>
                <w:color w:val="auto"/>
              </w:rPr>
            </w:pPr>
          </w:p>
        </w:tc>
        <w:tc>
          <w:tcPr>
            <w:tcW w:w="1260" w:type="dxa"/>
            <w:vAlign w:val="bottom"/>
          </w:tcPr>
          <w:p>
            <w:pPr>
              <w:jc w:val="center"/>
              <w:ind w:right="178"/>
              <w:spacing w:after="0" w:line="150"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27,853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expenses - general</w:t>
            </w:r>
          </w:p>
        </w:tc>
        <w:tc>
          <w:tcPr>
            <w:tcW w:w="20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26,114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27,866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31,356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66,999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87,240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2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Unfunded cash account balances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Other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Total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Long-term debt consists of the following:</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4,932</w:t>
            </w:r>
          </w:p>
        </w:tc>
      </w:tr>
      <w:tr>
        <w:trPr>
          <w:trHeight w:val="270"/>
        </w:trPr>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11,964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2,098</w:t>
            </w:r>
          </w:p>
        </w:tc>
      </w:tr>
      <w:tr>
        <w:trPr>
          <w:trHeight w:val="27"/>
        </w:trPr>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07"/>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16,721</w:t>
            </w:r>
          </w:p>
        </w:tc>
        <w:tc>
          <w:tcPr>
            <w:tcW w:w="10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7,030</w:t>
            </w:r>
          </w:p>
        </w:tc>
      </w:tr>
      <w:tr>
        <w:trPr>
          <w:trHeight w:val="27"/>
        </w:trPr>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-548005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-196850</wp:posOffset>
            </wp:positionV>
            <wp:extent cx="72466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bl>
    <w:p>
      <w:pPr>
        <w:spacing w:after="0" w:line="200" w:lineRule="exact"/>
        <w:rPr>
          <w:sz w:val="20"/>
          <w:szCs w:val="20"/>
          <w:color w:val="auto"/>
        </w:rPr>
      </w:pPr>
    </w:p>
    <w:p>
      <w:pPr>
        <w:sectPr>
          <w:pgSz w:w="11900" w:h="16838" w:orient="portrait"/>
          <w:cols w:equalWidth="0" w:num="2">
            <w:col w:w="7640" w:space="720"/>
            <w:col w:w="3060"/>
          </w:cols>
          <w:pgMar w:left="240" w:top="125" w:right="2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secured term loans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294,002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338,822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Less: Debt issuance costs, net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(3,855)</w:t>
            </w:r>
          </w:p>
        </w:tc>
      </w:tr>
      <w:tr>
        <w:trPr>
          <w:trHeight w:val="27"/>
        </w:trPr>
        <w:tc>
          <w:tcPr>
            <w:tcW w:w="8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r>
      <w:tr>
        <w:trPr>
          <w:trHeight w:val="264"/>
        </w:trPr>
        <w:tc>
          <w:tcPr>
            <w:tcW w:w="83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287,707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331,476</w:t>
            </w:r>
          </w:p>
        </w:tc>
      </w:tr>
      <w:tr>
        <w:trPr>
          <w:trHeight w:val="20"/>
        </w:trPr>
        <w:tc>
          <w:tcPr>
            <w:tcW w:w="8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3, 2018, Altisource Portfolio Solutions S.A. and its wholly-owned subsidiary, Altisource S.à r.l. entered into a credit agreement (the “Credit Agreement”)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and the revolving credit facility matures in April 2023. Altisource Portfolio Solutions S.A. and certain subsidiaries are guarantors of the term loan and the revolving credit facility (collectively, the “Guarantors”).</w:t>
      </w:r>
    </w:p>
    <w:p>
      <w:pPr>
        <w:spacing w:after="0" w:line="13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Proceeds from the Term B Loans were used to repay the Company’s prior senior secured term loan, which had an outstanding balance of $412.1 million as of April 3, 2018. In connection with the refinancing, we recognized a loss of $4.4 million from the write-off of unamortized debt issuance costs and debt discount in the second quarter of 2018.</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are no mandatory repayments of the Term B Loans due until March 2023, when $1.5 million is due to be repaid. Thereafter, the Term B Loans must be repaid in consecutive quarterly principal installments of $3.1 million, with the balance due at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is greater than 3.00 to 1.00, as calculated in accordance with the provisions of the Credit</w:t>
      </w:r>
    </w:p>
    <w:p>
      <w:pPr>
        <w:sectPr>
          <w:pgSz w:w="11900" w:h="16838" w:orient="portrait"/>
          <w:cols w:equalWidth="0" w:num="1">
            <w:col w:w="11420"/>
          </w:cols>
          <w:pgMar w:left="240" w:top="125" w:right="239" w:bottom="1440" w:gutter="0" w:footer="0" w:header="0"/>
          <w:type w:val="continuous"/>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Agreement (the percentage increases if our leverage ratio exceeds 3.50 to 1.00). Certain mandatory prepayments reduce future contractual amortization payments in direct order of maturity by an amount equal to the mandatory prepayment.</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1, 2019, Altisource closed the sale of the Financial Services Business to TSI and received a $40.0 million up-front payment less adjustments for working capital and transaction costs (see Note 3). On July 17, 2019, Altisource used $37.0 million to repay a portion of the senior secured term loan.</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2019, the Company sold 0.7 million RESI shares for net proceeds of $7.8 million (0.1 million shares for net proceeds of $1.3 million for the third quarter of 2019). Altisource used the net proceeds of $7.8 million to repay a portion of its senior secured term loan for the nine months ended September 30, 2019 ($2.0 million for the third quarter of 2019).</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September 30, 2019 was 6.10%.</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under the revolving credit facility bear interest at rates based upon, at our option, the Adjusted Eurodollar Rate or the Base Rate. Adjusted Eurodollar Rate revolving loans bear interest at a rate per annum equal to the sum of (i) the Adjusted Eurodollar Rate for a three month interest period plus (ii) 4.00%. Base Rate revolving loans bear interest at a rate per annum equal to the sum of (i) the Base Rate plus (ii) 3.00%. The unused commitment fee is 0.50%. There were no borrowings outstanding under the revolving credit facility as of September 30, 2019.</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 and to the extent any Revolving Credit Loans are outstanding on the last day of a fiscal quarter, permit the Total Leverage Ratio to be greater than 3.50:1.00 as of the last day of such fiscal quarter, subject to a customary cure provision (the “Revolving Financial Covenant”).</w:t>
      </w:r>
    </w:p>
    <w:p>
      <w:pPr>
        <w:spacing w:after="0" w:line="1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a breach of the Revolving Financial Covenant, subject to a customary cure provision and not an Event of Default with respect to the Term Loans unless and until the Required Revolving Lenders accelerate the Revolving Credit Loans, (v) failure to pay principal or interest on any other debt that equals or exceeds $40.0 million when due, (vi) default on any other debt that equals or exceeds $40.0 million that causes, or gives the holder or holders of such debt the ability to cause, an acceleration of such debt, (vii) occurrence of a Change of Control, (viii) bankruptcy and insolvency events, (ix) entry by a court of one or more judgments against us in an amount in excess of $40.0 million that remain unbonded, undischarged or unstayed for a certain number of days after the entry thereof, (x) the occurrence of certain ERISA events and</w:t>
      </w:r>
    </w:p>
    <w:p>
      <w:pPr>
        <w:spacing w:after="0" w:line="1" w:lineRule="exact"/>
        <w:rPr>
          <w:sz w:val="20"/>
          <w:szCs w:val="20"/>
          <w:color w:val="auto"/>
        </w:rPr>
      </w:pPr>
    </w:p>
    <w:p>
      <w:pPr>
        <w:ind w:right="20" w:firstLine="8"/>
        <w:spacing w:after="0" w:line="323" w:lineRule="auto"/>
        <w:tabs>
          <w:tab w:leader="none" w:pos="31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2019, debt issuance costs were $3.3 million, net of $1.2 million of accumulated amortization. As of December 31, 2018, debt issuance costs were $3.9 million, net of $0.7 million of accumulated amortization.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6,980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23,772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 AND FINANCIAL INSTRUMENTS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September 30, 2019 and December 31, 2018. The following fair values are estimated using market information and what the Company believes to be appropriate valuation methodologies under GAAP: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September 30, 2019</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December 31, 2018</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6"/>
                <w:shd w:val="clear" w:color="auto" w:fill="CCEEFF"/>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Investment in equity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securities</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40,093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36,181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36,181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Long-term receivable (Note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2,333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secured term loan</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294,002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282,977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338,822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330,351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 in equity securities is carried at fair value and consists of 3.5 million and 4.1 million shares of RESI common stock as of September 30, 2019 and December 31, 2018, respectively. The investment in equity securities is measured using Level 1 inputs as these securities have quoted prices in active markets.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sale of the rental property management business in August 2018, Altisource will receive $3.0 million on the earlier of a RESI change of control or on August 8, 2023 (see Note 3 for additional information). We measure long-term receivables without a stated interest rate based on the present value of the future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For the three and nine months ended September 30, 2019, 63% and 54%, respectively, of the Company’s revenue was from Ocwen (see Note 2 for additional information on Ocwen revenues and accounts receivable balance). The Company strives to mitigate its</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concentrations of credit risk with respect to accounts receivable by actively monitoring past due accounts and the economic status of larger customers, if known.</w:t>
      </w:r>
    </w:p>
    <w:p>
      <w:pPr>
        <w:spacing w:after="0" w:line="112"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NOTE 16 — SHAREHOLDERS’ EQUITY AND SHARE-BASED COMPENSATION Share Repurchase Program</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September 30, 2019, approximately 2.7 million shares of common stock remain available for repurchase under the program. We purchased 0.6 million shares of common stock at an average price of $21.03 per share during the nine months ended September 30, 2019 and 0.8 million shares at an average price of $27.48 per share during the nine months ended September 30, 2018 (0.3 million shares at an average price of $20.24 per share for the third quarter of 2019 and 21 thousand shares at an average price of $30.93 per share for the third quarter of 2018). Luxembourg law limits share repurchases to the balance of Altisource Portfolio Solutions S.A. (unconsolidated parent company) retained earnings, less the value of shares repurchased. As of September 30, 2019, we can repurchase up to approximately $104 million of our common stock under Luxembourg law. Our Credit Agreement also limits the amount we can spend on share repurchases, which was approximately $443 million as of September 30, 2019, and may prevent repurchases in certain circumstances.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$8.3 million and $6.2 million for the nine months ended September 30, 2019 and 2018, respectively ($2.8 million and $2.0 million for the third quarter of 2019 and 2018, respectively). As of September 30, 2019, estimated unrecognized compensation costs related to share-based awards amounted to $11.7 million, which we expect to recognize over a weighted average remaining requisite service period of approximately 1.62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or four years with equal annual vesting and expire on the earlier of ten years after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grant or following termination of service. A total of 438 thousand service-based options were outstanding as of September 30, 2019.</w:t>
      </w:r>
    </w:p>
    <w:p>
      <w:pPr>
        <w:spacing w:after="0" w:line="93"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584 thousand market-based options were outstanding as of September 30, 2019.</w:t>
      </w:r>
    </w:p>
    <w:p>
      <w:pPr>
        <w:spacing w:after="0" w:line="12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Options. </w:t>
      </w:r>
      <w:r>
        <w:rPr>
          <w:rFonts w:ascii="Arial" w:cs="Arial" w:eastAsia="Arial" w:hAnsi="Arial"/>
          <w:sz w:val="18"/>
          <w:szCs w:val="18"/>
          <w:color w:val="auto"/>
        </w:rPr>
        <w:t>These option grants generally will vest if certain specific financial measures are achieved; one-fourth vests on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of the grant date. For certain other financial measures, options cliff-vest upon the achievement of the specific performance during the period from 2019 through 2021.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options are canceled. The options expire on the earlier of ten years after the date of grant or following termination of service. There were 472 thousand performance-based options outstanding as of September 30, 2019.</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stock options granted during the nine months ended September 30, 2019. Outstanding stock options increased by 228 thousand in February 2019 in connection with the determination of the level of achievement for certain performance-based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granted in 2018. During the nine months ended September 30, 2018, 272 thousand stock options (at a weighted average exercise price of $25.06 per share) were granted.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service-based options and performance-based options are determined using the Black-Scholes option pricing model and the fair values of the market-based options were determined using a lattice (binomial) model. The following assumptions were used to determine the fair values as of the grant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26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Nine months ended September 30, 2018</w:t>
            </w:r>
          </w:p>
        </w:tc>
      </w:tr>
      <w:tr>
        <w:trPr>
          <w:trHeight w:val="264"/>
        </w:trPr>
        <w:tc>
          <w:tcPr>
            <w:tcW w:w="8160" w:type="dxa"/>
            <w:vAlign w:val="bottom"/>
          </w:tcPr>
          <w:p>
            <w:pPr>
              <w:spacing w:after="0"/>
              <w:rPr>
                <w:sz w:val="22"/>
                <w:szCs w:val="22"/>
                <w:color w:val="auto"/>
              </w:rPr>
            </w:pPr>
          </w:p>
        </w:tc>
        <w:tc>
          <w:tcPr>
            <w:tcW w:w="1680" w:type="dxa"/>
            <w:vAlign w:val="bottom"/>
            <w:gridSpan w:val="2"/>
          </w:tcPr>
          <w:p>
            <w:pPr>
              <w:ind w:left="360"/>
              <w:spacing w:after="0"/>
              <w:rPr>
                <w:sz w:val="20"/>
                <w:szCs w:val="20"/>
                <w:color w:val="auto"/>
              </w:rPr>
            </w:pPr>
            <w:r>
              <w:rPr>
                <w:rFonts w:ascii="Arial" w:cs="Arial" w:eastAsia="Arial" w:hAnsi="Arial"/>
                <w:sz w:val="14"/>
                <w:szCs w:val="14"/>
                <w:b w:val="1"/>
                <w:bCs w:val="1"/>
                <w:color w:val="auto"/>
              </w:rPr>
              <w:t>Black-Scholes</w:t>
            </w:r>
          </w:p>
        </w:tc>
        <w:tc>
          <w:tcPr>
            <w:tcW w:w="1580" w:type="dxa"/>
            <w:vAlign w:val="bottom"/>
          </w:tcPr>
          <w:p>
            <w:pPr>
              <w:jc w:val="right"/>
              <w:ind w:right="413"/>
              <w:spacing w:after="0"/>
              <w:rPr>
                <w:sz w:val="20"/>
                <w:szCs w:val="20"/>
                <w:color w:val="auto"/>
              </w:rPr>
            </w:pPr>
            <w:r>
              <w:rPr>
                <w:rFonts w:ascii="Arial" w:cs="Arial" w:eastAsia="Arial" w:hAnsi="Arial"/>
                <w:sz w:val="14"/>
                <w:szCs w:val="14"/>
                <w:b w:val="1"/>
                <w:bCs w:val="1"/>
                <w:color w:val="auto"/>
              </w:rPr>
              <w:t>Binomial</w:t>
            </w:r>
          </w:p>
        </w:tc>
      </w:tr>
      <w:tr>
        <w:trPr>
          <w:trHeight w:val="270"/>
        </w:trPr>
        <w:tc>
          <w:tcPr>
            <w:tcW w:w="816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 – 2.98</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 – 2.83</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Expected stock price volatility (%)</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70.31 – 71.86</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71.81 – 71.86</w:t>
            </w:r>
          </w:p>
        </w:tc>
      </w:tr>
      <w:tr>
        <w:trPr>
          <w:trHeight w:val="27"/>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6.00 – 6.25</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2.56 – 4.32</w:t>
            </w:r>
          </w:p>
        </w:tc>
      </w:tr>
      <w:tr>
        <w:trPr>
          <w:trHeight w:val="27"/>
        </w:trPr>
        <w:tc>
          <w:tcPr>
            <w:tcW w:w="8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 – $19.06</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$14.67 – $18.28</w:t>
            </w:r>
          </w:p>
        </w:tc>
      </w:tr>
      <w:tr>
        <w:trPr>
          <w:trHeight w:val="27"/>
        </w:trPr>
        <w:tc>
          <w:tcPr>
            <w:tcW w:w="81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300" w:type="dxa"/>
            <w:vAlign w:val="bottom"/>
          </w:tcPr>
          <w:p>
            <w:pPr>
              <w:spacing w:after="0"/>
              <w:rPr>
                <w:sz w:val="22"/>
                <w:szCs w:val="22"/>
                <w:color w:val="auto"/>
              </w:rPr>
            </w:pPr>
          </w:p>
        </w:tc>
        <w:tc>
          <w:tcPr>
            <w:tcW w:w="118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stock options granted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Intrinsic value of options exercised</w:t>
            </w: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4,584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1,598</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22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1,440,566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Performance criteria achieved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227,849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(153,289)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as of September 30, 2019</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1,494,491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as of September 30, 2019</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945,826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other share-based and similar types of awards are composed of restricted shares and restricted share units. The restricted shares and restricted share units are composed of a combination of service-based awards and performance-based awards.</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two to four year periods with (a) vesting in equal annual installments, or (b) vesting of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shares and restricted share units at the end of the vesting period. A total of 520 thousand service-based awards were outstanding as of September 30, 2019. Beginning in 2019, service-based restricted share units were awarded as a component of most employees’ annual incentive compensation rather than cash.</w:t>
      </w:r>
    </w:p>
    <w:p>
      <w:pPr>
        <w:spacing w:after="0" w:line="13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These awards generally will vest if certain specific financial measures are achieved; one-third vests on each anniversary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or cliff-vest on the third anniversary of the grant date. The number of performance-based restricted shares and restricted share units that may vest will be based on the level of achievement, as specified in the award agreements. If the performance criteria achieved is above certain financial performance levels and Altisource’s share</w:t>
      </w:r>
    </w:p>
    <w:p>
      <w:pPr>
        <w:sectPr>
          <w:pgSz w:w="11900" w:h="16838" w:orient="portrait"/>
          <w:cols w:equalWidth="0" w:num="1">
            <w:col w:w="11420"/>
          </w:cols>
          <w:pgMar w:left="240" w:top="125" w:right="239" w:bottom="69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69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performance is above certain established criteria, participants have the opportunity to vest in up to 225% of the restricted share unit award for certain awards, depending on performance achieved. If the performance criteria achieved is below a certain threshold, the award is canceled. A total of 150 thousand performance-based awards were outstanding as of September 30, 2019.</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granted 401 thousand restricted share units (at a weighted average grant date fair value of $24.61 per share) during the nine months ended September 30,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restricted</w:t>
            </w:r>
          </w:p>
        </w:tc>
      </w:tr>
      <w:tr>
        <w:trPr>
          <w:trHeight w:val="149"/>
        </w:trPr>
        <w:tc>
          <w:tcPr>
            <w:tcW w:w="97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and restricted</w:t>
            </w:r>
          </w:p>
        </w:tc>
      </w:tr>
      <w:tr>
        <w:trPr>
          <w:trHeight w:val="192"/>
        </w:trPr>
        <w:tc>
          <w:tcPr>
            <w:tcW w:w="97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 units</w:t>
            </w:r>
          </w:p>
        </w:tc>
      </w:tr>
      <w:tr>
        <w:trPr>
          <w:trHeight w:val="270"/>
        </w:trPr>
        <w:tc>
          <w:tcPr>
            <w:tcW w:w="97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2018</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485,806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401,458</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(117,312)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Forfeited/canceled</w:t>
            </w:r>
          </w:p>
        </w:tc>
        <w:tc>
          <w:tcPr>
            <w:tcW w:w="1700" w:type="dxa"/>
            <w:vAlign w:val="bottom"/>
          </w:tcPr>
          <w:p>
            <w:pPr>
              <w:jc w:val="right"/>
              <w:spacing w:after="0"/>
              <w:rPr>
                <w:sz w:val="20"/>
                <w:szCs w:val="20"/>
                <w:color w:val="auto"/>
              </w:rPr>
            </w:pPr>
            <w:r>
              <w:rPr>
                <w:rFonts w:ascii="Arial" w:cs="Arial" w:eastAsia="Arial" w:hAnsi="Arial"/>
                <w:sz w:val="18"/>
                <w:szCs w:val="18"/>
                <w:color w:val="auto"/>
              </w:rPr>
              <w:t>(100,244)</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97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4"/>
        </w:trPr>
        <w:tc>
          <w:tcPr>
            <w:tcW w:w="9720" w:type="dxa"/>
            <w:vAlign w:val="bottom"/>
          </w:tcPr>
          <w:p>
            <w:pPr>
              <w:ind w:left="40"/>
              <w:spacing w:after="0"/>
              <w:rPr>
                <w:sz w:val="20"/>
                <w:szCs w:val="20"/>
                <w:color w:val="auto"/>
              </w:rPr>
            </w:pPr>
            <w:r>
              <w:rPr>
                <w:rFonts w:ascii="Arial" w:cs="Arial" w:eastAsia="Arial" w:hAnsi="Arial"/>
                <w:sz w:val="18"/>
                <w:szCs w:val="18"/>
                <w:color w:val="auto"/>
              </w:rPr>
              <w:t>Outstanding as of September 30, 2019</w:t>
            </w:r>
          </w:p>
        </w:tc>
        <w:tc>
          <w:tcPr>
            <w:tcW w:w="1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669,708</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REVENUE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Lenders One is included in revenue and reduced from net income to arrive at net income attributable to Altisource (see Note 1). Our services are primarily provided to customers located in the United States. The components of revenue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238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4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91"/>
              </w:rPr>
              <w:t>September 30,</w:t>
            </w:r>
          </w:p>
        </w:tc>
        <w:tc>
          <w:tcPr>
            <w:tcW w:w="23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Service 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Reimbursable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Non-controlling interests</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Total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Disaggregation of total revenues by major source is as follows:</w:t>
      </w: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34925</wp:posOffset>
            </wp:positionV>
            <wp:extent cx="31559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230"/>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133,781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196,906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489,300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594,533</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16,484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23,970</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2,066</w:t>
            </w:r>
          </w:p>
        </w:tc>
      </w:tr>
      <w:tr>
        <w:trPr>
          <w:trHeight w:val="27"/>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507"/>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141,493</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204,575</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507,963</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620,569</w:t>
            </w:r>
          </w:p>
        </w:tc>
      </w:tr>
      <w:tr>
        <w:trPr>
          <w:trHeight w:val="27"/>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-548005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-196850</wp:posOffset>
            </wp:positionV>
            <wp:extent cx="72466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 recognized</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 related to</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when services are</w:t>
            </w: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technology platforms</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Reimbursable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performed or assets</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and professional</w:t>
            </w:r>
          </w:p>
        </w:tc>
        <w:tc>
          <w:tcPr>
            <w:tcW w:w="1560" w:type="dxa"/>
            <w:vAlign w:val="bottom"/>
            <w:gridSpan w:val="2"/>
            <w:vMerge w:val="continue"/>
          </w:tcPr>
          <w:p>
            <w:pPr>
              <w:spacing w:after="0"/>
              <w:rPr>
                <w:sz w:val="12"/>
                <w:szCs w:val="12"/>
                <w:color w:val="auto"/>
              </w:rPr>
            </w:pPr>
          </w:p>
        </w:tc>
        <w:tc>
          <w:tcPr>
            <w:tcW w:w="14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are sold</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expenses revenue</w:t>
            </w: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60" w:space="600"/>
            <w:col w:w="6260"/>
          </w:cols>
          <w:pgMar w:left="240" w:top="125" w:right="239" w:bottom="1440" w:gutter="0" w:footer="0" w:header="0"/>
          <w:type w:val="continuous"/>
        </w:sectPr>
      </w:pPr>
    </w:p>
    <w:p>
      <w:pPr>
        <w:spacing w:after="0" w:line="70"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7"/>
                <w:shd w:val="clear" w:color="auto" w:fill="CCEEFF"/>
              </w:rPr>
              <w:t>Three months ended September 30, 2019</w:t>
            </w:r>
          </w:p>
        </w:tc>
        <w:tc>
          <w:tcPr>
            <w:tcW w:w="2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125,939</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8,341</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7,213</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141,493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87"/>
              </w:rPr>
              <w:t>Three months ended September 30, 2018</w:t>
            </w:r>
          </w:p>
        </w:tc>
        <w:tc>
          <w:tcPr>
            <w:tcW w:w="2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173,581</w:t>
            </w:r>
          </w:p>
        </w:tc>
        <w:tc>
          <w:tcPr>
            <w:tcW w:w="6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24,179</w:t>
            </w:r>
          </w:p>
        </w:tc>
        <w:tc>
          <w:tcPr>
            <w:tcW w:w="5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6,815</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204,575</w:t>
            </w:r>
          </w:p>
        </w:tc>
      </w:tr>
      <w:tr>
        <w:trPr>
          <w:trHeight w:val="27"/>
        </w:trPr>
        <w:tc>
          <w:tcPr>
            <w:tcW w:w="29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98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0"/>
              </w:rPr>
              <w:t>Nine months ended September 30, 2019</w:t>
            </w:r>
          </w:p>
        </w:tc>
        <w:tc>
          <w:tcPr>
            <w:tcW w:w="2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452,643</w:t>
            </w:r>
          </w:p>
        </w:tc>
        <w:tc>
          <w:tcPr>
            <w:tcW w:w="6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38,836</w:t>
            </w:r>
          </w:p>
        </w:tc>
        <w:tc>
          <w:tcPr>
            <w:tcW w:w="5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16,484</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507,963</w:t>
            </w:r>
          </w:p>
        </w:tc>
      </w:tr>
      <w:tr>
        <w:trPr>
          <w:trHeight w:val="27"/>
        </w:trPr>
        <w:tc>
          <w:tcPr>
            <w:tcW w:w="29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Nine months ended September 30, 2018</w:t>
            </w:r>
          </w:p>
        </w:tc>
        <w:tc>
          <w:tcPr>
            <w:tcW w:w="2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527,743</w:t>
            </w: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68,856</w:t>
            </w: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23,970</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620,569</w:t>
            </w:r>
          </w:p>
        </w:tc>
      </w:tr>
      <w:tr>
        <w:trPr>
          <w:trHeight w:val="27"/>
        </w:trPr>
        <w:tc>
          <w:tcPr>
            <w:tcW w:w="298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contract assets consist of unbilled accounts receivable (see Note 5). Our contract liabilities consist of current deferred revenue as reported on the accompanying condensed consolidated balance sheets and non-current deferred revenue (see Note 14). Revenue recognized that was included in the contract liability at the beginning of the period, including amounts added to the contract liability as part of the cumulative effect of adopting FASB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was $9.4 million and $17.4 million for the nine months ended September 30,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($0.9 million and $6.1 million for the third quarter of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COST OF REVENUE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cost of real estate sold, reimbursable expenses, technology and telecommunications costs as well as depreciation and amortization of operating assets. The components of cost of revenue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40" w:type="dxa"/>
            <w:vAlign w:val="bottom"/>
            <w:gridSpan w:val="4"/>
            <w:vMerge w:val="restart"/>
          </w:tcPr>
          <w:p>
            <w:pPr>
              <w:jc w:val="right"/>
              <w:ind w:right="32"/>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2"/>
                <w:szCs w:val="22"/>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Compensation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30,463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108,637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159,342</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61,314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73,096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182,483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207,073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real estate sold</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17,591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10,298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10,230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27,124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30,533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Reimbursable expenses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23,970</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6,640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10,160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19,471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110,906</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147,580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387,651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457,980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third quarter of 2019, we reclassified certain lease items recorded in the first half of the year. This resulted in a $1.6 million increase in technology and telecommunications expense and a $1.5 million decrease in depreciation and amortization expense for the third quarter of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SELLING, GENERAL AND ADMINISTRATIVE EXPENSES</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40" w:type="dxa"/>
            <w:vAlign w:val="bottom"/>
            <w:gridSpan w:val="4"/>
            <w:vMerge w:val="restart"/>
          </w:tcPr>
          <w:p>
            <w:pPr>
              <w:jc w:val="right"/>
              <w:ind w:right="32"/>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2"/>
                <w:szCs w:val="22"/>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Compensation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37,757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12,209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19,988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23,051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21,311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11,384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12,469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11,852</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20,665</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27,184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104,275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132,377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2019, we reclassified certain operating lease items recorded in the first half of the year. This resulted in a $6.2 million increase in occupancy related costs and a $5.3 million decrease in depreciation and amortization expense for the third quarter of 2019.</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OTHER INCOME (EXPENSE),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4"/>
            <w:vMerge w:val="restart"/>
          </w:tcPr>
          <w:p>
            <w:pPr>
              <w:jc w:val="right"/>
              <w:ind w:right="34"/>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Loss on debt refinancing</w:t>
            </w:r>
          </w:p>
        </w:tc>
        <w:tc>
          <w:tcPr>
            <w:tcW w:w="7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2019, we reclassified certain operating lease items recorded in the first half on 2019. This resulted in a $1.5 million decrease in interest expense for the third quarter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INCOME TAXES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recognized an income tax provision of $20.7 million and $6.1 million for the nine months ended September 30, 2019 and 2018, respectively ($5.4 million and $6.6 million for the third quarter of 2019 and 2018, respectively). The effective income tax rate increased to 98.9% for the nine months ended September 30, 2019 from 42.6% for the nine months ended September 30, 2018 (increased slightly to 41.5% for the third quarter of 2019 from 41.0% for the third quarter of 2018). The increase in the income tax provision for the nine months ended September 30, 2019 was driven by a $12.3 million reduction in Luxembourg deferred tax assets in connection with a decrease in the Luxembourg statutory income tax rate from 26.0% to 24.9% in the second quarter of 2019. The increase in the income tax provision for the nine months ended September 30, 2019 and the third quarter of 2019 was also due to a higher effective tax rate on the sale of the Financial Services Business (see Note 3) as a result of the jurisdictional mix of the net pretax gain on sale of this business. A component of the net gain represented a capital loss that did not result in a tax benefit due to a valuation allowance applied to the tax benefit. Excluding these items, the effective tax rate would have been 6.5% for the nine months ended September 30, 2019 and 40.0% for the third quarter of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EARNINGS PER SHARE</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40" w:type="dxa"/>
            <w:vAlign w:val="bottom"/>
            <w:gridSpan w:val="4"/>
            <w:vMerge w:val="restart"/>
          </w:tcPr>
          <w:p>
            <w:pPr>
              <w:jc w:val="right"/>
              <w:ind w:right="33"/>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Pr>
          <w:p>
            <w:pPr>
              <w:spacing w:after="0"/>
              <w:rPr>
                <w:sz w:val="22"/>
                <w:szCs w:val="22"/>
                <w:color w:val="auto"/>
              </w:rPr>
            </w:pPr>
          </w:p>
        </w:tc>
        <w:tc>
          <w:tcPr>
            <w:tcW w:w="960" w:type="dxa"/>
            <w:vAlign w:val="bottom"/>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39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6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(loss) attributable to Altisource</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Weighted average common shares outstanding, basic</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15,897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17,184</w:t>
            </w:r>
          </w:p>
        </w:tc>
        <w:tc>
          <w:tcPr>
            <w:tcW w:w="0" w:type="dxa"/>
            <w:vAlign w:val="bottom"/>
          </w:tcPr>
          <w:p>
            <w:pPr>
              <w:spacing w:after="0"/>
              <w:rPr>
                <w:sz w:val="1"/>
                <w:szCs w:val="1"/>
                <w:color w:val="auto"/>
              </w:rPr>
            </w:pPr>
          </w:p>
        </w:tc>
      </w:tr>
      <w:tr>
        <w:trPr>
          <w:trHeight w:val="229"/>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restricted shares and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200"/>
              <w:spacing w:after="0"/>
              <w:rPr>
                <w:sz w:val="20"/>
                <w:szCs w:val="20"/>
                <w:color w:val="auto"/>
              </w:rPr>
            </w:pPr>
            <w:r>
              <w:rPr>
                <w:rFonts w:ascii="Arial" w:cs="Arial" w:eastAsia="Arial" w:hAnsi="Arial"/>
                <w:sz w:val="18"/>
                <w:szCs w:val="18"/>
                <w:color w:val="auto"/>
              </w:rPr>
              <w:t>restricted share units</w:t>
            </w:r>
          </w:p>
        </w:tc>
        <w:tc>
          <w:tcPr>
            <w:tcW w:w="30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62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16,151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17,575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16,133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17,669</w:t>
            </w:r>
          </w:p>
        </w:tc>
        <w:tc>
          <w:tcPr>
            <w:tcW w:w="0" w:type="dxa"/>
            <w:vAlign w:val="bottom"/>
          </w:tcPr>
          <w:p>
            <w:pPr>
              <w:spacing w:after="0"/>
              <w:rPr>
                <w:sz w:val="1"/>
                <w:szCs w:val="1"/>
                <w:color w:val="auto"/>
              </w:rPr>
            </w:pPr>
          </w:p>
        </w:tc>
      </w:tr>
      <w:tr>
        <w:trPr>
          <w:trHeight w:val="257"/>
        </w:trPr>
        <w:tc>
          <w:tcPr>
            <w:tcW w:w="6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Earnings (loss) per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Basic</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For the nine months ended September 30, 2019 and 2018, 1.6 million and 0.8 million, respectively (1.5 million and 0.6 million for the third quarter of 2019 and 2018, respectively), stock options, restricted shares and restricted share units were excluded from the computation of EPS, as a result of the following:</w:t>
      </w:r>
    </w:p>
    <w:p>
      <w:pPr>
        <w:spacing w:after="0" w:line="70" w:lineRule="exact"/>
        <w:rPr>
          <w:sz w:val="20"/>
          <w:szCs w:val="20"/>
          <w:color w:val="auto"/>
        </w:rPr>
      </w:pPr>
    </w:p>
    <w:p>
      <w:pPr>
        <w:jc w:val="both"/>
        <w:ind w:left="500" w:hanging="330"/>
        <w:spacing w:after="0" w:line="256"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nine months ended September 30, 2019 and 2018, 0.5 million and 0.3 million, respectively (0.7 million and 0.1 million for the third quarter of 2019 and 2018, respectively), stock options were anti-dilutive and have been excluded from the computation of diluted EPS because their exercise price was greater than the average market price of our common stock</w:t>
      </w:r>
    </w:p>
    <w:p>
      <w:pPr>
        <w:jc w:val="both"/>
        <w:ind w:left="500" w:hanging="330"/>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nine months ended September 30, 2019 and 2018, 0.8 million and 0.5 million, respectively (0.8 million and 0.5 million for the third quarter of 2019 and 2018, respectively), stock options, restricted shares and restricted share units, which begin to vest upon the achievement of certain market criteria related to our common stock price, performance criteria and an annualized rate of return to shareholders that have not yet been met, and have been excluded from the computation of diluted EPS</w:t>
      </w:r>
    </w:p>
    <w:p>
      <w:pPr>
        <w:spacing w:after="0" w:line="1" w:lineRule="exact"/>
        <w:rPr>
          <w:rFonts w:ascii="Arial" w:cs="Arial" w:eastAsia="Arial" w:hAnsi="Arial"/>
          <w:sz w:val="18"/>
          <w:szCs w:val="18"/>
          <w:color w:val="auto"/>
        </w:rPr>
      </w:pPr>
    </w:p>
    <w:p>
      <w:pPr>
        <w:ind w:left="500" w:hanging="330"/>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the net loss attributable to Altisource for the nine months ended September 30, 2019, 0.3 million stock options, restricted shares and restricted share units were excluded from the computation of diluted EPS, as their impacts were anti-dilutive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RESTRUCTURING CHARGES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2018, Altisource initiated Project Catalyst, a project intended to optimize its operations and reduce costs to better align its cost structure with its anticipated revenues and improve its operating margins. During the nine months ended September 30, 2019 and 2018, Altisource incurred $9.1 million and $3.4 million, respectively, of severance costs, professional services fees and technology costs related to the reorganization plan ($2.8 million and $3.4 million for the third quarter of 2019 and 2018, respectively). We expect to incur additional severance costs, professional services fees, technology costs and facility consolidation costs in connection with this internal reorganization, automation and other technology related activities and will expense those costs as incurred. Based on our analysis, we currently anticipate the future costs relating to Project Catalyst to be in the range of approximately $12 million to $15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certain existing court precedent. During the nine months ended September 30, 2019, the Company completed the analysis of its services for potential exposure to sales tax in various jurisdictions in the United States. The Company recognized a $0.4 million and $5.9 million net loss for the nine months ended September 30, 2019 and 2018, respectively ($1.7 million gain and $5.9 million loss for the third quarter of 2019 and 2018, respectively) in selling, general and administrative expenses in the accompanying condensed consolidated statements of operations and comprehensive income (loss). During the third quarter of 2019, we recognized a net reimbursement from clients of $1.7 million of sales taxes previously accrued and paid. The Company began invoicing, collecting and remitting sales tax in applicable jurisdictions in 2019. The Company is also in the process of seeking additional reimbursements for sales tax payments from clients; however, there can be no assurance that the Company will be successful in collecting some or all of such additional reimbursements. Future changes in our estimated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 tax exposure could result in a material adjustment to our condensed consolidated financial statements, which would impact our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during the three and nine months ended September 30, 2019, Ocwen was our largest customer, accounting for 54% of our total revenue (63% of our revenue for the third quarter of 2019). Additionally, 6% of our revenue for the nine months ended September 30, 2019 (6% of our revenue for the third quarter of 2019) was earned on the loan portfolios serviced by Ocwen, when a party other than Ocwen or the MSR owner selected Altisource as the service provider.</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cease and desist orders, consent orders, inquiries, subpoenas, civil investigative demands, requests for information and other actions and is subject to pending legal proceedings, some of which include claims against Ocwen for substantial monetary damages. In addition to monetary damages, various complaints have sought to obtain permanent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June 30, 2019, NRZ owned MSRs or rights to MSRs relating to approximately 53% of loans serviced and subserviced by Ocwen (measured in UPB).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Subject MSRs for an initial term of five years. NRZ can terminate its sub-servicing agreement with Ocwen in exchange for the payment of a termination fee.</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in the event one or more of these events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focused on diversifying and growing our revenue and customer base and we have a sales and marketing strategy to support our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lease certain premises and equipment, primarily consisting of office space and information technology equipment. Effective January 1, 2019, we adopted the provisions of Topic 842, resulting in recognition of $42.1 million of right-of-use assets in right-of-use-assets under operating leases and $45.5 million of operating lease liabilities (see Note 1).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$1.3 million and $1.2 million for the nine months ended September 30, 2019 and 2018, respectively ($0.5 million and $0.4 million for the third quarter of 2019 and 2018, respectively). The amortization period of right-of-use assets are generally limited by the expected lease term. Our leases generally have expected lease terms at adoption of one to six years.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lease terms and our discount rate assumption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ind w:left="840"/>
              <w:spacing w:after="0"/>
              <w:rPr>
                <w:sz w:val="20"/>
                <w:szCs w:val="20"/>
                <w:color w:val="auto"/>
              </w:rPr>
            </w:pPr>
            <w:r>
              <w:rPr>
                <w:rFonts w:ascii="Arial" w:cs="Arial" w:eastAsia="Arial" w:hAnsi="Arial"/>
                <w:sz w:val="18"/>
                <w:szCs w:val="18"/>
                <w:color w:val="auto"/>
                <w:w w:val="93"/>
              </w:rPr>
              <w:t>7.14%</w:t>
            </w:r>
          </w:p>
        </w:tc>
        <w:tc>
          <w:tcPr>
            <w:tcW w:w="0" w:type="dxa"/>
            <w:vAlign w:val="bottom"/>
          </w:tcPr>
          <w:p>
            <w:pPr>
              <w:spacing w:after="0"/>
              <w:rPr>
                <w:sz w:val="1"/>
                <w:szCs w:val="1"/>
                <w:color w:val="auto"/>
              </w:rPr>
            </w:pPr>
          </w:p>
        </w:tc>
      </w:tr>
      <w:tr>
        <w:trPr>
          <w:trHeight w:val="405"/>
        </w:trPr>
        <w:tc>
          <w:tcPr>
            <w:tcW w:w="8460" w:type="dxa"/>
            <w:vAlign w:val="bottom"/>
            <w:gridSpan w:val="2"/>
          </w:tcPr>
          <w:p>
            <w:pPr>
              <w:spacing w:after="0"/>
              <w:rPr>
                <w:sz w:val="20"/>
                <w:szCs w:val="20"/>
                <w:color w:val="auto"/>
              </w:rPr>
            </w:pPr>
            <w:r>
              <w:rPr>
                <w:rFonts w:ascii="Arial" w:cs="Arial" w:eastAsia="Arial" w:hAnsi="Arial"/>
                <w:sz w:val="18"/>
                <w:szCs w:val="18"/>
                <w:color w:val="auto"/>
              </w:rPr>
              <w:t>Our lease activity during the period is as follows: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92"/>
        </w:trPr>
        <w:tc>
          <w:tcPr>
            <w:tcW w:w="8460" w:type="dxa"/>
            <w:vAlign w:val="bottom"/>
            <w:gridSpan w:val="2"/>
            <w:vMerge w:val="continue"/>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September 30, 2019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70"/>
        </w:trPr>
        <w:tc>
          <w:tcPr>
            <w:tcW w:w="8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500" w:type="dxa"/>
            <w:vAlign w:val="bottom"/>
          </w:tcPr>
          <w:p>
            <w:pPr>
              <w:jc w:val="right"/>
              <w:ind w:right="302"/>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3,103</w:t>
            </w:r>
          </w:p>
        </w:tc>
        <w:tc>
          <w:tcPr>
            <w:tcW w:w="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8,368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 for amounts included in the measurement</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of lease liabilities</w:t>
            </w: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3,771</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12,228</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Short-term (less than one year) lease costs</w:t>
            </w:r>
          </w:p>
        </w:tc>
        <w:tc>
          <w:tcPr>
            <w:tcW w:w="5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1,539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405"/>
        </w:trPr>
        <w:tc>
          <w:tcPr>
            <w:tcW w:w="8460" w:type="dxa"/>
            <w:vAlign w:val="bottom"/>
            <w:gridSpan w:val="2"/>
          </w:tcPr>
          <w:p>
            <w:pPr>
              <w:spacing w:after="0"/>
              <w:rPr>
                <w:sz w:val="20"/>
                <w:szCs w:val="20"/>
                <w:color w:val="auto"/>
              </w:rPr>
            </w:pPr>
            <w:r>
              <w:rPr>
                <w:rFonts w:ascii="Arial" w:cs="Arial" w:eastAsia="Arial" w:hAnsi="Arial"/>
                <w:sz w:val="18"/>
                <w:szCs w:val="18"/>
                <w:color w:val="auto"/>
              </w:rPr>
              <w:t>Maturities of our lease liabilities as of September 30, 2019 are as follows: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Operating lease</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3"/>
              </w:rPr>
              <w:t>liabilities</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11,627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32,321</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Less interest</w:t>
            </w: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28,265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Balances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$34.7 million and $23.6 million as of September 30, 2019 and December 31, 2018,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SUBSEQUENT EVENT</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8, 2019, the Company announced that it intends to wind down and close the Owners.com business. The Company believes that closing Owners.com supports its simplification strategy, eliminates the cash burn associated with this earlier stage business, and increases focus on our core real estate and mortgage businesses. For the nine months ended September 30, 2019, Owners.com generated $5.9 million of revenue and $12.8 million of loss before income taxes. In connection with the exit of the Owners.com business, the Company estimates that it will recognize a $5.9 million non-cash goodwill and intangible assets impairment charge in the fourth quarter of 2019 as well as wind-down and severance costs. Owners.com is not material in relation to the Company’s results of operations or financial position.</w:t>
      </w:r>
    </w:p>
    <w:p>
      <w:pPr>
        <w:sectPr>
          <w:pgSz w:w="11900" w:h="16838" w:orient="portrait"/>
          <w:cols w:equalWidth="0" w:num="1">
            <w:col w:w="11420"/>
          </w:cols>
          <w:pgMar w:left="240" w:top="125" w:right="239" w:bottom="231"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231"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2018 filed with the Securities and Exchange Commission (“SEC”) on February 26,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other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1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related to sources of liquidity and the adequacy of financial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about our ability to improve margins and anticipated expense reductions as a result of Project Catalyst;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Important factors that could cause actual results to differ materially from those suggested by the forward-looking statements include, but are not limited to, the risks discussed in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of our Form 10-K for the year ended December 31, 2018 including:</w:t>
      </w:r>
    </w:p>
    <w:p>
      <w:pPr>
        <w:spacing w:after="0" w:line="116"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Ocwen Financial Corporation (together with its subsidiaries, “Ocwen”) as a customer or our ability to receive the anticipated volume of referrals from Ocwen;</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New Residential Investment Corp. (individually, together with one or more of its subsidiaries, or one or more of its subsidiaries individually, “NRZ”) as a customer or our ability to receive the anticipated volume of referrals from NRZ;</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material agreements if a change of control is deemed to have occurred including, among other things, through the formation of a shareholder group, this may cause a termination event or event of default under certain of our agreements;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execute on our strategic plan;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governmental regulations and policies and any changes in such regulations and policies;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technology incidents, data breaches and cybersecurity risks;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changes in tax regulations and interpretations in the countries, states and local jurisdictions in which we operate.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Effective January 1, 2019, the Company reorganized its internal reporting structure in connection with Project Catalyst, a project initiated in August 2018 to optimize our operations and reduce costs to better align our cost structure with our anticipated revenues and improve our operating margins. The internal reorganization included, among other changes, the replacement of segment presidents with a chief operating officer, who is responsible for products, services and operations for the Company’s Mortgage Market and Real Estate Market businesses, reporting to our Chairman and Chief Executive Officer (our chief operating decision maker) who manages our businesses, regularly reviews operating results and profitability, allocates resources and evaluates performance on a consolidated basis. Prior to January 1, 2019, the Company reported our operations through two reportable segments: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Real Estate</w:t>
      </w:r>
      <w:r>
        <w:rPr>
          <w:rFonts w:ascii="Arial" w:cs="Arial" w:eastAsia="Arial" w:hAnsi="Arial"/>
          <w:sz w:val="17"/>
          <w:szCs w:val="17"/>
          <w:color w:val="auto"/>
        </w:rPr>
        <w:t xml:space="preserve"> </w:t>
      </w:r>
      <w:r>
        <w:rPr>
          <w:rFonts w:ascii="Arial" w:cs="Arial" w:eastAsia="Arial" w:hAnsi="Arial"/>
          <w:sz w:val="17"/>
          <w:szCs w:val="17"/>
          <w:i w:val="1"/>
          <w:iCs w:val="1"/>
          <w:color w:val="auto"/>
        </w:rPr>
        <w:t>Market</w:t>
      </w:r>
      <w:r>
        <w:rPr>
          <w:rFonts w:ascii="Arial" w:cs="Arial" w:eastAsia="Arial" w:hAnsi="Arial"/>
          <w:sz w:val="17"/>
          <w:szCs w:val="17"/>
          <w:color w:val="auto"/>
        </w:rPr>
        <w:t>. In addition, we reported</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separately. The prior year presentation has been reclassified to conform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year presentation.</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provide loan servicers and originators with marketplaces, services and technologies that span the mortgage lifecycle. We provide real estate consumers with marketplaces and services that span the real estate lifecycle. Our offerings include: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Field Services</w:t>
      </w:r>
    </w:p>
    <w:p>
      <w:pPr>
        <w:spacing w:after="0" w:line="63"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Property preservation and inspection services, including vendor management, marketplace transaction management, payment management technologies and a vendor management oversight software-as-a-service (“SaaS”) platform</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Hubzu</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online real estate auction platform, real estate auction, real estate brokerage and asset management</w:t>
      </w:r>
    </w:p>
    <w:p>
      <w:pPr>
        <w:ind w:right="1140" w:firstLine="332"/>
        <w:spacing w:after="0" w:line="235"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Equator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 SaaS based technology to manage real estate owned (“REO”), short sales, foreclosure, bankruptcy and eviction processes </w:t>
      </w:r>
      <w:r>
        <w:rPr>
          <w:rFonts w:ascii="Arial" w:cs="Arial" w:eastAsia="Arial" w:hAnsi="Arial"/>
          <w:sz w:val="18"/>
          <w:szCs w:val="18"/>
          <w:i w:val="1"/>
          <w:iCs w:val="1"/>
          <w:color w:val="auto"/>
        </w:rPr>
        <w:t>Mortgage and Real Estate Solutions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origination loan fulfillment, certification and certification insurance services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insurance (as an agent), settlement and valuation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and commercial construction inspection and risk mitigation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Management of the Best Partners Mortgage Cooperative, Inc.,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 mortgage banking cooperative</w:t>
      </w:r>
    </w:p>
    <w:p>
      <w:pPr>
        <w:spacing w:after="0" w:line="33"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Earlier Stage Businesses</w:t>
      </w:r>
    </w:p>
    <w:p>
      <w:pPr>
        <w:spacing w:after="0" w:line="63" w:lineRule="exact"/>
        <w:rPr>
          <w:sz w:val="20"/>
          <w:szCs w:val="20"/>
          <w:color w:val="auto"/>
        </w:rPr>
      </w:pPr>
    </w:p>
    <w:p>
      <w:pPr>
        <w:ind w:left="660" w:hanging="328"/>
        <w:spacing w:after="0" w:line="21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Owners.com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technology-enabled real estate brokerage and provider of related mortgage brokerage and title services (on October 8, 2019, we announced the intent to wind down and close the Owners.com business)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Pointillist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journey analytics platform</w:t>
      </w:r>
    </w:p>
    <w:p>
      <w:pPr>
        <w:spacing w:after="0"/>
        <w:rPr>
          <w:sz w:val="20"/>
          <w:szCs w:val="20"/>
          <w:color w:val="auto"/>
        </w:rPr>
      </w:pPr>
      <w:r>
        <w:rPr>
          <w:rFonts w:ascii="Arial" w:cs="Arial" w:eastAsia="Arial" w:hAnsi="Arial"/>
          <w:sz w:val="18"/>
          <w:szCs w:val="18"/>
          <w:i w:val="1"/>
          <w:iCs w:val="1"/>
          <w:color w:val="auto"/>
        </w:rPr>
        <w:t>Other</w:t>
      </w:r>
    </w:p>
    <w:p>
      <w:pPr>
        <w:spacing w:after="0" w:line="47"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Services business, including post-charge-off consumer debt and mortgage charge-off collection services and customer relationship management services (sold on July 1, 2019)</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Buy-Renovate-Lease-Sell (“BRS”) short-term investments in real estate (this business was discontinued in 2019 with the majority of the BRS inventory sold in the second quarter of 2019 and the remaining inventory sold in the third quarter of 2019)</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Residential loan servicing technologies, document management platform and information technology infrastructure management services (these services are being terminated following Ocwen’s transition to another servicing platform)</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 loan servicing technology</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Lenders One is included in revenue and reduced from net income to arrive at net income attributable to Altisource.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Core Businesses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focused on becoming one of the premier providers of mortgage and real estate marketplaces and related services to a broad and diversified customer base. The real estate and mortgage marketplaces represent large markets. We believe our scale and suite of offerings to these large markets provide us with competitive advantages that could support our growth.</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our offerings that support residential loan servicers, we provide a suite of services and technologies intended to meet their growing and evolving needs. We are focused on growing referrals from our existing customer base and attracting new customers to our offerings. We have a customer base that includes Ocwen, a government-sponsored enterprise (“GSE”), NRZ, several large bank and non-bank servicers and asset managers. We believe we are one of only a few providers with a broad suite of servicer solutions, nationwide coverage and demonstrated scalability. Further, we believe we are well positioned to gain market share as delinquency rates rise and as existing customers and prospects consolidate to larger, full-service providers and outsource services that have historically been performed in-house.</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provide services to loan originators (or other similar mortgage market participants) in originating, buying and selling residential mortgages. We provide a suite of services and technologies to meet the evolving and growing needs of lenders, mortgage purchasers and securitizers. We are focused on attempting to grow referrals from our existing customer base and attract new customers to our offerings. We have a customer base that includes Lenders One cooperative mortgage bankers and mid-size and larger bank and non-bank loan originators. We believe our suite of services and technologies positions us to grow our relationships with our existing customer base by providing additional products, services and solutions to these customers. During periods of rising delinquency rates, we believe we are well positioned to attract new customers as prospects consolidate to larger, full-service providers and outsource services that have historically been performed in-house.</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earlier stage businesses include Owners.com and Pointillist. However, on October 8, 2019, we announced our intent to wind down and close the Owners.com business to increase focus on core operations and to support our simplification strategy and eliminate cash burn associated with this earlier stage business. Pointillist was developed by Altisource through our consumer analytics capabilities. We believe it is a potentially disruptive SaaS-based platform which provides unique customer journey analytics at scale and enables customers to engage through our intelligent platform. In September 2019, we announced the creation of Pointillist, Inc. (“Pointillist”) as its own legal entity to position it for accelerated growth and outside investment and contributed the Pointillist business and $8.5 million to it. Pointillist is owned by Altisource and management of Pointillist. Management of Pointillist owns a non-controlling interest representing 12% of the outstanding equity of Pointillist. Additional equity shares of Pointillist are available for issuance to management and board members of Pointillist. Altisource has an option, but no ongoing obligation, to participate in future funding of Pointillist.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September 30, 2019, approximately 2.7 million shares of common stock remain available for repurchase under the program. We purchased 0.6 million shares of common stock at an average price of $21.03 per share during the nine months ended September 30, 2019 and 0.8 million shares at an average price of $27.48 per share during the nine months ended September 30, 2018 (0.3 million shares at an average price of $20.24 per share for the third quarter of 2019 and 21 thousand shares at an average price of $30.93 per share for the third quarter of 2018). Luxembourg law limits share repurchases to the balance of Altisource Portfolio Solutions S.A. (unconsolidated parent company) retained earnings, less the value of shares repurchased. As of September 30, 2019, we can repurchase up to approximately $104 million of our common stock under Luxembourg law. Our Credit Agreement also limits the amount we can spend on share repurchases, which was approximately $443 million as of September 30, 2019, and may prevent repurchases in certain circumstances.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2019, Ocwen was our largest customer, accounting for 54% of our total revenue for the nine months ended September 30, 2019 (63% of our revenue for the third quarter of 2019). Additionally, 6% of our revenue for the nine months ended September 30, 2019 (6% of our revenue for the third quarter of 2019) was earned on the loan portfolios serviced by Ocwen, when a party other than Ocwen or the mortgage servicing rights (“MSRs”) owner selected Altisource as the service provider.</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has disclosed that it is subject to a number of ongoing federal and state regulatory examinations, cease and desist orders, consent orders, inquiries, subpoenas, civil investigative demands, requests for information and other actions and is subject 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pending legal proceedings, some of which include claims against Ocwen for substantial monetary damages. In addition to monetary damages, various complaints have sought to obtain permanent injunctive relief, consumer redress, refunds, restitution, disgorgement, civil penalties, costs and fees and other relief. Existing or future similar matters could result in, and in some cases, have resulted in, adverse regulatory or other actions against Ocwen. Previous regulatory actions against Ocwen have subjected Ocwen to independent oversight of its operations and placed certain restrictions on its ability to acquire servicing rights. In addition to the above, Ocwen may become subject to future adverse regulatory or other actions.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Ocwen has disclosed that NRZ is its largest client. As of June 30, 2019, NRZ owned MSRs or rights to MSRs relating to approximately 53% of loans serviced and subserviced by Ocwen (measured in unpaid principal balances).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NRZ can terminate its sub-servicing agreement with Ocwen in exchange for the payment of a termination fee.</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remaining non-GSE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in the event one or more of these events materially negatively impact Altisource, we believe the variable nature of our cost structure would allow us to realign our cost structure in line with remaining revenue. Furthermore, in the event of a significant reduction in the volume of services purchased or loan portfolios serviced by Ocwen (such as a transfer of Ocwen’s remaining servicing rights to a successor servicer), we believe the impact to Altisource could occur over an extended period of time. During this period, we believe that we will continue to generate revenue from all or a portion of Ocwen’s loan portfolios.</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focused on diversifying and growing our revenue and customer base and we have a sales and marketing strategy to support our businesses. 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of our results:</w:t>
      </w:r>
    </w:p>
    <w:p>
      <w:pPr>
        <w:spacing w:after="0" w:line="171" w:lineRule="exact"/>
        <w:rPr>
          <w:sz w:val="20"/>
          <w:szCs w:val="20"/>
          <w:color w:val="auto"/>
        </w:rPr>
      </w:pPr>
    </w:p>
    <w:p>
      <w:pPr>
        <w:jc w:val="both"/>
        <w:ind w:left="660" w:hanging="328"/>
        <w:spacing w:after="0" w:line="27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March 28, 2019, Altisource entered into a definitive agreement to sell its Financial Services business, consisting of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and transaction costs upon closing of the sale, and an additional $4.0 million payment on the one year anniversary of the sale closing. The sale closed on July 1, 2019 and in connection with this sale, we recognized a $17.6 million pretax gain on sale for the nine months ended September 30, 2019 and the third quarter of 2019. The parties also entered into a transition services agreement to provide for the management and orderly transition of certain services and technologies to TSI for periods ranging from 2 months to 13</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months. On July 17, 2019, Altisource used $37.0 million of the net up-front payment to repay a portion of its senior secured term loan.</w:t>
      </w:r>
    </w:p>
    <w:p>
      <w:pPr>
        <w:spacing w:after="0" w:line="77" w:lineRule="exact"/>
        <w:rPr>
          <w:sz w:val="20"/>
          <w:szCs w:val="20"/>
          <w:color w:val="auto"/>
        </w:rPr>
      </w:pPr>
    </w:p>
    <w:p>
      <w:pPr>
        <w:ind w:left="660" w:right="20" w:hanging="328"/>
        <w:spacing w:after="0" w:line="31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June 28, 2019, the Company sold the majority of its short-term investments in real estate (“BRS Inventory”) to Lafayette Real Estate for $38.9 million and incurred closing costs of $1.8 million. In September 2019, the Company sold the remaining two BRS Inventory homes for $0.4 million.</w:t>
      </w: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May 2019, the Company began selling its investment in Front Yard Residential Corporation (“RESI”) common stock. During the nine months ended September 30, 2019, the Company sold 0.7 million shares for net proceeds of $7.8 million (0.1 million shares for net proceeds of $1.3 million for the third quarter of 2019). As required by the senior secured term loan agreement, the Company is using the net proceeds to repay a portion of its senior secured term loan.</w:t>
      </w:r>
    </w:p>
    <w:p>
      <w:pPr>
        <w:spacing w:after="0" w:line="2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nine months ended September 30, 2019 and 2018, the Company recognized an unrealized gain (loss) of $11.7 million and $(4.2) million, respectively ($(2.3) million and $1.8 million for the third quarter of 2019 and 2018, respectively) on its investment in RESI common shares in other income (expense), net in the accompanying condensed consolidated statements of operations and comprehensive income (loss) from changes in the market value of RESI common shares.</w:t>
      </w:r>
    </w:p>
    <w:p>
      <w:pPr>
        <w:spacing w:after="0" w:line="24"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Effective January 1, 2019, the Company implemented a new accounting standard on leases which required the recognition of operating leases by companies as operating lease liabilities on their balance sheets and also required the recognition of right-of-use assets. Adoption of this new standard resulted in the recognition of $42.1 million of right-of-use assets in right-of-use assets under operating leases, $45.5 million of operating lease liabilities ($16.7 million in other current liabilities and $28.8 million in other non-current liabilities) and reduced accrued rent and lease incentives by $3.4 million in accounts payable and accrued liabilities and other non-current liabilities on the accompanying condensed consolidated balance sheets (see Notes 1 and 24 to the condensed consolidated financial statements for additional information regarding this accounting change). In connection with the adoption of the new accounting standard on leases, the Company initially recorded the operating lease expense as components of depreciation and amortization and interest expense. During the third quarter of 2019, the Company reclassified certain operating lease items recorded in the first half of 2019. This resulted in a $1.6 million increase in technology and telecommunications expense and a $1.5 million decrease in depreciation and amortization expense in cost of revenue, a $6.2 million increase in occupancy related costs and a $5.3 million decrease in depreciation and amortization expense in selling, general and administrative expense (“SG&amp;A”), and a $1.5 million decrease in interest expense, for the third quarter of 2019. For the nine months ended September 30, 2019, operating lease expenses in cost of revenue, SG&amp;A and interest expense are consistent with the new accounting standard on leases and comparable with the prior year.</w:t>
      </w:r>
    </w:p>
    <w:p>
      <w:pPr>
        <w:spacing w:after="0" w:line="12" w:lineRule="exact"/>
        <w:rPr>
          <w:rFonts w:ascii="Arial" w:cs="Arial" w:eastAsia="Arial" w:hAnsi="Arial"/>
          <w:sz w:val="16"/>
          <w:szCs w:val="16"/>
          <w:color w:val="auto"/>
        </w:rPr>
      </w:pPr>
    </w:p>
    <w:p>
      <w:pPr>
        <w:jc w:val="both"/>
        <w:ind w:left="660" w:hanging="328"/>
        <w:spacing w:after="0" w:line="272"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During the nine months ended September 30, 2019 and 2018, Altisource incurred $9.1 million and $3.4 million, respectively, of severance costs, professional services fees and technology costs related to the reorganization plan ($2.8 million and $3.4 million for the third quarter of 2019 and 2018, respectively). Altisource expects to incur additional severance costs, professional services fees, technology costs and facility consolidation costs in connection with this internal reorganization, automation and other technology related activities and will expense those costs as incurred. Based on the Company’s analysis, it currently anticipates the future costs relating to Project Catalyst to be in the range of approximately $12 million to $15 million.</w:t>
      </w:r>
    </w:p>
    <w:p>
      <w:pPr>
        <w:spacing w:after="0" w:line="15"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August 2018, the Company sold its rental property management business to RESI for total transaction proceeds of $18.0 million, $15.0 million of which was received on the closing date of August 8, 2018 and $3.0 million of which will be received on the earlier of a RESI change of control or August 8, 2023. The Company recognized a $13.7 million pretax gain on the sale of this business during the third quarter of 2018 in the condensed consolidated statements of operations and comprehensive income (loss) in connection with this transaction. See Note 3 to the condensed consolidated financial statements.</w:t>
      </w:r>
    </w:p>
    <w:p>
      <w:pPr>
        <w:spacing w:after="0" w:line="26"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certain existing court precedent. During the nine months ended September 30, 2019, the Company completed the analysis of its services for potential exposure to sales tax in various jurisdictions in the United States. The Company recognized a $0.4 million and $5.9 million loss for the nine months ended September 30, 2019 and 2018, respectively ($1.7 million gain and $5.9 million loss for the third quarter of 2019 and 2018, respectively), in SG&amp;A in the accompanying condensed consolidated statements of operations and comprehensive income (loss). During the third quarter of 2019, we recognized a net reimbursement from clients of $1.7 million of sales taxes. The Company began invoicing, collecting and remitting sales tax in applicable jurisdictions in 2019. The Company is also in the process of seeking additional reimbursements for sales tax payments from clients; however, there can be no assurance that the Company will be successful in collecting some or all of such additional reimbursements. Future changes in our estimated sales tax exposure could result in a material adjustment to our condensed consolidated financial statements which would impact our financial condition and results of operations.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April 3, 2018, Altisource and its wholly-owned subsidiary, Altisource S.à r.l. entered into a credit agreement (the “Credit Agreement”) with Morgan Stanley Senior Funding, Inc., as administrative agent and collateral agent, and certain lenders, pursuant to which, among other things, Altisource borrowed $412.0 million in the form of Term B Loans. Proceeds from the Term B Loans were used to repay the Company’s prior senior secured term loan. In connection with the refinancing, we recognized a loss of $4.4 million from the write-off of unamortized debt issuance costs and debt discount for the nine months ended September 30, 2018 and third quarter of 2018 (no comparative amounts for the nine months ended September 30, 2019 and the third quarter of 2019).</w:t>
      </w:r>
    </w:p>
    <w:p>
      <w:pPr>
        <w:spacing w:after="0" w:line="30" w:lineRule="exact"/>
        <w:rPr>
          <w:rFonts w:ascii="Arial" w:cs="Arial" w:eastAsia="Arial" w:hAnsi="Arial"/>
          <w:sz w:val="18"/>
          <w:szCs w:val="18"/>
          <w:color w:val="auto"/>
        </w:rPr>
      </w:pPr>
    </w:p>
    <w:p>
      <w:pPr>
        <w:jc w:val="both"/>
        <w:ind w:left="660" w:hanging="328"/>
        <w:spacing w:after="0" w:line="288"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recognized an income tax provision of $20.7 million and $6.1 million for the nine months ended September 30, 2019 and 2018, respectively ($5.4 million and $6.6 million for the third quarter of 2019 and 2018, respectively). The effective income tax rate increased to 98.9% for the nine months ended September 30, 2019 from 42.6% for the nine months ended September 30, 2018 (increased slightly to 41.5% for the third quarter of 2019 from 41.0% for the third quarter of 2018). The increase in the income tax provision for the nine months ended September 30, 2019 was driven by a $12.3 million reduction in Luxembourg deferred tax assets in connection with a decrease in the Luxembourg statutory income tax rate from 26.0% to 24.9% in the second quarter of 2019. The increase in the income tax provision for the nine months ended September 30, 2019 and the third quarter of 2019 was also due to a higher effective tax rate on the sale of the Financial Services Business, as discussed above, as a result of the jurisdictional mix of the net pretax gain on the sale of this business. A component of the net gain represented a capital loss that did not result in a tax benefit due to a valuation allowance applied to the tax benefit. Excluding these items, the effective tax rate would have been 6.5% for the nine months ended September 30, 2019 and 40.0% for the third quarter of 2019.</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periods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consolidated results of operations: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68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7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8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10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 revenue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133,781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196,906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489,300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594,533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6,815</w:t>
            </w:r>
          </w:p>
        </w:tc>
        <w:tc>
          <w:tcPr>
            <w:tcW w:w="1220" w:type="dxa"/>
            <w:vAlign w:val="bottom"/>
            <w:gridSpan w:val="2"/>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16,484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23,970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2,066</w:t>
            </w:r>
          </w:p>
        </w:tc>
        <w:tc>
          <w:tcPr>
            <w:tcW w:w="1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141,493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204,575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507,963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620,569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revenue</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110,906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147,580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387,651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457,980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30,587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56,995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120,312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162,589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27,184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46,329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104,275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132,377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Gain on sale of businesses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(13,688)</w:t>
            </w:r>
          </w:p>
        </w:tc>
        <w:tc>
          <w:tcPr>
            <w:tcW w:w="1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(13,688)</w:t>
            </w:r>
          </w:p>
        </w:tc>
        <w:tc>
          <w:tcPr>
            <w:tcW w:w="1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3,436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3,436</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20,918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24,515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40,464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(19,615)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Unrealized (loss) gain on investment in equity</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340"/>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1,782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11,731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(4,186)</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w:t>
            </w:r>
          </w:p>
        </w:tc>
        <w:tc>
          <w:tcPr>
            <w:tcW w:w="1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(2,435)</w:t>
            </w:r>
          </w:p>
        </w:tc>
        <w:tc>
          <w:tcPr>
            <w:tcW w:w="1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386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(4,789)</w:t>
            </w:r>
          </w:p>
        </w:tc>
        <w:tc>
          <w:tcPr>
            <w:tcW w:w="1220" w:type="dxa"/>
            <w:vAlign w:val="bottom"/>
            <w:gridSpan w:val="2"/>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(26,236)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40"/>
              <w:spacing w:after="0"/>
              <w:rPr>
                <w:sz w:val="20"/>
                <w:szCs w:val="20"/>
                <w:color w:val="auto"/>
              </w:rPr>
            </w:pPr>
            <w:r>
              <w:rPr>
                <w:rFonts w:ascii="Arial" w:cs="Arial" w:eastAsia="Arial" w:hAnsi="Arial"/>
                <w:sz w:val="18"/>
                <w:szCs w:val="18"/>
                <w:color w:val="auto"/>
                <w:w w:val="98"/>
              </w:rPr>
              <w:t>Income before income taxes and non-controlling</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12,955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16,129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20,898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14,228</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(6,059)</w:t>
            </w:r>
          </w:p>
        </w:tc>
        <w:tc>
          <w:tcPr>
            <w:tcW w:w="1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9,521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8,169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(854)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(2,066)</w:t>
            </w:r>
          </w:p>
        </w:tc>
        <w:tc>
          <w:tcPr>
            <w:tcW w:w="1200" w:type="dxa"/>
            <w:vAlign w:val="bottom"/>
            <w:gridSpan w:val="2"/>
          </w:tcPr>
          <w:p>
            <w:pPr>
              <w:jc w:val="right"/>
              <w:ind w:right="2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38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(loss) attributable to Altisource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7,165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8,667</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6,103</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Earnings (loss) per share: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0.51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0.36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0.49</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0.35</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84"/>
        </w:trPr>
        <w:tc>
          <w:tcPr>
            <w:tcW w:w="3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15,897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17,033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16,133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17,184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16,151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17,575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16,133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17,669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5" w:right="2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line of business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 Increase</w:t>
            </w:r>
          </w:p>
        </w:tc>
        <w:tc>
          <w:tcPr>
            <w:tcW w:w="26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120" w:type="dxa"/>
            <w:vAlign w:val="bottom"/>
          </w:tcPr>
          <w:p>
            <w:pPr>
              <w:jc w:val="right"/>
              <w:ind w:right="142"/>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Field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69,873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76,719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204,355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217,027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Marketplace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25,910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44,033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146,489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Mortgage and Real Estate Solutions</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31,728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35,749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85,081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100,360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Earlier Stage Businesses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6,607</w:t>
            </w:r>
          </w:p>
        </w:tc>
        <w:tc>
          <w:tcPr>
            <w:tcW w:w="12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3,778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37,635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97,481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124,050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133,781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196,906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594,533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Field Services</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7,082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17,014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Marketplace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N/M</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3,109</w:t>
            </w:r>
          </w:p>
        </w:tc>
        <w:tc>
          <w:tcPr>
            <w:tcW w:w="12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Mortgage and Real Estate Solutions</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1,177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7,213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6,815</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16,484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Mortgage and Real Estate Solutions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2,066</w:t>
            </w:r>
          </w:p>
        </w:tc>
        <w:tc>
          <w:tcPr>
            <w:tcW w:w="12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141,493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204,575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507,963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620,569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service revenue of $489.3 million for the nine months ended September 30, 2019, an 18% decrease compared to the nine months ended September 30, 2018 ($133.8 million for the third quarter of 2019, a 32% decrease compared to the third quarter of 2018). Field Services, Marketplace and Mortgage and Real Estate Solutions were negatively impacted during these periods by the reduction in the size of Ocwen’s portfolio and number of delinquent loans, RESI’s smaller portfolio of non-performing loans and REO and the temporary impact that Ocwen’s transition to another servicing system had on default related referral volume and REO inventory conversion rates. The Company estimates that revenue was approximately $7.8 million lower in the third quarter of 2019 because of lower REO inventory conversion rates related to Ocwen’s transition to a new servicing system. The Company believes that the lower conversion rates are largely a timing item and anticipates returning to normal conversion rates during the fourth quarter of 2019 and the first half of 2020. In addition, service revenue declined from the July 1, 2019 sale of the Financial Services Business and lower REALServicing revenue from Ocwen’s second quarter 2019 migration to another servicing system. Service revenue for the third quarter of 2019 was also lower than the third quarter of 2018 from the discontinuation of the BRS business.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reimbursable expense revenue of $16.5 million for the nine months ended September 30, 2019, a 31% decrease compared to the nine months ended September 30, 2018 ($7.2 million for the third quarter of 2019, a 6% increase compared to the third quarter of 2018). The decrease in reimbursable expense revenue for the nine months ended September 30, 2019 was primarily for the reasons discussed in service revenue above, partially offset by an increase in reimbursable expense revenue for Marketplace related to new early stage disposition services performed. The increase in the third quarter of 2019 was primarily driven by the increase in Marketplace revenue related to new early stage disposition services performed, partially offset by decreases related to the same reasons discussed in service revenue above.</w:t>
      </w:r>
    </w:p>
    <w:p>
      <w:pPr>
        <w:spacing w:after="0" w:line="13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of our revenues are impacted by seasonality. More specifically, revenues from property sales, loan originations and certain Field Services typically tend to be at their lowest level during the fall and winter months and at their highest level during the spring and summer months.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operations roles, fees paid to external providers related to the provision of services, cost of real estate sold, reimbursable expenses, technology and telecommunications costs and depreciation and amortization of operating assets.</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 Increase</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1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30,463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49,707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159,342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61,314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73,096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182,483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207,073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Cost of real estate sold</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17,591</w:t>
            </w:r>
          </w:p>
        </w:tc>
        <w:tc>
          <w:tcPr>
            <w:tcW w:w="1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10,298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10,230</w:t>
            </w: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27,124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30,533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Reimbursable expenses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6,815</w:t>
            </w: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23,970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6,640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10,160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19,471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110,906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147,580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387,651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457,980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cost of revenue of $387.7 million for the nine months ended September 30, 2019, a 15% decrease compared to the nine months ended September 30, 2018 ($110.9 million for the third quarter of 2019, a 25% decrease compared to the third quarter of 2018). The decreases were primarily driven by lower revenue in Field Services, Marketplace and Mortgage and Real Estate Solutions businesses, the July 1, 2019 sale of the Financial Services Business, the transfer of employees to SG&amp;A functions in connection with the Project Catalyst reorganization and from the second quarter 2019 completion of the depreciation period for certain premises and equipment. The decrease in cost of revenue for the third quarter of 2019 compared to the same period in 2018 was partially offset by higher cost of real estate sold from the sale of all of the BRS Inventory in 2019. During the third quarter of 2019, we reclassified certain operating lease items recorded in the first half of 2019. This resulted in a $1.6 million increase in technology and telecommunications expense and a $1.5 million decrease in depreciation and amortization expense in cost of revenue for the third quarter of 2019.</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Gross profit decreased to $120.3 million, representing 25% of service revenue, for the nine months ended September 30, 2019 compared to $162.6 million, representing 27% of service revenue, for the nine months ended September 30, 2018 (decreased to $30.6 million, representing 23% of service revenue, for the third quarter of 2019 compared to $57.0 million, representing 29% of service revenue, for the third quarter of 2018). Gross profit as a percentage of service revenue for the three and nine months ended September 30, 2019 decreased compared to the three and nine months ended September 30, 2018, primarily due to revenue mix with lower revenue from higher margin businesses, including the impact of the July 1, 2019 sale of the Financial Services Business. The revenue mix change was impacted by Ocwen's servicing system transition as discussed above. Absent the transition, we believe we would have had substantially higher Hubzu sale conversion rates generating substantially more revenue at higher margins. Gross profit as a percentage of service revenue for the nine months ended September 30, 2019 compared to the same period in 2018 was also impacted by higher 2019 revenue from the sale of the BRS Inventory, which incurred a loss. These decreases were partially offset by our Project Catalyst cost reduction initiatives.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includes payroll for personnel employed in executive, sales and marketing, finance,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 Increase</w:t>
            </w: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1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10,395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11,991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37,757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12,209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7,428</w:t>
            </w:r>
          </w:p>
        </w:tc>
        <w:tc>
          <w:tcPr>
            <w:tcW w:w="1220" w:type="dxa"/>
            <w:vAlign w:val="bottom"/>
            <w:gridSpan w:val="2"/>
          </w:tcPr>
          <w:p>
            <w:pPr>
              <w:jc w:val="right"/>
              <w:ind w:right="2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19,988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23,051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21,311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11,384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12,469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11,852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124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4,036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5,272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10,054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20,665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27,184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46,329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104,275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132,377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8"/>
                <w:szCs w:val="18"/>
                <w:color w:val="auto"/>
              </w:rPr>
              <w:t>N/M — not meaningful.</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SG&amp;A for the nine months ended September 30, 2019 of $104.3 million decreased by 21% compared to the nine months ended September 30, 2018 ($27.2 million for the third quarter of 2019, a 41% decrease compared to the third quarter of 2018). The decreases were primarily driven by lower amortization of intangible assets and Other expenses. The decreases in amortization of intangible assets were driven by lower revenue generated by the Homeward Residential, Inc. and Residential Capital, LLC portfolios (revenue-based amortization), consistent with the reduction in the size of Ocwen’s portfolio discussed in the revenue section above, and the July 1, 2019 sale of the Financial Services Business. Other expenses decreased primarily due to a $5.9 million contingent loss accrual for sales tax exposure in the United States recognized in the third quarter of 2018 and a net reimbursement from clients of $1.7 million of sales taxes in the third quarter of 2019, lower travel and entertainment costs driven by Project Catalyst cost reduction initiatives and lower bad debt expense. In addition, during the third quarter of 2019, we reclassified certain operating lease items recorded in the first half of 2019. This resulted in a $6.2 million increase in occupancy related costs and a $5.3 million decrease in depreciation and amortization expense in SG&amp;A for the third quarter of 2019. For the nine months ended September 30, 2019, operating lease expenses in SG&amp;A are consistent with the new accounting standard on leases and comparable with the prior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Expenses (Income)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64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3"/>
                <w:szCs w:val="13"/>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2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1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businesses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2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(13,688)</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2,761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3,436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3,436</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Other operating income,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(14,797)</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(10,252)</w:t>
            </w:r>
          </w:p>
        </w:tc>
        <w:tc>
          <w:tcPr>
            <w:tcW w:w="1220" w:type="dxa"/>
            <w:vAlign w:val="bottom"/>
            <w:gridSpan w:val="2"/>
          </w:tcPr>
          <w:p>
            <w:pPr>
              <w:jc w:val="right"/>
              <w:ind w:right="48"/>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28, 2019, Altisource entered into a definitive agreement to sell the Financial Services Business to TSI for $44.0 million consisting of an up-front payment of $40.0 million, subject to a working capital adjustment and transaction costs upon closing of the sale, and an additional $4.0 million payment on the one year anniversary of the sale closing. The sale closed on July 1, 2019 and in connection with this sale, we recognized a $17.6 million pretax gain on sale for the nine months ended September 30, 2019 and the third quarter of 2019.</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we sold our rental property management business to RESI for total transaction proceeds of $18.0 million, $15.0 million of which was received on the closing date of August 8, 2018 and $3.0 million of which will be received on the earlier of a RESI change of control or August 8, 2023. In connection with the sale, we recognized a $13.7 million pretax gain on sale for the nine months ended September 30, 2018 and the third quarter of 2018 in connection with this transaction.</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2018, Altisource initiated Project Catalyst, a project intended to optimize our operations and reduce costs to better align its cost structure with its anticipated revenues and improve our operating margins. During the nine months ended September 30, 2019 and 2018, Altisource incurred $9.1 million and $3.4 million, respectively, of severance costs, professional services fees and technology costs related to the reorganization plan ($2.8 million and $3.4 million for the third quarter of 2019 and 2018, respectively). We expect to incur additional severance costs, professional services fees, technology costs and facility consolidation costs in connection with this internal reorganization, automation and other technology related activities and will expense those costs as incurred. Based on our analysis, we currently anticipate the future costs relating to Project Catalyst to be in the range of approximately $12 million to $15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Income from operations decreased to $24.5 million, representing 5% of service revenue, for the nine months ended September 30, 2019, compared to $40.5 million, representing 7% of service revenue, for the nine months ended September 30, 2018 (decreased to $18.2 million, representing 14% of service revenue, for the third quarter of 2019 compared to $20.9 million, representing 11% of service revenue, for the third quarter of 2018). Income from operations as a percentage of service revenue for the nine months ended September 30, 2019 decreased primarily as a result of lower gross margins and higher restructuring costs, partially offset by lower SG&amp;A expenses and a higher gain on the sale of businesses during the nine months ended September 30, 2019, as discussed above. Income from operations as a percentage of service revenue for the third quarter of 2019 increased primarily as a result of lower SG&amp;A and a higher gain on the sale of businesses, partially offset by lower gross margins, as discussed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principally includes interest expense, unrealized (loss) gain on our investment in RESI common shares and other non-operating gains and losses.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income (expense), net was $(3.6) million for the nine months ended September 30, 2019 compared to $(26.2) million for the nine months ended September 30, 2018 ($(5.2) million for the third quarter of 2019 and $(4.8) million for the third quarter of 2018). The decrease in other expense for the nine months ended September 30, 2019 was primarily driven by an $11.7 million unrealized gain on our investment in RESI common shares compared to a $(4.2) million unrealized loss in 2018. In addition, on April 3, 2018, Altisource and its wholly-owned subsidiary, Altisource S.à r.l. entered into the Credit Agreement, pursuant to which, among other things, Altisource borrowed $412.0 million in the form of Term B Loans. Proceeds from the Term B Loans were used to repay the Company’s prior senior secured term loan. In connection with the refinancing, we recognized a loss of $(4.4) million from the write-off of unamortized debt issuance costs and debt discount for the three and nine months ended September 30, 2018. In addition, interest expense was lower for the nine months ended September 30, 2019 primarily due to lower average outstanding balances of the senior secured terms loan as a result of repayments. The increase in other expense for the third quarter of 2019 was primarily driven by a $2.3 million unrealized loss on our investment in RESI common shares compared to a $1.8 million unrealized gain in 2018, largely offset by lower interest expense in 2019. Interest expense was lower in the third quarter of 2019 primarily due to lower average outstanding balances of the senior secured terms loan as a result of repayments. In addition, during the third quarter of 2019, the Company reclassified certain operating lease items recorded in the first half of 2019. This resulted in a $1.5 million decrease in interest expense for the third quarter of 2019. For the nine months ended September 30, 2019, interest expense is consistent with the new accounting standard.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recognized an income tax provision of $20.7 million and $6.1 million for the nine months ended September 30, 2019 and 2018, respectively ($5.4 million and $6.6 million for the third quarter of 2019 and 2018, respectively). The effective income tax rate increased to 98.9% for the nine months ended September 30, 2019 from 42.6% for the nine months ended September 30, 2018 (increased slightly to 41.5% for the third quarter of 2019 from 41.0% for the third quarter of 2018). The increase in the income tax provision for the nine months ended September 30, 2019 was driven by a $12.3 million reduction in Luxembourg deferred tax assets in connection with a decrease in the Luxembourg statutory income tax rate from 26.0% to 24.9% in the second quarter of 2019. The increase in the income tax provision for the nine months ended September 30, 2019 and the third quarter of 2019 was also due to a higher effective tax rate on the sale of the Financial Services Business, as discussed above, as a result of the jurisdictional mix of the net pretax gain on the sale of this business. A component of the net gain represented a capital loss that did not result in a valuation allowance applied to the tax benefit. Excluding these items, the effective tax rate would have been 6.5% for the nine months ended September 30, 2019 and 40.0% for the third quarter of 2019.</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 of liquidity is cash flow from operations and cash on hand. We seek to deploy cash generated in a disciplined manner. Principally, we intend to use cash to develop and grow complementary services and businesses that we believe will generate attractive margins in line with our core capabilities and strategy. We use cash for repayments of our long-term debt, capital investments and seek to use cash from time to time to repurchase shares of our common stock. In addition, we consider and evaluate business acquisitions, dispositions, closures or other similar actions from time to time that are aligned with our strategy.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3, 2018, Altisource entered into the Credit Agreement pursuant to which Altisource borrowed $412.0 million in the form of Term B Loans and obtained a $15.0 million revolving credit facility. The Term B Loans mature in April 2024 and the revolving credit facility matures in April 2023.</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Proceeds from the Term B Loans were used to repay the Company’s prior senior secured term loan, which had an outstanding balance of $412.1 million as of April 3, 2018. As of September 30, 2019, $294.0 million of the Term B Loans were outstanding. There were no borrowings outstanding under the revolving credit facility as of September 30, 2019.</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are no mandatory repayments of the Term B Loans due until March 2023, when $1.5 million is due to be repaid. Thereafter, the Term B Loans must be repaid in consecutive quarterly principal installments of $3.1 million, with the balance due at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is greater than 3.00 to 1.00, as calculated in accordance with the provisions of the Credit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Agreement (the percentage increases if our leverage ratio exceeds 3.50 to 1.00). Certain mandatory prepayments reduce future contractual amortization payments by an amount equal to the mandatory prepayment.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Term B Loans as of September 30, 2019 was 6.1%.</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The lenders have no obligation to provide any incremental indebtedness.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5"/>
              </w:rPr>
              <w:t>% Increase (decrease)</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adjusted for non-cash items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59,012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(15,362)</w:t>
            </w:r>
          </w:p>
        </w:tc>
        <w:tc>
          <w:tcPr>
            <w:tcW w:w="1580" w:type="dxa"/>
            <w:vAlign w:val="bottom"/>
            <w:gridSpan w:val="2"/>
          </w:tcPr>
          <w:p>
            <w:pPr>
              <w:jc w:val="right"/>
              <w:ind w:right="1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10,793</w:t>
            </w:r>
          </w:p>
        </w:tc>
        <w:tc>
          <w:tcPr>
            <w:tcW w:w="1580" w:type="dxa"/>
            <w:vAlign w:val="bottom"/>
            <w:gridSpan w:val="2"/>
          </w:tcPr>
          <w:p>
            <w:pPr>
              <w:jc w:val="right"/>
              <w:ind w:right="19"/>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financing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cash equivalents and restricted cash at the beginning of the period</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108,843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cash equivalents and restricted cash at the end of the period</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108,588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income. For the nine months ended September 30, 2019, cash flows provided by operating activities were $22.2 million, or approximately $0.05 for every dollar of service revenue (cash used for operating activities of $0.08 for every dollar of service revenue for the third quarter of 2019), compared to cash flows provided by operating activities of $43.7 million, or approximately $0.07 for every dollar of service revenue, for the nine months ended September 30, 2018 ($0.15 for every dollar of service revenue for the third quarter of 2018). During the nine months ended September 30, 2019, the decrease in cash provided by operating activities was driven by a decline in net income, adjusted for non-cash items of $23.9 million. The decrease in net income, adjusted for non-cash items, was partially driven by lower gross profit during the nine months ended September 30, 2019 from lower service revenue and the Project Catalyst restructuring charges, partially offset by lower SG&amp;A costs and decreases in expenses as a result of the Project Catalyst cost reduction initiatives. The decrease in cash provided by operating activities was partially offset by lower cash used for operations for changes in operating assets and liabilities of $2.4 million. The changes in operating assets and liabilities was driven by the decrease in short-term investments in real estate of $39.9 million related to the sale of the remaining BRS Inventory, largely offset by an increase of $31.6 million in accounts receivable during the nine months ended September 30, 2019, driven by the timing of collections. During the second and third quarters of 2019, accounts receivable increased in part as a result of delays in receiving payments from Ocwen in connection with Ocwen’s transition to another mortgage servicing software platform.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from investing activities for the nine months ended September 30, 2019 and 2018 primarily consisted of proceeds from the sale of businesses and proceeds from the sale of equity securities. Cash flows provided by investing activities were $45.7 million and $10.8 million for the nine months ended September 30, 2019 and 2018, respectively. The change in cash provided by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investing activities was primarily driven by $38.0 million in proceeds received from the sale of the Financial Services Business during 2019. During 2018, the Company sold the rental property management business to RESI for cash proceeds of $15.0 million. In addition, during the nine months ended September 30, 2019, the Company sold 0.7 million shares of RESI stock for net proceeds of $7.8 million. Cash used for investing activities included additions to premises and equipment of $(1.2) million and $(4.2) million for the nine months ended September 30, 2019 and 2018, respectively, primarily related to investments in the development of certain software applications, IT infrastructure and facility improvements.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Cash flows from financing activities for the nine months ended September 30, 2019 and 2018 included activities associated with long-term debt issuances, debt repayments, debt issuance costs, proceeds from stock option exercises, the purchase of treasury shares, distributions to non-controlling interests and payments of tax withholdings on issuance of restricted share units and restricted shares. Cash flows used in financing activities were $(61.3) million and $(54.7) million for the nine months ended September 30, 2019 and 2018, respectively. During the nine months ended September 30, 2019, we used $(44.8) million for repayments of long-term debt, largely from proceeds from the sale of the Financial Services Business and RESI common shares, and during the nine months ended September 30, 2018, we used net cash of $(34.0) million from proceeds from the sale of the rental property management business and cash on hand, to refinance and reduce our debt (including scheduled debt repayments). In addition, we received proceeds from stock option exercises of $0.4 million for the nine months ended September 30, 2019 compared to $3.6 million during the nine months ended September 30, 2018. Also, during the nine months ended September 30, 2019, we used $(13.4) million to repurchase shares of our common stock compared to $(21.8) million for the nine months ended September 30, 2018 and distributed $(2.0) million and $(1.9) million to non-controlling interests for the nine months ended September 30, 2019 and 2018, respectively. During the nine months ended September 30, 2019 and 2018, we made payments of $(1.5) million and $(0.6) million to satisfy employee tax withholding obligations on the issuance of restricted share units and restricted shares, respectively. These payments were made to tax authorities, at the employees’ direction, to satisfy the employees’ tax obligations rather than issuing a portion of vested restricted share units and restricted shares to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September 30, 2019</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significant future liquidity obligations primarily pertain to long-term debt repayments and interest expense under the Credit Agreement (see Liquidity section above), lease payments and distributions to Lenders One members. During the next 12 months, we expect to pay $19.4 million of interest expense (assuming no further principal repayments and the September 30, 2019 interest rate) under the Credit Agreement and make lease payments of $12.7 million.</w:t>
      </w:r>
    </w:p>
    <w:p>
      <w:pPr>
        <w:spacing w:after="0" w:line="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believe that our existing cash and cash equivalents balances, our anticipated cash flows from operations and availability under our revolving credit facility will be sufficient to meet our liquidity needs, including to fund required interest payments and additions to premises and equipment, for the next 12 months.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nine months ended September 30, 2019, there were no significant changes to our contractual obligations from those identified in our Form 10-K for the fiscal year ended December 31, 2018 and this Form 10-Q, other than those that occur in the normal course of business. See Note 24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critical accounting policies are described in the MD&amp;A section of our Form 10-K for the year ended December 31, 2018 filed with the SEC on February 26, 2019. There have been no material changes to our critical accounting policies during the nine months ended September 30, 2019.</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Note 1 to the condensed consolidated financial statements for a discussion of recently issued accounting pronouncements, including pronouncements that were adopted in the current period.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2019, the interest rate charged on the Term B Loan was 6.1%. The interest rate is calculated based on the Adjusted Eurodollar Rate (as defined in the senior secured term loan agreement) with a minimum floor of 1.00% plus 4.00%.</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and the Adjusted Eurodollar Rate as of September 30, 2019, a one percentage point increase in the Eurodollar rate would increase our annual interest expense by approximately $2.9 million. There would be a $2.9 million decrease in our annual interest expense if there was a one percentage point decrease in the Eurodollar 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the nine months ended September 30, 2019, a one percentage point increase or decrease in value of the Indian rupee in relation to the United States dollar would increase or decrease our annual expenses by approximately $0.5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2019,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2019.</w:t>
      </w:r>
    </w:p>
    <w:p>
      <w:pPr>
        <w:spacing w:after="0" w:line="13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2018 filed with the SEC on February 26,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September 30,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92"/>
        </w:trPr>
        <w:tc>
          <w:tcPr>
            <w:tcW w:w="1600" w:type="dxa"/>
            <w:vAlign w:val="bottom"/>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xml:space="preserve">purchased </w:t>
            </w:r>
            <w:r>
              <w:rPr>
                <w:rFonts w:ascii="Arial" w:cs="Arial" w:eastAsia="Arial" w:hAnsi="Arial"/>
                <w:sz w:val="8"/>
                <w:szCs w:val="8"/>
                <w:b w:val="1"/>
                <w:bCs w:val="1"/>
                <w:color w:val="auto"/>
                <w:w w:val="92"/>
              </w:rPr>
              <w:t>(1)</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color w:val="auto"/>
                <w:w w:val="95"/>
              </w:rPr>
              <w:t>(2)</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color w:val="auto"/>
                <w:w w:val="93"/>
              </w:rPr>
              <w:t>(2)</w:t>
            </w:r>
          </w:p>
        </w:tc>
        <w:tc>
          <w:tcPr>
            <w:tcW w:w="0" w:type="dxa"/>
            <w:vAlign w:val="bottom"/>
          </w:tcPr>
          <w:p>
            <w:pPr>
              <w:spacing w:after="0"/>
              <w:rPr>
                <w:sz w:val="1"/>
                <w:szCs w:val="1"/>
                <w:color w:val="auto"/>
              </w:rPr>
            </w:pPr>
          </w:p>
        </w:tc>
      </w:tr>
      <w:tr>
        <w:trPr>
          <w:trHeight w:val="270"/>
        </w:trPr>
        <w:tc>
          <w:tcPr>
            <w:tcW w:w="1600" w:type="dxa"/>
            <w:vAlign w:val="bottom"/>
            <w:tcBorders>
              <w:top w:val="single" w:sz="8" w:color="auto"/>
            </w:tcBorders>
          </w:tcPr>
          <w:p>
            <w:pPr>
              <w:spacing w:after="0"/>
              <w:rPr>
                <w:sz w:val="23"/>
                <w:szCs w:val="23"/>
                <w:color w:val="auto"/>
              </w:rPr>
            </w:pPr>
          </w:p>
        </w:tc>
        <w:tc>
          <w:tcPr>
            <w:tcW w:w="2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July 1 - 31, 2019</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138,957</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138,957</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2,923,955</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9"/>
                <w:shd w:val="clear" w:color="auto" w:fill="CCEEFF"/>
              </w:rPr>
              <w:t>August 1 - 31, 2019</w:t>
            </w:r>
          </w:p>
        </w:tc>
        <w:tc>
          <w:tcPr>
            <w:tcW w:w="2180" w:type="dxa"/>
            <w:vAlign w:val="bottom"/>
            <w:tcBorders>
              <w:bottom w:val="single" w:sz="8" w:color="CCEEFF"/>
            </w:tcBorders>
            <w:gridSpan w:val="2"/>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162,424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162,424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2,761,531</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September 1 - 30, 2019</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28,966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28,966</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2,732,565</w:t>
            </w:r>
          </w:p>
        </w:tc>
        <w:tc>
          <w:tcPr>
            <w:tcW w:w="0" w:type="dxa"/>
            <w:vAlign w:val="bottom"/>
          </w:tcPr>
          <w:p>
            <w:pPr>
              <w:spacing w:after="0"/>
              <w:rPr>
                <w:sz w:val="1"/>
                <w:szCs w:val="1"/>
                <w:color w:val="auto"/>
              </w:rPr>
            </w:pPr>
          </w:p>
        </w:tc>
      </w:tr>
      <w:tr>
        <w:trPr>
          <w:trHeight w:val="27"/>
        </w:trPr>
        <w:tc>
          <w:tcPr>
            <w:tcW w:w="16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60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330,347</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330,347</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2,732,565</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743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398" w:lineRule="exact"/>
        <w:rPr>
          <w:sz w:val="20"/>
          <w:szCs w:val="20"/>
          <w:color w:val="auto"/>
        </w:rPr>
      </w:pPr>
    </w:p>
    <w:p>
      <w:pPr>
        <w:ind w:left="280" w:hanging="258"/>
        <w:spacing w:after="0" w:line="216" w:lineRule="auto"/>
        <w:tabs>
          <w:tab w:leader="none" w:pos="2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 addition to the repurchases included in the table above, 9,167 common shares were withheld from employees to satisfy tax withholding obligations that arose from the vesting of restricted shares and restricted share units.</w:t>
      </w:r>
    </w:p>
    <w:p>
      <w:pPr>
        <w:spacing w:after="0" w:line="41" w:lineRule="exact"/>
        <w:rPr>
          <w:rFonts w:ascii="Arial" w:cs="Arial" w:eastAsia="Arial" w:hAnsi="Arial"/>
          <w:sz w:val="25"/>
          <w:szCs w:val="25"/>
          <w:color w:val="auto"/>
          <w:vertAlign w:val="superscript"/>
        </w:rPr>
      </w:pPr>
    </w:p>
    <w:p>
      <w:pPr>
        <w:jc w:val="both"/>
        <w:ind w:left="280" w:hanging="258"/>
        <w:spacing w:after="0" w:line="226" w:lineRule="auto"/>
        <w:tabs>
          <w:tab w:leader="none" w:pos="2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160" w:type="dxa"/>
            <w:vAlign w:val="bottom"/>
            <w:gridSpan w:val="5"/>
          </w:tcPr>
          <w:p>
            <w:pPr>
              <w:ind w:left="4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18"/>
        </w:trPr>
        <w:tc>
          <w:tcPr>
            <w:tcW w:w="340" w:type="dxa"/>
            <w:vAlign w:val="bottom"/>
            <w:gridSpan w:val="2"/>
          </w:tcPr>
          <w:p>
            <w:pPr>
              <w:ind w:left="40"/>
              <w:spacing w:after="0"/>
              <w:rPr>
                <w:rFonts w:ascii="Arial" w:cs="Arial" w:eastAsia="Arial" w:hAnsi="Arial"/>
                <w:sz w:val="18"/>
                <w:szCs w:val="18"/>
                <w:color w:val="0000FF"/>
                <w:w w:val="74"/>
              </w:rPr>
            </w:pPr>
            <w:hyperlink w:anchor="page45">
              <w:r>
                <w:rPr>
                  <w:rFonts w:ascii="Arial" w:cs="Arial" w:eastAsia="Arial" w:hAnsi="Arial"/>
                  <w:sz w:val="18"/>
                  <w:szCs w:val="18"/>
                  <w:color w:val="0000FF"/>
                  <w:w w:val="74"/>
                </w:rPr>
                <w:t>10.</w:t>
              </w:r>
              <w:r>
                <w:rPr>
                  <w:rFonts w:ascii="Arial" w:cs="Arial" w:eastAsia="Arial" w:hAnsi="Arial"/>
                  <w:sz w:val="18"/>
                  <w:szCs w:val="18"/>
                  <w:u w:val="single" w:color="auto"/>
                  <w:color w:val="0000FF"/>
                  <w:w w:val="74"/>
                </w:rPr>
                <w:t>1</w:t>
              </w:r>
            </w:hyperlink>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0160" w:type="dxa"/>
            <w:vAlign w:val="bottom"/>
            <w:gridSpan w:val="5"/>
          </w:tcPr>
          <w:p>
            <w:pPr>
              <w:ind w:left="40"/>
              <w:spacing w:after="0"/>
              <w:rPr>
                <w:rFonts w:ascii="Arial" w:cs="Arial" w:eastAsia="Arial" w:hAnsi="Arial"/>
                <w:sz w:val="18"/>
                <w:szCs w:val="18"/>
                <w:color w:val="0000FF"/>
              </w:rPr>
            </w:pPr>
            <w:hyperlink w:anchor="page45">
              <w:r>
                <w:rPr>
                  <w:rFonts w:ascii="Arial" w:cs="Arial" w:eastAsia="Arial" w:hAnsi="Arial"/>
                  <w:sz w:val="18"/>
                  <w:szCs w:val="18"/>
                  <w:color w:val="0000FF"/>
                </w:rPr>
                <w:t>Agreement dated as of October 11, 2019 between Altisource S.à r.l. and Kevin J. Wilcox</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53">
              <w:r>
                <w:rPr>
                  <w:rFonts w:ascii="Arial" w:cs="Arial" w:eastAsia="Arial" w:hAnsi="Arial"/>
                  <w:sz w:val="18"/>
                  <w:szCs w:val="18"/>
                  <w:color w:val="0000FF"/>
                  <w:w w:val="74"/>
                </w:rPr>
                <w:t>31.</w:t>
              </w:r>
              <w:r>
                <w:rPr>
                  <w:rFonts w:ascii="Arial" w:cs="Arial" w:eastAsia="Arial" w:hAnsi="Arial"/>
                  <w:sz w:val="18"/>
                  <w:szCs w:val="18"/>
                  <w:u w:val="single" w:color="auto"/>
                  <w:color w:val="0000FF"/>
                  <w:w w:val="74"/>
                </w:rPr>
                <w:t>1</w:t>
              </w:r>
            </w:hyperlink>
          </w:p>
        </w:tc>
        <w:tc>
          <w:tcPr>
            <w:tcW w:w="820" w:type="dxa"/>
            <w:vAlign w:val="bottom"/>
          </w:tcPr>
          <w:p>
            <w:pPr>
              <w:ind w:left="6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10160" w:type="dxa"/>
            <w:vAlign w:val="bottom"/>
            <w:gridSpan w:val="5"/>
          </w:tcPr>
          <w:p>
            <w:pPr>
              <w:ind w:left="40"/>
              <w:spacing w:after="0"/>
              <w:rPr>
                <w:rFonts w:ascii="Arial" w:cs="Arial" w:eastAsia="Arial" w:hAnsi="Arial"/>
                <w:sz w:val="18"/>
                <w:szCs w:val="18"/>
                <w:color w:val="0000FF"/>
              </w:rPr>
            </w:pPr>
            <w:hyperlink w:anchor="page53">
              <w:r>
                <w:rPr>
                  <w:rFonts w:ascii="Arial" w:cs="Arial" w:eastAsia="Arial" w:hAnsi="Arial"/>
                  <w:sz w:val="18"/>
                  <w:szCs w:val="18"/>
                  <w:color w:val="0000FF"/>
                </w:rPr>
                <w:t>Section 302 Certification of the Chief Executive Officer pursuant to Exchange Act Rule 13a-14(a)</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54">
              <w:r>
                <w:rPr>
                  <w:rFonts w:ascii="Arial" w:cs="Arial" w:eastAsia="Arial" w:hAnsi="Arial"/>
                  <w:sz w:val="18"/>
                  <w:szCs w:val="18"/>
                  <w:color w:val="0000FF"/>
                  <w:w w:val="74"/>
                </w:rPr>
                <w:t>31.</w:t>
              </w:r>
              <w:r>
                <w:rPr>
                  <w:rFonts w:ascii="Arial" w:cs="Arial" w:eastAsia="Arial" w:hAnsi="Arial"/>
                  <w:sz w:val="18"/>
                  <w:szCs w:val="18"/>
                  <w:u w:val="single" w:color="auto"/>
                  <w:color w:val="0000FF"/>
                  <w:w w:val="74"/>
                </w:rPr>
                <w:t>2</w:t>
              </w:r>
            </w:hyperlink>
          </w:p>
        </w:tc>
        <w:tc>
          <w:tcPr>
            <w:tcW w:w="820" w:type="dxa"/>
            <w:vAlign w:val="bottom"/>
          </w:tcPr>
          <w:p>
            <w:pPr>
              <w:ind w:left="6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10160" w:type="dxa"/>
            <w:vAlign w:val="bottom"/>
            <w:gridSpan w:val="5"/>
          </w:tcPr>
          <w:p>
            <w:pPr>
              <w:ind w:left="40"/>
              <w:spacing w:after="0"/>
              <w:rPr>
                <w:rFonts w:ascii="Arial" w:cs="Arial" w:eastAsia="Arial" w:hAnsi="Arial"/>
                <w:sz w:val="18"/>
                <w:szCs w:val="18"/>
                <w:color w:val="0000FF"/>
              </w:rPr>
            </w:pPr>
            <w:hyperlink w:anchor="page54">
              <w:r>
                <w:rPr>
                  <w:rFonts w:ascii="Arial" w:cs="Arial" w:eastAsia="Arial" w:hAnsi="Arial"/>
                  <w:sz w:val="18"/>
                  <w:szCs w:val="18"/>
                  <w:color w:val="0000FF"/>
                </w:rPr>
                <w:t>Section 302 Certification of the Chief Financial Officer pursuant to Exchange Act Rule 13a-14(a)</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gridSpan w:val="2"/>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72"/>
        </w:trPr>
        <w:tc>
          <w:tcPr>
            <w:tcW w:w="340" w:type="dxa"/>
            <w:vAlign w:val="bottom"/>
            <w:gridSpan w:val="2"/>
          </w:tcPr>
          <w:p>
            <w:pPr>
              <w:ind w:left="40"/>
              <w:spacing w:after="0"/>
              <w:rPr>
                <w:rFonts w:ascii="Arial" w:cs="Arial" w:eastAsia="Arial" w:hAnsi="Arial"/>
                <w:sz w:val="18"/>
                <w:szCs w:val="18"/>
                <w:color w:val="0000FF"/>
                <w:w w:val="74"/>
              </w:rPr>
            </w:pPr>
            <w:hyperlink w:anchor="page55">
              <w:r>
                <w:rPr>
                  <w:rFonts w:ascii="Arial" w:cs="Arial" w:eastAsia="Arial" w:hAnsi="Arial"/>
                  <w:sz w:val="18"/>
                  <w:szCs w:val="18"/>
                  <w:color w:val="0000FF"/>
                  <w:w w:val="74"/>
                </w:rPr>
                <w:t>32.</w:t>
              </w:r>
              <w:r>
                <w:rPr>
                  <w:rFonts w:ascii="Arial" w:cs="Arial" w:eastAsia="Arial" w:hAnsi="Arial"/>
                  <w:sz w:val="18"/>
                  <w:szCs w:val="18"/>
                  <w:u w:val="single" w:color="auto"/>
                  <w:color w:val="0000FF"/>
                  <w:w w:val="74"/>
                </w:rPr>
                <w:t>1</w:t>
              </w:r>
            </w:hyperlink>
          </w:p>
        </w:tc>
        <w:tc>
          <w:tcPr>
            <w:tcW w:w="820" w:type="dxa"/>
            <w:vAlign w:val="bottom"/>
          </w:tcPr>
          <w:p>
            <w:pPr>
              <w:ind w:left="60"/>
              <w:spacing w:after="0"/>
              <w:rPr>
                <w:sz w:val="20"/>
                <w:szCs w:val="20"/>
                <w:color w:val="auto"/>
              </w:rPr>
            </w:pP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10160" w:type="dxa"/>
            <w:vAlign w:val="bottom"/>
            <w:gridSpan w:val="5"/>
          </w:tcPr>
          <w:p>
            <w:pPr>
              <w:ind w:left="40"/>
              <w:spacing w:after="0"/>
              <w:rPr>
                <w:rFonts w:ascii="Arial" w:cs="Arial" w:eastAsia="Arial" w:hAnsi="Arial"/>
                <w:sz w:val="18"/>
                <w:szCs w:val="18"/>
                <w:color w:val="0000FF"/>
                <w:w w:val="98"/>
              </w:rPr>
            </w:pPr>
            <w:hyperlink w:anchor="page55">
              <w:r>
                <w:rPr>
                  <w:rFonts w:ascii="Arial" w:cs="Arial" w:eastAsia="Arial" w:hAnsi="Arial"/>
                  <w:sz w:val="18"/>
                  <w:szCs w:val="18"/>
                  <w:color w:val="0000FF"/>
                  <w:w w:val="98"/>
                </w:rPr>
                <w:t>Certification by the Chief Executive Officer and Chief Financial Officer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5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98"/>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C2C2C"/>
              </w:rPr>
              <w:t>*</w:t>
            </w:r>
          </w:p>
        </w:tc>
        <w:tc>
          <w:tcPr>
            <w:tcW w:w="100" w:type="dxa"/>
            <w:vAlign w:val="bottom"/>
          </w:tcPr>
          <w:p>
            <w:pPr>
              <w:spacing w:after="0"/>
              <w:rPr>
                <w:sz w:val="24"/>
                <w:szCs w:val="24"/>
                <w:color w:val="auto"/>
              </w:rPr>
            </w:pPr>
          </w:p>
        </w:tc>
        <w:tc>
          <w:tcPr>
            <w:tcW w:w="10160" w:type="dxa"/>
            <w:vAlign w:val="bottom"/>
            <w:gridSpan w:val="5"/>
          </w:tcPr>
          <w:p>
            <w:pPr>
              <w:ind w:left="40"/>
              <w:spacing w:after="0"/>
              <w:rPr>
                <w:sz w:val="20"/>
                <w:szCs w:val="20"/>
                <w:color w:val="auto"/>
              </w:rPr>
            </w:pPr>
            <w:r>
              <w:rPr>
                <w:rFonts w:ascii="Arial" w:cs="Arial" w:eastAsia="Arial" w:hAnsi="Arial"/>
                <w:sz w:val="18"/>
                <w:szCs w:val="18"/>
                <w:color w:val="auto"/>
                <w:w w:val="94"/>
              </w:rPr>
              <w:t>Pursuant to Rule 405 of Regulation S-T, the following financial information from the Company’s Quarterly Report on Form 10-Q for the</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gridSpan w:val="5"/>
          </w:tcPr>
          <w:p>
            <w:pPr>
              <w:ind w:left="40"/>
              <w:spacing w:after="0"/>
              <w:rPr>
                <w:sz w:val="20"/>
                <w:szCs w:val="20"/>
                <w:color w:val="auto"/>
              </w:rPr>
            </w:pPr>
            <w:r>
              <w:rPr>
                <w:rFonts w:ascii="Arial" w:cs="Arial" w:eastAsia="Arial" w:hAnsi="Arial"/>
                <w:sz w:val="18"/>
                <w:szCs w:val="18"/>
                <w:color w:val="auto"/>
                <w:w w:val="91"/>
              </w:rPr>
              <w:t>period ended September 30, 2019 is formatted in XBRL interactive data files: (i) Condensed Consolidated Balance Sheets as of September</w:t>
            </w:r>
          </w:p>
        </w:tc>
      </w:tr>
      <w:tr>
        <w:trPr>
          <w:trHeight w:val="216"/>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gridSpan w:val="5"/>
          </w:tcPr>
          <w:p>
            <w:pPr>
              <w:ind w:left="40"/>
              <w:spacing w:after="0"/>
              <w:rPr>
                <w:sz w:val="20"/>
                <w:szCs w:val="20"/>
                <w:color w:val="auto"/>
              </w:rPr>
            </w:pPr>
            <w:r>
              <w:rPr>
                <w:rFonts w:ascii="Arial" w:cs="Arial" w:eastAsia="Arial" w:hAnsi="Arial"/>
                <w:sz w:val="18"/>
                <w:szCs w:val="18"/>
                <w:color w:val="auto"/>
                <w:w w:val="91"/>
              </w:rPr>
              <w:t>30, 2019 and December 31, 2018; (ii) Condensed Consolidated Statements of Operations and Comprehensive Income (Loss) for the three</w:t>
            </w: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5"/>
          </w:tcPr>
          <w:p>
            <w:pPr>
              <w:ind w:left="40"/>
              <w:spacing w:after="0"/>
              <w:rPr>
                <w:sz w:val="20"/>
                <w:szCs w:val="20"/>
                <w:color w:val="auto"/>
              </w:rPr>
            </w:pPr>
            <w:r>
              <w:rPr>
                <w:rFonts w:ascii="Arial" w:cs="Arial" w:eastAsia="Arial" w:hAnsi="Arial"/>
                <w:sz w:val="18"/>
                <w:szCs w:val="18"/>
                <w:color w:val="auto"/>
                <w:w w:val="95"/>
              </w:rPr>
              <w:t>and nine months ended September 30, 2019 and 2018; (iii) Condensed Consolidated Statements of Equity for the nine months ended</w:t>
            </w:r>
          </w:p>
        </w:tc>
      </w:tr>
    </w:tbl>
    <w:p>
      <w:pPr>
        <w:ind w:left="1300" w:right="40"/>
        <w:spacing w:after="0" w:line="261" w:lineRule="auto"/>
        <w:rPr>
          <w:sz w:val="20"/>
          <w:szCs w:val="20"/>
          <w:color w:val="auto"/>
        </w:rPr>
      </w:pPr>
      <w:r>
        <w:rPr>
          <w:rFonts w:ascii="Arial" w:cs="Arial" w:eastAsia="Arial" w:hAnsi="Arial"/>
          <w:sz w:val="18"/>
          <w:szCs w:val="18"/>
          <w:color w:val="auto"/>
        </w:rPr>
        <w:t>September 30, 2019 and 2018; (iv) Condensed Consolidated Statements of Cash Flows for the nine months ended September 30, 2019 and 2018; and (v) Notes to Condensed Consolidated Financial Statements.</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______________________________________</w:t>
      </w:r>
    </w:p>
    <w:p>
      <w:pPr>
        <w:spacing w:after="0" w:line="63" w:lineRule="exact"/>
        <w:rPr>
          <w:sz w:val="20"/>
          <w:szCs w:val="20"/>
          <w:color w:val="auto"/>
        </w:rPr>
      </w:pPr>
    </w:p>
    <w:p>
      <w:pPr>
        <w:ind w:left="1300" w:hanging="126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right"/>
        <w:ind w:left="5620" w:right="5580" w:hanging="5585"/>
        <w:spacing w:after="0" w:line="611" w:lineRule="auto"/>
        <w:tabs>
          <w:tab w:leader="none" w:pos="1287"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Denotes a management contract or compensatory arrangement. 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ALTISOURCE PORTFOLIO SOLUTIONS S.A.</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820" w:val="left"/>
          <w:tab w:leader="none" w:pos="654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(On behalf of the Registrant and as its Principal Financial</w:t>
      </w:r>
    </w:p>
    <w:p>
      <w:pPr>
        <w:spacing w:after="0" w:line="3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ind w:left="10480"/>
        <w:spacing w:after="0"/>
        <w:rPr>
          <w:sz w:val="20"/>
          <w:szCs w:val="20"/>
          <w:color w:val="auto"/>
        </w:rPr>
      </w:pPr>
      <w:r>
        <w:rPr>
          <w:rFonts w:ascii="Arial" w:cs="Arial" w:eastAsia="Arial" w:hAnsi="Arial"/>
          <w:sz w:val="16"/>
          <w:szCs w:val="16"/>
          <w:b w:val="1"/>
          <w:bCs w:val="1"/>
          <w:color w:val="auto"/>
        </w:rPr>
        <w:t>Exhibit 10.1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166" w:lineRule="exact"/>
        <w:rPr>
          <w:sz w:val="20"/>
          <w:szCs w:val="20"/>
          <w:color w:val="auto"/>
        </w:rPr>
      </w:pPr>
    </w:p>
    <w:p>
      <w:pPr>
        <w:jc w:val="both"/>
        <w:spacing w:after="0" w:line="321" w:lineRule="auto"/>
        <w:rPr>
          <w:sz w:val="20"/>
          <w:szCs w:val="20"/>
          <w:color w:val="auto"/>
        </w:rPr>
      </w:pPr>
      <w:r>
        <w:rPr>
          <w:rFonts w:ascii="Arial" w:cs="Arial" w:eastAsia="Arial" w:hAnsi="Arial"/>
          <w:sz w:val="21"/>
          <w:szCs w:val="21"/>
          <w:color w:val="auto"/>
        </w:rPr>
        <w:t xml:space="preserve">This Agreement (the "Agreement"), dated as of October 11, 2019 is by and between </w:t>
      </w:r>
      <w:r>
        <w:rPr>
          <w:rFonts w:ascii="Arial" w:cs="Arial" w:eastAsia="Arial" w:hAnsi="Arial"/>
          <w:sz w:val="21"/>
          <w:szCs w:val="21"/>
          <w:b w:val="1"/>
          <w:bCs w:val="1"/>
          <w:color w:val="auto"/>
        </w:rPr>
        <w:t>Kevin J. Wilcox</w:t>
      </w:r>
      <w:r>
        <w:rPr>
          <w:rFonts w:ascii="Arial" w:cs="Arial" w:eastAsia="Arial" w:hAnsi="Arial"/>
          <w:sz w:val="21"/>
          <w:szCs w:val="21"/>
          <w:color w:val="auto"/>
        </w:rPr>
        <w:t xml:space="preserve"> (“Executive”) and </w:t>
      </w:r>
      <w:r>
        <w:rPr>
          <w:rFonts w:ascii="Arial" w:cs="Arial" w:eastAsia="Arial" w:hAnsi="Arial"/>
          <w:sz w:val="21"/>
          <w:szCs w:val="21"/>
          <w:b w:val="1"/>
          <w:bCs w:val="1"/>
          <w:color w:val="auto"/>
        </w:rPr>
        <w:t>Altisource</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S.à r.l., </w:t>
      </w:r>
      <w:r>
        <w:rPr>
          <w:rFonts w:ascii="Arial" w:cs="Arial" w:eastAsia="Arial" w:hAnsi="Arial"/>
          <w:sz w:val="21"/>
          <w:szCs w:val="21"/>
          <w:color w:val="auto"/>
        </w:rPr>
        <w:t>with registered offices at 40, avenue Monterey, L-2163 Luxembourg and registered at the Luxembourg Trade and</w:t>
      </w:r>
      <w:r>
        <w:rPr>
          <w:rFonts w:ascii="Arial" w:cs="Arial" w:eastAsia="Arial" w:hAnsi="Arial"/>
          <w:sz w:val="21"/>
          <w:szCs w:val="21"/>
          <w:b w:val="1"/>
          <w:bCs w:val="1"/>
          <w:color w:val="auto"/>
        </w:rPr>
        <w:t xml:space="preserve"> </w:t>
      </w:r>
      <w:r>
        <w:rPr>
          <w:rFonts w:ascii="Arial" w:cs="Arial" w:eastAsia="Arial" w:hAnsi="Arial"/>
          <w:sz w:val="21"/>
          <w:szCs w:val="21"/>
          <w:color w:val="auto"/>
        </w:rPr>
        <w:t>Companies Register under number B.189.519 (the “Company” and, together with any successor entities, parent companies, subsidiaries and affiliates, including Altisource Portfolio Solutions S.A., "Altisource") (the "Parties").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WHEREAS:</w:t>
      </w:r>
    </w:p>
    <w:p>
      <w:pPr>
        <w:spacing w:after="0" w:line="166" w:lineRule="exact"/>
        <w:rPr>
          <w:sz w:val="20"/>
          <w:szCs w:val="20"/>
          <w:color w:val="auto"/>
        </w:rPr>
      </w:pPr>
    </w:p>
    <w:p>
      <w:pPr>
        <w:ind w:firstLine="324"/>
        <w:spacing w:after="0" w:line="315" w:lineRule="auto"/>
        <w:rPr>
          <w:sz w:val="20"/>
          <w:szCs w:val="20"/>
          <w:color w:val="auto"/>
        </w:rPr>
      </w:pPr>
      <w:r>
        <w:rPr>
          <w:rFonts w:ascii="Arial" w:cs="Arial" w:eastAsia="Arial" w:hAnsi="Arial"/>
          <w:sz w:val="22"/>
          <w:szCs w:val="22"/>
          <w:color w:val="auto"/>
        </w:rPr>
        <w:t>– Executive is employed by the Company by virtue of an employment contract dated July 20, 2009 (as amended and supplemented, the “Employment Contract”);</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The Executive has a group seniority as of March 23,1998;</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   By letter delivered to the Executive, the Executive’s employment has been terminated with a six (6) months’ notice period;</w:t>
      </w:r>
    </w:p>
    <w:p>
      <w:pPr>
        <w:spacing w:after="0" w:line="200" w:lineRule="exact"/>
        <w:rPr>
          <w:sz w:val="20"/>
          <w:szCs w:val="20"/>
          <w:color w:val="auto"/>
        </w:rPr>
      </w:pPr>
    </w:p>
    <w:p>
      <w:pPr>
        <w:ind w:firstLine="324"/>
        <w:spacing w:after="0" w:line="315" w:lineRule="auto"/>
        <w:rPr>
          <w:sz w:val="20"/>
          <w:szCs w:val="20"/>
          <w:color w:val="auto"/>
        </w:rPr>
      </w:pPr>
      <w:r>
        <w:rPr>
          <w:rFonts w:ascii="Arial" w:cs="Arial" w:eastAsia="Arial" w:hAnsi="Arial"/>
          <w:sz w:val="22"/>
          <w:szCs w:val="22"/>
          <w:color w:val="auto"/>
        </w:rPr>
        <w:t>– A meeting between the Executive and the Company was held on October 11, 2019 whereto it was confirmed that the Executive’s employment will terminate at midnight on April 15, 2020 (the “Separation Date”).</w:t>
      </w:r>
    </w:p>
    <w:p>
      <w:pPr>
        <w:spacing w:after="0" w:line="65" w:lineRule="exact"/>
        <w:rPr>
          <w:sz w:val="20"/>
          <w:szCs w:val="20"/>
          <w:color w:val="auto"/>
        </w:rPr>
      </w:pPr>
    </w:p>
    <w:p>
      <w:pPr>
        <w:ind w:firstLine="324"/>
        <w:spacing w:after="0" w:line="315" w:lineRule="auto"/>
        <w:rPr>
          <w:sz w:val="20"/>
          <w:szCs w:val="20"/>
          <w:color w:val="auto"/>
        </w:rPr>
      </w:pPr>
      <w:r>
        <w:rPr>
          <w:rFonts w:ascii="Arial" w:cs="Arial" w:eastAsia="Arial" w:hAnsi="Arial"/>
          <w:sz w:val="22"/>
          <w:szCs w:val="22"/>
          <w:color w:val="auto"/>
        </w:rPr>
        <w:t>– Executive and the Company wish to settle immediately and definitely any dispute between Executive and Altisource particularly in respect of Executive’s employment.</w:t>
      </w:r>
    </w:p>
    <w:p>
      <w:pPr>
        <w:spacing w:after="0" w:line="65" w:lineRule="exact"/>
        <w:rPr>
          <w:sz w:val="20"/>
          <w:szCs w:val="20"/>
          <w:color w:val="auto"/>
        </w:rPr>
      </w:pPr>
    </w:p>
    <w:p>
      <w:pPr>
        <w:spacing w:after="0" w:line="315" w:lineRule="auto"/>
        <w:rPr>
          <w:sz w:val="20"/>
          <w:szCs w:val="20"/>
          <w:color w:val="auto"/>
        </w:rPr>
      </w:pPr>
      <w:r>
        <w:rPr>
          <w:rFonts w:ascii="Arial" w:cs="Arial" w:eastAsia="Arial" w:hAnsi="Arial"/>
          <w:sz w:val="22"/>
          <w:szCs w:val="22"/>
          <w:color w:val="auto"/>
        </w:rPr>
        <w:t>In consideration of the mutual covenants and agreements contained herein and other good and valuable consideration, the receipt and sufficiency of which are hereby acknowledged, the Parties hereto agree as follows:</w:t>
      </w:r>
    </w:p>
    <w:p>
      <w:pPr>
        <w:spacing w:after="0" w:line="65" w:lineRule="exact"/>
        <w:rPr>
          <w:sz w:val="20"/>
          <w:szCs w:val="20"/>
          <w:color w:val="auto"/>
        </w:rPr>
      </w:pPr>
    </w:p>
    <w:p>
      <w:pPr>
        <w:jc w:val="both"/>
        <w:ind w:firstLine="8"/>
        <w:spacing w:after="0" w:line="316" w:lineRule="auto"/>
        <w:tabs>
          <w:tab w:leader="none" w:pos="810" w:val="left"/>
        </w:tabs>
        <w:numPr>
          <w:ilvl w:val="0"/>
          <w:numId w:val="23"/>
        </w:numPr>
        <w:rPr>
          <w:rFonts w:ascii="Arial" w:cs="Arial" w:eastAsia="Arial" w:hAnsi="Arial"/>
          <w:sz w:val="21"/>
          <w:szCs w:val="21"/>
          <w:b w:val="1"/>
          <w:bCs w:val="1"/>
          <w:color w:val="auto"/>
        </w:rPr>
      </w:pPr>
      <w:r>
        <w:rPr>
          <w:rFonts w:ascii="Arial" w:cs="Arial" w:eastAsia="Arial" w:hAnsi="Arial"/>
          <w:sz w:val="21"/>
          <w:szCs w:val="21"/>
          <w:color w:val="auto"/>
        </w:rPr>
        <w:t>The Parties acknowledge that Executive’s employment with the Company will end on the Separation Date. Executive’s employment will continue pursuant to the present terms and conditions (including applicable Luxembourg law) and Company will continue to provide Executive the compensation and benefits to which he was entitled, and on the same terms to which he was entitled, immediately prior to the date of this Agreement through the Separation Date. The Parties agree that Executive will be entitled, but not required, to work from the office through the Separation Date.</w:t>
      </w:r>
    </w:p>
    <w:p>
      <w:pPr>
        <w:spacing w:after="0" w:line="71" w:lineRule="exact"/>
        <w:rPr>
          <w:rFonts w:ascii="Arial" w:cs="Arial" w:eastAsia="Arial" w:hAnsi="Arial"/>
          <w:sz w:val="21"/>
          <w:szCs w:val="21"/>
          <w:b w:val="1"/>
          <w:bCs w:val="1"/>
          <w:color w:val="auto"/>
        </w:rPr>
      </w:pPr>
    </w:p>
    <w:p>
      <w:pPr>
        <w:ind w:left="820" w:hanging="812"/>
        <w:spacing w:after="0"/>
        <w:tabs>
          <w:tab w:leader="none" w:pos="820"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Executive agrees that he will:</w:t>
      </w:r>
    </w:p>
    <w:p>
      <w:pPr>
        <w:spacing w:after="0" w:line="165" w:lineRule="exact"/>
        <w:rPr>
          <w:rFonts w:ascii="Arial" w:cs="Arial" w:eastAsia="Arial" w:hAnsi="Arial"/>
          <w:sz w:val="22"/>
          <w:szCs w:val="22"/>
          <w:b w:val="1"/>
          <w:bCs w:val="1"/>
          <w:color w:val="auto"/>
        </w:rPr>
      </w:pPr>
    </w:p>
    <w:p>
      <w:pPr>
        <w:ind w:firstLine="656"/>
        <w:spacing w:after="0" w:line="315" w:lineRule="auto"/>
        <w:tabs>
          <w:tab w:leader="none" w:pos="1257" w:val="left"/>
        </w:tabs>
        <w:numPr>
          <w:ilvl w:val="1"/>
          <w:numId w:val="23"/>
        </w:numPr>
        <w:rPr>
          <w:rFonts w:ascii="Arial" w:cs="Arial" w:eastAsia="Arial" w:hAnsi="Arial"/>
          <w:sz w:val="22"/>
          <w:szCs w:val="22"/>
          <w:color w:val="auto"/>
        </w:rPr>
      </w:pPr>
      <w:r>
        <w:rPr>
          <w:rFonts w:ascii="Arial" w:cs="Arial" w:eastAsia="Arial" w:hAnsi="Arial"/>
          <w:sz w:val="22"/>
          <w:szCs w:val="22"/>
          <w:color w:val="auto"/>
        </w:rPr>
        <w:t>exercise his functions in a professional and cooperative manner for time worked through the Separation Date (or earlier date mutually agreed to with the Company);</w:t>
      </w:r>
    </w:p>
    <w:p>
      <w:pPr>
        <w:spacing w:after="0" w:line="65" w:lineRule="exact"/>
        <w:rPr>
          <w:rFonts w:ascii="Arial" w:cs="Arial" w:eastAsia="Arial" w:hAnsi="Arial"/>
          <w:sz w:val="22"/>
          <w:szCs w:val="22"/>
          <w:color w:val="auto"/>
        </w:rPr>
      </w:pPr>
    </w:p>
    <w:p>
      <w:pPr>
        <w:ind w:left="1200" w:hanging="544"/>
        <w:spacing w:after="0"/>
        <w:tabs>
          <w:tab w:leader="none" w:pos="12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cooperate with the transition of his responsibilities in a professional manner; and</w:t>
      </w:r>
    </w:p>
    <w:p>
      <w:pPr>
        <w:sectPr>
          <w:pgSz w:w="11900" w:h="16838" w:orient="portrait"/>
          <w:cols w:equalWidth="0" w:num="1">
            <w:col w:w="11420"/>
          </w:cols>
          <w:pgMar w:left="240" w:top="148" w:right="239" w:bottom="1440" w:gutter="0" w:footer="0" w:header="0"/>
        </w:sectPr>
      </w:pPr>
    </w:p>
    <w:bookmarkStart w:id="45" w:name="page46"/>
    <w:bookmarkEnd w:id="45"/>
    <w:p>
      <w:pPr>
        <w:ind w:left="-8" w:right="20" w:firstLine="656"/>
        <w:spacing w:after="0" w:line="315" w:lineRule="auto"/>
        <w:tabs>
          <w:tab w:leader="none" w:pos="1353" w:val="left"/>
        </w:tabs>
        <w:numPr>
          <w:ilvl w:val="1"/>
          <w:numId w:val="24"/>
        </w:numPr>
        <w:rPr>
          <w:rFonts w:ascii="Arial" w:cs="Arial" w:eastAsia="Arial" w:hAnsi="Arial"/>
          <w:sz w:val="22"/>
          <w:szCs w:val="22"/>
          <w:color w:val="auto"/>
        </w:rPr>
      </w:pPr>
      <w:r>
        <w:rPr>
          <w:rFonts w:ascii="Arial" w:cs="Arial" w:eastAsia="Arial" w:hAnsi="Arial"/>
          <w:sz w:val="22"/>
          <w:szCs w:val="22"/>
          <w:color w:val="auto"/>
        </w:rPr>
        <w:t>assist with the identification and location of all files and materials, electronic or otherwise, necessary for the completion of his duties and responsibilities.</w:t>
      </w:r>
    </w:p>
    <w:p>
      <w:pPr>
        <w:spacing w:after="0" w:line="65" w:lineRule="exact"/>
        <w:rPr>
          <w:rFonts w:ascii="Arial" w:cs="Arial" w:eastAsia="Arial" w:hAnsi="Arial"/>
          <w:sz w:val="22"/>
          <w:szCs w:val="22"/>
          <w:color w:val="auto"/>
        </w:rPr>
      </w:pPr>
    </w:p>
    <w:p>
      <w:pPr>
        <w:jc w:val="both"/>
        <w:ind w:left="-8" w:firstLine="8"/>
        <w:spacing w:after="0" w:line="301" w:lineRule="auto"/>
        <w:tabs>
          <w:tab w:leader="none" w:pos="802" w:val="left"/>
        </w:tabs>
        <w:numPr>
          <w:ilvl w:val="0"/>
          <w:numId w:val="25"/>
        </w:numPr>
        <w:rPr>
          <w:rFonts w:ascii="Arial" w:cs="Arial" w:eastAsia="Arial" w:hAnsi="Arial"/>
          <w:sz w:val="22"/>
          <w:szCs w:val="22"/>
          <w:b w:val="1"/>
          <w:bCs w:val="1"/>
          <w:color w:val="auto"/>
        </w:rPr>
      </w:pPr>
      <w:r>
        <w:rPr>
          <w:rFonts w:ascii="Arial" w:cs="Arial" w:eastAsia="Arial" w:hAnsi="Arial"/>
          <w:sz w:val="22"/>
          <w:szCs w:val="22"/>
          <w:color w:val="auto"/>
        </w:rPr>
        <w:t>The Executive shall maintain the confidentiality of all Confidential Information (as defined below) concerning the activities of the Company. Notwithstanding the foregoing, the Executive shall not be prevented from disclosing information to its legal advisors as reasonably necessary to enforce this Agreement or Executive’s other rights, or otherwise required (subject to paragraph 9), under applicable law.</w:t>
      </w:r>
    </w:p>
    <w:p>
      <w:pPr>
        <w:spacing w:after="0" w:line="81" w:lineRule="exact"/>
        <w:rPr>
          <w:rFonts w:ascii="Arial" w:cs="Arial" w:eastAsia="Arial" w:hAnsi="Arial"/>
          <w:sz w:val="22"/>
          <w:szCs w:val="22"/>
          <w:b w:val="1"/>
          <w:bCs w:val="1"/>
          <w:color w:val="auto"/>
        </w:rPr>
      </w:pPr>
    </w:p>
    <w:p>
      <w:pPr>
        <w:jc w:val="both"/>
        <w:ind w:left="-8" w:firstLine="8"/>
        <w:spacing w:after="0" w:line="319" w:lineRule="auto"/>
        <w:tabs>
          <w:tab w:leader="none" w:pos="802" w:val="left"/>
        </w:tabs>
        <w:numPr>
          <w:ilvl w:val="0"/>
          <w:numId w:val="25"/>
        </w:numPr>
        <w:rPr>
          <w:rFonts w:ascii="Arial" w:cs="Arial" w:eastAsia="Arial" w:hAnsi="Arial"/>
          <w:sz w:val="21"/>
          <w:szCs w:val="21"/>
          <w:b w:val="1"/>
          <w:bCs w:val="1"/>
          <w:color w:val="auto"/>
        </w:rPr>
      </w:pPr>
      <w:r>
        <w:rPr>
          <w:rFonts w:ascii="Arial" w:cs="Arial" w:eastAsia="Arial" w:hAnsi="Arial"/>
          <w:sz w:val="21"/>
          <w:szCs w:val="21"/>
          <w:color w:val="auto"/>
        </w:rPr>
        <w:t>Following the execution of this Agreement by both Parties and contingent upon the Company’s receipt of the executed Agreement, Executive’s compliance with paragraphs 2 and 3 of the present Agreement, the expiration of the revocation period referred to in paragraph 19 and the Parties executing a mutually agreed upon release (collectively, the “Conditions”), and subject to paragraph 4(vii), the Company shall (in each case subject to applicable withholdings, if any):</w:t>
      </w:r>
    </w:p>
    <w:p>
      <w:pPr>
        <w:spacing w:after="0" w:line="60" w:lineRule="exact"/>
        <w:rPr>
          <w:rFonts w:ascii="Arial" w:cs="Arial" w:eastAsia="Arial" w:hAnsi="Arial"/>
          <w:sz w:val="21"/>
          <w:szCs w:val="21"/>
          <w:b w:val="1"/>
          <w:bCs w:val="1"/>
          <w:color w:val="auto"/>
        </w:rPr>
      </w:pPr>
    </w:p>
    <w:p>
      <w:pPr>
        <w:jc w:val="both"/>
        <w:ind w:left="-8" w:firstLine="656"/>
        <w:spacing w:after="0" w:line="307" w:lineRule="auto"/>
        <w:tabs>
          <w:tab w:leader="none" w:pos="1492" w:val="left"/>
        </w:tabs>
        <w:numPr>
          <w:ilvl w:val="1"/>
          <w:numId w:val="25"/>
        </w:numPr>
        <w:rPr>
          <w:rFonts w:ascii="Arial" w:cs="Arial" w:eastAsia="Arial" w:hAnsi="Arial"/>
          <w:sz w:val="22"/>
          <w:szCs w:val="22"/>
          <w:color w:val="auto"/>
        </w:rPr>
      </w:pPr>
      <w:r>
        <w:rPr>
          <w:rFonts w:ascii="Arial" w:cs="Arial" w:eastAsia="Arial" w:hAnsi="Arial"/>
          <w:sz w:val="22"/>
          <w:szCs w:val="22"/>
          <w:color w:val="auto"/>
        </w:rPr>
        <w:t xml:space="preserve">Within seven (7) days after the Separation Date pay Executive the sum of </w:t>
      </w:r>
      <w:r>
        <w:rPr>
          <w:rFonts w:ascii="Arial" w:cs="Arial" w:eastAsia="Arial" w:hAnsi="Arial"/>
          <w:sz w:val="22"/>
          <w:szCs w:val="22"/>
          <w:b w:val="1"/>
          <w:bCs w:val="1"/>
          <w:color w:val="auto"/>
        </w:rPr>
        <w:t>two hundred sixty-four thousand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seven hundred forty-six dollars ($264,746), </w:t>
      </w:r>
      <w:r>
        <w:rPr>
          <w:rFonts w:ascii="Arial" w:cs="Arial" w:eastAsia="Arial" w:hAnsi="Arial"/>
          <w:sz w:val="22"/>
          <w:szCs w:val="22"/>
          <w:color w:val="auto"/>
        </w:rPr>
        <w:t>as severance, subject to applicable withholding taxes on the applicable portion</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article 115 of the amended law of 4 December 1967 on income taxation;</w:t>
      </w:r>
    </w:p>
    <w:p>
      <w:pPr>
        <w:spacing w:after="0" w:line="75" w:lineRule="exact"/>
        <w:rPr>
          <w:rFonts w:ascii="Arial" w:cs="Arial" w:eastAsia="Arial" w:hAnsi="Arial"/>
          <w:sz w:val="22"/>
          <w:szCs w:val="22"/>
          <w:color w:val="auto"/>
        </w:rPr>
      </w:pPr>
    </w:p>
    <w:p>
      <w:pPr>
        <w:jc w:val="both"/>
        <w:ind w:left="-8" w:firstLine="656"/>
        <w:spacing w:after="0" w:line="304" w:lineRule="auto"/>
        <w:tabs>
          <w:tab w:leader="none" w:pos="1553" w:val="left"/>
        </w:tabs>
        <w:numPr>
          <w:ilvl w:val="1"/>
          <w:numId w:val="25"/>
        </w:numPr>
        <w:rPr>
          <w:rFonts w:ascii="Arial" w:cs="Arial" w:eastAsia="Arial" w:hAnsi="Arial"/>
          <w:sz w:val="22"/>
          <w:szCs w:val="22"/>
          <w:color w:val="auto"/>
        </w:rPr>
      </w:pPr>
      <w:r>
        <w:rPr>
          <w:rFonts w:ascii="Arial" w:cs="Arial" w:eastAsia="Arial" w:hAnsi="Arial"/>
          <w:sz w:val="22"/>
          <w:szCs w:val="22"/>
          <w:color w:val="auto"/>
        </w:rPr>
        <w:t xml:space="preserve">Within seven (7) days after the Separation Date pay Executive the departure allowance of 6 months of compensation, equivalent to the aggregate amount of </w:t>
      </w:r>
      <w:r>
        <w:rPr>
          <w:rFonts w:ascii="Arial" w:cs="Arial" w:eastAsia="Arial" w:hAnsi="Arial"/>
          <w:sz w:val="22"/>
          <w:szCs w:val="22"/>
          <w:b w:val="1"/>
          <w:bCs w:val="1"/>
          <w:color w:val="auto"/>
        </w:rPr>
        <w:t>seven hundred nine thousand dollars ($709,000)</w:t>
      </w:r>
      <w:r>
        <w:rPr>
          <w:rFonts w:ascii="Arial" w:cs="Arial" w:eastAsia="Arial" w:hAnsi="Arial"/>
          <w:sz w:val="22"/>
          <w:szCs w:val="22"/>
          <w:color w:val="auto"/>
        </w:rPr>
        <w:t xml:space="preserve"> as departure allowance as required by Luxembourg Law; and</w:t>
      </w:r>
    </w:p>
    <w:p>
      <w:pPr>
        <w:spacing w:after="0" w:line="78" w:lineRule="exact"/>
        <w:rPr>
          <w:rFonts w:ascii="Arial" w:cs="Arial" w:eastAsia="Arial" w:hAnsi="Arial"/>
          <w:sz w:val="22"/>
          <w:szCs w:val="22"/>
          <w:color w:val="auto"/>
        </w:rPr>
      </w:pPr>
    </w:p>
    <w:p>
      <w:pPr>
        <w:jc w:val="both"/>
        <w:ind w:left="-8" w:firstLine="656"/>
        <w:spacing w:after="0" w:line="325" w:lineRule="auto"/>
        <w:tabs>
          <w:tab w:leader="none" w:pos="1612" w:val="left"/>
        </w:tabs>
        <w:numPr>
          <w:ilvl w:val="1"/>
          <w:numId w:val="25"/>
        </w:numPr>
        <w:rPr>
          <w:rFonts w:ascii="Arial" w:cs="Arial" w:eastAsia="Arial" w:hAnsi="Arial"/>
          <w:sz w:val="21"/>
          <w:szCs w:val="21"/>
          <w:color w:val="auto"/>
        </w:rPr>
      </w:pPr>
      <w:r>
        <w:rPr>
          <w:rFonts w:ascii="Arial" w:cs="Arial" w:eastAsia="Arial" w:hAnsi="Arial"/>
          <w:sz w:val="21"/>
          <w:szCs w:val="21"/>
          <w:color w:val="auto"/>
        </w:rPr>
        <w:t>Pay Executive a lump sum cash payment equal to his earned annual incentive compensation for service year 2019 based on a positive impact score or an impact score of “yes,” such payment to be made upon the earlier of payment of 2019 annual incentive compensation for other executives or within seven (7) days after the Separation Date.</w:t>
      </w:r>
    </w:p>
    <w:p>
      <w:pPr>
        <w:spacing w:after="0" w:line="58" w:lineRule="exact"/>
        <w:rPr>
          <w:rFonts w:ascii="Arial" w:cs="Arial" w:eastAsia="Arial" w:hAnsi="Arial"/>
          <w:sz w:val="21"/>
          <w:szCs w:val="21"/>
          <w:color w:val="auto"/>
        </w:rPr>
      </w:pPr>
    </w:p>
    <w:p>
      <w:pPr>
        <w:jc w:val="both"/>
        <w:ind w:left="-8" w:firstLine="656"/>
        <w:spacing w:after="0" w:line="315" w:lineRule="auto"/>
        <w:tabs>
          <w:tab w:leader="none" w:pos="1600" w:val="left"/>
        </w:tabs>
        <w:numPr>
          <w:ilvl w:val="1"/>
          <w:numId w:val="25"/>
        </w:numPr>
        <w:rPr>
          <w:rFonts w:ascii="Arial" w:cs="Arial" w:eastAsia="Arial" w:hAnsi="Arial"/>
          <w:sz w:val="21"/>
          <w:szCs w:val="21"/>
          <w:color w:val="auto"/>
        </w:rPr>
      </w:pPr>
      <w:r>
        <w:rPr>
          <w:rFonts w:ascii="Arial" w:cs="Arial" w:eastAsia="Arial" w:hAnsi="Arial"/>
          <w:sz w:val="21"/>
          <w:szCs w:val="21"/>
          <w:color w:val="auto"/>
        </w:rPr>
        <w:t>Provided that Executive relocates no later than December 31, 2020, pay Executive or reimburse Executive for Executive’s reasonable relocation costs back to the United States that are actually incurred, which shall be limited to (a) one-way business class airfare to the United States for Executive and his spouse/partner/immediate family; (b) the packing, moving and unpacking of household goods to the United States (which shall be limited to one cargo container of up to 40 feet) or, at the Executive’s discretion, the packing, moving and unpacking of his household goods from Atlanta, Georgia to Florida, and storage of the moved household goods for up to six (6) months;</w:t>
      </w:r>
    </w:p>
    <w:p>
      <w:pPr>
        <w:spacing w:after="0" w:line="70" w:lineRule="exact"/>
        <w:rPr>
          <w:rFonts w:ascii="Arial" w:cs="Arial" w:eastAsia="Arial" w:hAnsi="Arial"/>
          <w:sz w:val="21"/>
          <w:szCs w:val="21"/>
          <w:color w:val="auto"/>
        </w:rPr>
      </w:pPr>
    </w:p>
    <w:p>
      <w:pPr>
        <w:ind w:left="-8" w:firstLine="656"/>
        <w:spacing w:after="0" w:line="402" w:lineRule="auto"/>
        <w:tabs>
          <w:tab w:leader="none" w:pos="1541" w:val="left"/>
        </w:tabs>
        <w:numPr>
          <w:ilvl w:val="1"/>
          <w:numId w:val="25"/>
        </w:numPr>
        <w:rPr>
          <w:rFonts w:ascii="Arial" w:cs="Arial" w:eastAsia="Arial" w:hAnsi="Arial"/>
          <w:sz w:val="19"/>
          <w:szCs w:val="19"/>
          <w:color w:val="auto"/>
        </w:rPr>
      </w:pPr>
      <w:r>
        <w:rPr>
          <w:rFonts w:ascii="Arial" w:cs="Arial" w:eastAsia="Arial" w:hAnsi="Arial"/>
          <w:sz w:val="19"/>
          <w:szCs w:val="19"/>
          <w:color w:val="auto"/>
        </w:rPr>
        <w:t>Provide tax preparation services and, if applicable, tax normalization, for each of the tax years 2019 and 2020, consistent with past practice with respect to tax obligations incurred as a result of working for the Company in Luxembourg; and</w:t>
      </w:r>
    </w:p>
    <w:p>
      <w:pPr>
        <w:sectPr>
          <w:pgSz w:w="11900" w:h="16838" w:orient="portrait"/>
          <w:cols w:equalWidth="0" w:num="1">
            <w:col w:w="11412"/>
          </w:cols>
          <w:pgMar w:left="248" w:top="402" w:right="239" w:bottom="1440" w:gutter="0" w:footer="0" w:header="0"/>
        </w:sectPr>
      </w:pPr>
    </w:p>
    <w:bookmarkStart w:id="46" w:name="page47"/>
    <w:bookmarkEnd w:id="46"/>
    <w:p>
      <w:pPr>
        <w:ind w:left="-332" w:right="20" w:firstLine="656"/>
        <w:spacing w:after="0" w:line="315" w:lineRule="auto"/>
        <w:tabs>
          <w:tab w:leader="none" w:pos="1276" w:val="left"/>
        </w:tabs>
        <w:numPr>
          <w:ilvl w:val="0"/>
          <w:numId w:val="26"/>
        </w:numPr>
        <w:rPr>
          <w:rFonts w:ascii="Arial" w:cs="Arial" w:eastAsia="Arial" w:hAnsi="Arial"/>
          <w:sz w:val="22"/>
          <w:szCs w:val="22"/>
          <w:color w:val="auto"/>
        </w:rPr>
      </w:pPr>
      <w:r>
        <w:rPr>
          <w:rFonts w:ascii="Arial" w:cs="Arial" w:eastAsia="Arial" w:hAnsi="Arial"/>
          <w:sz w:val="22"/>
          <w:szCs w:val="22"/>
          <w:color w:val="auto"/>
        </w:rPr>
        <w:t>Continue current medical insurance benefits or provide the equivalent benefits at Company’s sole cost through December 31, 2020.</w:t>
      </w:r>
    </w:p>
    <w:p>
      <w:pPr>
        <w:spacing w:after="0" w:line="65" w:lineRule="exact"/>
        <w:rPr>
          <w:rFonts w:ascii="Arial" w:cs="Arial" w:eastAsia="Arial" w:hAnsi="Arial"/>
          <w:sz w:val="22"/>
          <w:szCs w:val="22"/>
          <w:color w:val="auto"/>
        </w:rPr>
      </w:pPr>
    </w:p>
    <w:p>
      <w:pPr>
        <w:ind w:left="-332" w:right="20" w:firstLine="656"/>
        <w:spacing w:after="0" w:line="315" w:lineRule="auto"/>
        <w:tabs>
          <w:tab w:leader="none" w:pos="1336" w:val="left"/>
        </w:tabs>
        <w:numPr>
          <w:ilvl w:val="0"/>
          <w:numId w:val="26"/>
        </w:numPr>
        <w:rPr>
          <w:rFonts w:ascii="Arial" w:cs="Arial" w:eastAsia="Arial" w:hAnsi="Arial"/>
          <w:sz w:val="22"/>
          <w:szCs w:val="22"/>
          <w:color w:val="auto"/>
        </w:rPr>
      </w:pPr>
      <w:r>
        <w:rPr>
          <w:rFonts w:ascii="Arial" w:cs="Arial" w:eastAsia="Arial" w:hAnsi="Arial"/>
          <w:sz w:val="22"/>
          <w:szCs w:val="22"/>
          <w:color w:val="auto"/>
        </w:rPr>
        <w:t>Notwithstanding Executive’s separation and the terms of the applicable equity award agreements, the treatment of Executive’s outstanding equity of Altisource Portfolio Solutions S.A. (“ASPS”) will be as follows:</w:t>
      </w:r>
    </w:p>
    <w:p>
      <w:pPr>
        <w:spacing w:after="0" w:line="65" w:lineRule="exact"/>
        <w:rPr>
          <w:sz w:val="20"/>
          <w:szCs w:val="20"/>
          <w:color w:val="auto"/>
        </w:rPr>
      </w:pPr>
    </w:p>
    <w:p>
      <w:pPr>
        <w:jc w:val="both"/>
        <w:ind w:left="1468" w:right="20" w:hanging="809"/>
        <w:spacing w:after="0" w:line="301" w:lineRule="auto"/>
        <w:rPr>
          <w:sz w:val="20"/>
          <w:szCs w:val="20"/>
          <w:color w:val="auto"/>
        </w:rPr>
      </w:pPr>
      <w:r>
        <w:rPr>
          <w:rFonts w:ascii="Arial" w:cs="Arial" w:eastAsia="Arial" w:hAnsi="Arial"/>
          <w:sz w:val="22"/>
          <w:szCs w:val="22"/>
          <w:color w:val="auto"/>
        </w:rPr>
        <w:t>a.To the extent not vested as of the Separation Date, the ASPS Restricted Stock Units (“RSUs”), restricted shares and outstanding ASPS stock options set forth in the table below will vest as specified in such table. In addition, the expiration of the vested and unvested stock options set forth in the table below will be as specified in such table:</w:t>
      </w:r>
    </w:p>
    <w:p>
      <w:pPr>
        <w:spacing w:after="0" w:line="69" w:lineRule="exact"/>
        <w:rPr>
          <w:sz w:val="20"/>
          <w:szCs w:val="20"/>
          <w:color w:val="auto"/>
        </w:rPr>
      </w:pPr>
    </w:p>
    <w:tbl>
      <w:tblPr>
        <w:tblLayout w:type="fixed"/>
        <w:tblInd w:w="18" w:type="dxa"/>
        <w:tblCellMar>
          <w:top w:w="0" w:type="dxa"/>
          <w:left w:w="0" w:type="dxa"/>
          <w:bottom w:w="0" w:type="dxa"/>
          <w:right w:w="0" w:type="dxa"/>
        </w:tblCellMar>
      </w:tblPr>
      <w:tr>
        <w:trPr>
          <w:trHeight w:val="242"/>
        </w:trPr>
        <w:tc>
          <w:tcPr>
            <w:tcW w:w="2120" w:type="dxa"/>
            <w:vAlign w:val="bottom"/>
            <w:tcBorders>
              <w:top w:val="single" w:sz="8" w:color="00000A"/>
              <w:left w:val="single" w:sz="8" w:color="00000A"/>
              <w:right w:val="single" w:sz="8" w:color="00000A"/>
            </w:tcBorders>
            <w:vMerge w:val="restart"/>
            <w:shd w:val="clear" w:color="auto" w:fill="DBE5F1"/>
          </w:tcPr>
          <w:p>
            <w:pPr>
              <w:ind w:left="40"/>
              <w:spacing w:after="0"/>
              <w:rPr>
                <w:sz w:val="20"/>
                <w:szCs w:val="20"/>
                <w:color w:val="auto"/>
              </w:rPr>
            </w:pPr>
            <w:r>
              <w:rPr>
                <w:rFonts w:ascii="Arial" w:cs="Arial" w:eastAsia="Arial" w:hAnsi="Arial"/>
                <w:sz w:val="18"/>
                <w:szCs w:val="18"/>
                <w:color w:val="auto"/>
              </w:rPr>
              <w:t>Description</w:t>
            </w:r>
          </w:p>
        </w:tc>
        <w:tc>
          <w:tcPr>
            <w:tcW w:w="1780" w:type="dxa"/>
            <w:vAlign w:val="bottom"/>
            <w:tcBorders>
              <w:top w:val="single" w:sz="8" w:color="00000A"/>
              <w:right w:val="single" w:sz="8" w:color="00000A"/>
            </w:tcBorders>
            <w:shd w:val="clear" w:color="auto" w:fill="DBE5F1"/>
          </w:tcPr>
          <w:p>
            <w:pPr>
              <w:ind w:left="20"/>
              <w:spacing w:after="0"/>
              <w:rPr>
                <w:sz w:val="20"/>
                <w:szCs w:val="20"/>
                <w:color w:val="auto"/>
              </w:rPr>
            </w:pPr>
            <w:r>
              <w:rPr>
                <w:rFonts w:ascii="Arial" w:cs="Arial" w:eastAsia="Arial" w:hAnsi="Arial"/>
                <w:sz w:val="18"/>
                <w:szCs w:val="18"/>
                <w:color w:val="auto"/>
              </w:rPr>
              <w:t>Number of unvested</w:t>
            </w:r>
          </w:p>
        </w:tc>
        <w:tc>
          <w:tcPr>
            <w:tcW w:w="1900" w:type="dxa"/>
            <w:vAlign w:val="bottom"/>
            <w:tcBorders>
              <w:top w:val="single" w:sz="8" w:color="00000A"/>
              <w:right w:val="single" w:sz="8" w:color="00000A"/>
            </w:tcBorders>
            <w:shd w:val="clear" w:color="auto" w:fill="DBE5F1"/>
          </w:tcPr>
          <w:p>
            <w:pPr>
              <w:ind w:left="20"/>
              <w:spacing w:after="0"/>
              <w:rPr>
                <w:sz w:val="20"/>
                <w:szCs w:val="20"/>
                <w:color w:val="auto"/>
              </w:rPr>
            </w:pPr>
            <w:r>
              <w:rPr>
                <w:rFonts w:ascii="Arial" w:cs="Arial" w:eastAsia="Arial" w:hAnsi="Arial"/>
                <w:sz w:val="18"/>
                <w:szCs w:val="18"/>
                <w:color w:val="auto"/>
              </w:rPr>
              <w:t>Number of awards that</w:t>
            </w:r>
          </w:p>
        </w:tc>
        <w:tc>
          <w:tcPr>
            <w:tcW w:w="2860" w:type="dxa"/>
            <w:vAlign w:val="bottom"/>
            <w:tcBorders>
              <w:top w:val="single" w:sz="8" w:color="00000A"/>
              <w:right w:val="single" w:sz="8" w:color="00000A"/>
            </w:tcBorders>
            <w:vMerge w:val="restart"/>
            <w:shd w:val="clear" w:color="auto" w:fill="DBE5F1"/>
          </w:tcPr>
          <w:p>
            <w:pPr>
              <w:ind w:left="20"/>
              <w:spacing w:after="0"/>
              <w:rPr>
                <w:sz w:val="20"/>
                <w:szCs w:val="20"/>
                <w:color w:val="auto"/>
              </w:rPr>
            </w:pPr>
            <w:r>
              <w:rPr>
                <w:rFonts w:ascii="Arial" w:cs="Arial" w:eastAsia="Arial" w:hAnsi="Arial"/>
                <w:sz w:val="18"/>
                <w:szCs w:val="18"/>
                <w:color w:val="auto"/>
              </w:rPr>
              <w:t>Vesting schedule</w:t>
            </w:r>
          </w:p>
        </w:tc>
        <w:tc>
          <w:tcPr>
            <w:tcW w:w="2440" w:type="dxa"/>
            <w:vAlign w:val="bottom"/>
            <w:tcBorders>
              <w:top w:val="single" w:sz="8" w:color="00000A"/>
              <w:right w:val="single" w:sz="8" w:color="00000A"/>
            </w:tcBorders>
            <w:shd w:val="clear" w:color="auto" w:fill="DBE5F1"/>
          </w:tcPr>
          <w:p>
            <w:pPr>
              <w:ind w:left="20"/>
              <w:spacing w:after="0"/>
              <w:rPr>
                <w:sz w:val="20"/>
                <w:szCs w:val="20"/>
                <w:color w:val="auto"/>
              </w:rPr>
            </w:pPr>
            <w:r>
              <w:rPr>
                <w:rFonts w:ascii="Arial" w:cs="Arial" w:eastAsia="Arial" w:hAnsi="Arial"/>
                <w:sz w:val="18"/>
                <w:szCs w:val="18"/>
                <w:color w:val="auto"/>
              </w:rPr>
              <w:t>Expiration of vested and</w:t>
            </w:r>
          </w:p>
        </w:tc>
        <w:tc>
          <w:tcPr>
            <w:tcW w:w="0" w:type="dxa"/>
            <w:vAlign w:val="bottom"/>
          </w:tcPr>
          <w:p>
            <w:pPr>
              <w:spacing w:after="0"/>
              <w:rPr>
                <w:sz w:val="1"/>
                <w:szCs w:val="1"/>
                <w:color w:val="auto"/>
              </w:rPr>
            </w:pPr>
          </w:p>
        </w:tc>
      </w:tr>
      <w:tr>
        <w:trPr>
          <w:trHeight w:val="122"/>
        </w:trPr>
        <w:tc>
          <w:tcPr>
            <w:tcW w:w="2120" w:type="dxa"/>
            <w:vAlign w:val="bottom"/>
            <w:tcBorders>
              <w:left w:val="single" w:sz="8" w:color="00000A"/>
              <w:right w:val="single" w:sz="8" w:color="00000A"/>
            </w:tcBorders>
            <w:vMerge w:val="continue"/>
            <w:shd w:val="clear" w:color="auto" w:fill="DBE5F1"/>
          </w:tcPr>
          <w:p>
            <w:pPr>
              <w:spacing w:after="0"/>
              <w:rPr>
                <w:sz w:val="10"/>
                <w:szCs w:val="10"/>
                <w:color w:val="auto"/>
              </w:rPr>
            </w:pPr>
          </w:p>
        </w:tc>
        <w:tc>
          <w:tcPr>
            <w:tcW w:w="1780" w:type="dxa"/>
            <w:vAlign w:val="bottom"/>
            <w:tcBorders>
              <w:right w:val="single" w:sz="8" w:color="00000A"/>
            </w:tcBorders>
            <w:vMerge w:val="restart"/>
            <w:shd w:val="clear" w:color="auto" w:fill="DBE5F1"/>
          </w:tcPr>
          <w:p>
            <w:pPr>
              <w:ind w:left="20"/>
              <w:spacing w:after="0"/>
              <w:rPr>
                <w:sz w:val="20"/>
                <w:szCs w:val="20"/>
                <w:color w:val="auto"/>
              </w:rPr>
            </w:pPr>
            <w:r>
              <w:rPr>
                <w:rFonts w:ascii="Arial" w:cs="Arial" w:eastAsia="Arial" w:hAnsi="Arial"/>
                <w:sz w:val="18"/>
                <w:szCs w:val="18"/>
                <w:color w:val="auto"/>
              </w:rPr>
              <w:t>awards</w:t>
            </w:r>
          </w:p>
        </w:tc>
        <w:tc>
          <w:tcPr>
            <w:tcW w:w="1900" w:type="dxa"/>
            <w:vAlign w:val="bottom"/>
            <w:tcBorders>
              <w:right w:val="single" w:sz="8" w:color="00000A"/>
            </w:tcBorders>
            <w:vMerge w:val="restart"/>
            <w:shd w:val="clear" w:color="auto" w:fill="DBE5F1"/>
          </w:tcPr>
          <w:p>
            <w:pPr>
              <w:ind w:left="20"/>
              <w:spacing w:after="0"/>
              <w:rPr>
                <w:sz w:val="20"/>
                <w:szCs w:val="20"/>
                <w:color w:val="auto"/>
              </w:rPr>
            </w:pPr>
            <w:r>
              <w:rPr>
                <w:rFonts w:ascii="Arial" w:cs="Arial" w:eastAsia="Arial" w:hAnsi="Arial"/>
                <w:sz w:val="18"/>
                <w:szCs w:val="18"/>
                <w:color w:val="auto"/>
              </w:rPr>
              <w:t>will vest</w:t>
            </w:r>
          </w:p>
        </w:tc>
        <w:tc>
          <w:tcPr>
            <w:tcW w:w="2860" w:type="dxa"/>
            <w:vAlign w:val="bottom"/>
            <w:tcBorders>
              <w:right w:val="single" w:sz="8" w:color="00000A"/>
            </w:tcBorders>
            <w:vMerge w:val="continue"/>
            <w:shd w:val="clear" w:color="auto" w:fill="DBE5F1"/>
          </w:tcPr>
          <w:p>
            <w:pPr>
              <w:spacing w:after="0"/>
              <w:rPr>
                <w:sz w:val="10"/>
                <w:szCs w:val="10"/>
                <w:color w:val="auto"/>
              </w:rPr>
            </w:pPr>
          </w:p>
        </w:tc>
        <w:tc>
          <w:tcPr>
            <w:tcW w:w="2440" w:type="dxa"/>
            <w:vAlign w:val="bottom"/>
            <w:tcBorders>
              <w:right w:val="single" w:sz="8" w:color="00000A"/>
            </w:tcBorders>
            <w:vMerge w:val="restart"/>
            <w:shd w:val="clear" w:color="auto" w:fill="DBE5F1"/>
          </w:tcPr>
          <w:p>
            <w:pPr>
              <w:ind w:left="20"/>
              <w:spacing w:after="0"/>
              <w:rPr>
                <w:sz w:val="20"/>
                <w:szCs w:val="20"/>
                <w:color w:val="auto"/>
              </w:rPr>
            </w:pPr>
            <w:r>
              <w:rPr>
                <w:rFonts w:ascii="Arial" w:cs="Arial" w:eastAsia="Arial" w:hAnsi="Arial"/>
                <w:sz w:val="18"/>
                <w:szCs w:val="18"/>
                <w:color w:val="auto"/>
              </w:rPr>
              <w:t>unvested options</w:t>
            </w:r>
          </w:p>
        </w:tc>
        <w:tc>
          <w:tcPr>
            <w:tcW w:w="0" w:type="dxa"/>
            <w:vAlign w:val="bottom"/>
          </w:tcPr>
          <w:p>
            <w:pPr>
              <w:spacing w:after="0"/>
              <w:rPr>
                <w:sz w:val="1"/>
                <w:szCs w:val="1"/>
                <w:color w:val="auto"/>
              </w:rPr>
            </w:pPr>
          </w:p>
        </w:tc>
      </w:tr>
      <w:tr>
        <w:trPr>
          <w:trHeight w:val="135"/>
        </w:trPr>
        <w:tc>
          <w:tcPr>
            <w:tcW w:w="2120" w:type="dxa"/>
            <w:vAlign w:val="bottom"/>
            <w:tcBorders>
              <w:left w:val="single" w:sz="8" w:color="00000A"/>
              <w:bottom w:val="single" w:sz="8" w:color="DBE5F1"/>
              <w:right w:val="single" w:sz="8" w:color="00000A"/>
            </w:tcBorders>
            <w:shd w:val="clear" w:color="auto" w:fill="DBE5F1"/>
          </w:tcPr>
          <w:p>
            <w:pPr>
              <w:spacing w:after="0"/>
              <w:rPr>
                <w:sz w:val="11"/>
                <w:szCs w:val="11"/>
                <w:color w:val="auto"/>
              </w:rPr>
            </w:pPr>
          </w:p>
        </w:tc>
        <w:tc>
          <w:tcPr>
            <w:tcW w:w="1780" w:type="dxa"/>
            <w:vAlign w:val="bottom"/>
            <w:tcBorders>
              <w:bottom w:val="single" w:sz="8" w:color="DBE5F1"/>
              <w:right w:val="single" w:sz="8" w:color="00000A"/>
            </w:tcBorders>
            <w:vMerge w:val="continue"/>
            <w:shd w:val="clear" w:color="auto" w:fill="DBE5F1"/>
          </w:tcPr>
          <w:p>
            <w:pPr>
              <w:spacing w:after="0"/>
              <w:rPr>
                <w:sz w:val="11"/>
                <w:szCs w:val="11"/>
                <w:color w:val="auto"/>
              </w:rPr>
            </w:pPr>
          </w:p>
        </w:tc>
        <w:tc>
          <w:tcPr>
            <w:tcW w:w="1900" w:type="dxa"/>
            <w:vAlign w:val="bottom"/>
            <w:tcBorders>
              <w:bottom w:val="single" w:sz="8" w:color="DBE5F1"/>
              <w:right w:val="single" w:sz="8" w:color="00000A"/>
            </w:tcBorders>
            <w:vMerge w:val="continue"/>
            <w:shd w:val="clear" w:color="auto" w:fill="DBE5F1"/>
          </w:tcPr>
          <w:p>
            <w:pPr>
              <w:spacing w:after="0"/>
              <w:rPr>
                <w:sz w:val="11"/>
                <w:szCs w:val="11"/>
                <w:color w:val="auto"/>
              </w:rPr>
            </w:pPr>
          </w:p>
        </w:tc>
        <w:tc>
          <w:tcPr>
            <w:tcW w:w="2860" w:type="dxa"/>
            <w:vAlign w:val="bottom"/>
            <w:tcBorders>
              <w:bottom w:val="single" w:sz="8" w:color="DBE5F1"/>
              <w:right w:val="single" w:sz="8" w:color="00000A"/>
            </w:tcBorders>
            <w:shd w:val="clear" w:color="auto" w:fill="DBE5F1"/>
          </w:tcPr>
          <w:p>
            <w:pPr>
              <w:spacing w:after="0"/>
              <w:rPr>
                <w:sz w:val="11"/>
                <w:szCs w:val="11"/>
                <w:color w:val="auto"/>
              </w:rPr>
            </w:pPr>
          </w:p>
        </w:tc>
        <w:tc>
          <w:tcPr>
            <w:tcW w:w="2440" w:type="dxa"/>
            <w:vAlign w:val="bottom"/>
            <w:tcBorders>
              <w:bottom w:val="single" w:sz="8" w:color="DBE5F1"/>
              <w:right w:val="single" w:sz="8" w:color="00000A"/>
            </w:tcBorders>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1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w w:val="99"/>
              </w:rPr>
              <w:t>2019 LTIP – Type I RSUs</w:t>
            </w:r>
          </w:p>
        </w:tc>
        <w:tc>
          <w:tcPr>
            <w:tcW w:w="178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11,982</w:t>
            </w:r>
          </w:p>
        </w:tc>
        <w:tc>
          <w:tcPr>
            <w:tcW w:w="19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11,982</w:t>
            </w:r>
          </w:p>
        </w:tc>
        <w:tc>
          <w:tcPr>
            <w:tcW w:w="286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w w:val="92"/>
              </w:rPr>
              <w:t>30 days following the Separation Date</w:t>
            </w:r>
          </w:p>
        </w:tc>
        <w:tc>
          <w:tcPr>
            <w:tcW w:w="244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120" w:type="dxa"/>
            <w:vAlign w:val="bottom"/>
            <w:tcBorders>
              <w:left w:val="single" w:sz="8" w:color="00000A"/>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0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4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w w:val="97"/>
              </w:rPr>
              <w:t>2019 LTIP – Type II RSUs</w:t>
            </w:r>
          </w:p>
        </w:tc>
        <w:tc>
          <w:tcPr>
            <w:tcW w:w="17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11,982</w:t>
            </w:r>
          </w:p>
        </w:tc>
        <w:tc>
          <w:tcPr>
            <w:tcW w:w="1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0</w:t>
            </w:r>
          </w:p>
        </w:tc>
        <w:tc>
          <w:tcPr>
            <w:tcW w:w="28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 – Unvested award will be</w:t>
            </w:r>
          </w:p>
        </w:tc>
        <w:tc>
          <w:tcPr>
            <w:tcW w:w="24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2120" w:type="dxa"/>
            <w:vAlign w:val="bottom"/>
            <w:tcBorders>
              <w:left w:val="single" w:sz="8" w:color="00000A"/>
              <w:right w:val="single" w:sz="8" w:color="00000A"/>
            </w:tcBorders>
            <w:vMerge w:val="continue"/>
          </w:tcPr>
          <w:p>
            <w:pPr>
              <w:spacing w:after="0"/>
              <w:rPr>
                <w:sz w:val="10"/>
                <w:szCs w:val="10"/>
                <w:color w:val="auto"/>
              </w:rPr>
            </w:pPr>
          </w:p>
        </w:tc>
        <w:tc>
          <w:tcPr>
            <w:tcW w:w="1780" w:type="dxa"/>
            <w:vAlign w:val="bottom"/>
            <w:tcBorders>
              <w:right w:val="single" w:sz="8" w:color="00000A"/>
            </w:tcBorders>
            <w:vMerge w:val="continue"/>
          </w:tcPr>
          <w:p>
            <w:pPr>
              <w:spacing w:after="0"/>
              <w:rPr>
                <w:sz w:val="10"/>
                <w:szCs w:val="10"/>
                <w:color w:val="auto"/>
              </w:rPr>
            </w:pPr>
          </w:p>
        </w:tc>
        <w:tc>
          <w:tcPr>
            <w:tcW w:w="1900" w:type="dxa"/>
            <w:vAlign w:val="bottom"/>
            <w:tcBorders>
              <w:right w:val="single" w:sz="8" w:color="00000A"/>
            </w:tcBorders>
            <w:vMerge w:val="continue"/>
          </w:tcPr>
          <w:p>
            <w:pPr>
              <w:spacing w:after="0"/>
              <w:rPr>
                <w:sz w:val="10"/>
                <w:szCs w:val="10"/>
                <w:color w:val="auto"/>
              </w:rPr>
            </w:pPr>
          </w:p>
        </w:tc>
        <w:tc>
          <w:tcPr>
            <w:tcW w:w="28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forfeited</w:t>
            </w:r>
          </w:p>
        </w:tc>
        <w:tc>
          <w:tcPr>
            <w:tcW w:w="244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tcBorders>
              <w:left w:val="single" w:sz="8" w:color="00000A"/>
              <w:right w:val="single" w:sz="8" w:color="00000A"/>
            </w:tcBorders>
          </w:tcPr>
          <w:p>
            <w:pPr>
              <w:spacing w:after="0"/>
              <w:rPr>
                <w:sz w:val="9"/>
                <w:szCs w:val="9"/>
                <w:color w:val="auto"/>
              </w:rPr>
            </w:pPr>
          </w:p>
        </w:tc>
        <w:tc>
          <w:tcPr>
            <w:tcW w:w="1780" w:type="dxa"/>
            <w:vAlign w:val="bottom"/>
            <w:tcBorders>
              <w:right w:val="single" w:sz="8" w:color="00000A"/>
            </w:tcBorders>
          </w:tcPr>
          <w:p>
            <w:pPr>
              <w:spacing w:after="0"/>
              <w:rPr>
                <w:sz w:val="9"/>
                <w:szCs w:val="9"/>
                <w:color w:val="auto"/>
              </w:rPr>
            </w:pPr>
          </w:p>
        </w:tc>
        <w:tc>
          <w:tcPr>
            <w:tcW w:w="1900" w:type="dxa"/>
            <w:vAlign w:val="bottom"/>
            <w:tcBorders>
              <w:right w:val="single" w:sz="8" w:color="00000A"/>
            </w:tcBorders>
          </w:tcPr>
          <w:p>
            <w:pPr>
              <w:spacing w:after="0"/>
              <w:rPr>
                <w:sz w:val="9"/>
                <w:szCs w:val="9"/>
                <w:color w:val="auto"/>
              </w:rPr>
            </w:pPr>
          </w:p>
        </w:tc>
        <w:tc>
          <w:tcPr>
            <w:tcW w:w="2860" w:type="dxa"/>
            <w:vAlign w:val="bottom"/>
            <w:tcBorders>
              <w:right w:val="single" w:sz="8" w:color="00000A"/>
            </w:tcBorders>
            <w:vMerge w:val="continue"/>
          </w:tcPr>
          <w:p>
            <w:pPr>
              <w:spacing w:after="0"/>
              <w:rPr>
                <w:sz w:val="9"/>
                <w:szCs w:val="9"/>
                <w:color w:val="auto"/>
              </w:rPr>
            </w:pPr>
          </w:p>
        </w:tc>
        <w:tc>
          <w:tcPr>
            <w:tcW w:w="24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00000A"/>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0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4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2018 AIP RSUs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15,226</w:t>
            </w:r>
          </w:p>
        </w:tc>
        <w:tc>
          <w:tcPr>
            <w:tcW w:w="1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15,226</w:t>
            </w:r>
          </w:p>
        </w:tc>
        <w:tc>
          <w:tcPr>
            <w:tcW w:w="28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2"/>
              </w:rPr>
              <w:t>30 days following the Separation Date</w:t>
            </w:r>
          </w:p>
        </w:tc>
        <w:tc>
          <w:tcPr>
            <w:tcW w:w="24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120" w:type="dxa"/>
            <w:vAlign w:val="bottom"/>
            <w:tcBorders>
              <w:left w:val="single" w:sz="8" w:color="00000A"/>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0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4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2018 LTIP RSUs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37,500</w:t>
            </w:r>
          </w:p>
        </w:tc>
        <w:tc>
          <w:tcPr>
            <w:tcW w:w="1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37,500</w:t>
            </w:r>
          </w:p>
        </w:tc>
        <w:tc>
          <w:tcPr>
            <w:tcW w:w="28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2"/>
              </w:rPr>
              <w:t>30 days following the Separation Date</w:t>
            </w:r>
          </w:p>
        </w:tc>
        <w:tc>
          <w:tcPr>
            <w:tcW w:w="24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120" w:type="dxa"/>
            <w:vAlign w:val="bottom"/>
            <w:tcBorders>
              <w:left w:val="single" w:sz="8" w:color="00000A"/>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0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4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2018 performance based</w:t>
            </w:r>
          </w:p>
        </w:tc>
        <w:tc>
          <w:tcPr>
            <w:tcW w:w="17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75,000 (50,000 as of</w:t>
            </w:r>
          </w:p>
        </w:tc>
        <w:tc>
          <w:tcPr>
            <w:tcW w:w="1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w w:val="94"/>
              </w:rPr>
              <w:t>75,000 (50,000 as of the</w:t>
            </w:r>
          </w:p>
        </w:tc>
        <w:tc>
          <w:tcPr>
            <w:tcW w:w="28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w w:val="95"/>
              </w:rPr>
              <w:t>Immediately following the Separation</w:t>
            </w:r>
          </w:p>
        </w:tc>
        <w:tc>
          <w:tcPr>
            <w:tcW w:w="24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On the earlier of five years from</w:t>
            </w:r>
          </w:p>
        </w:tc>
        <w:tc>
          <w:tcPr>
            <w:tcW w:w="0" w:type="dxa"/>
            <w:vAlign w:val="bottom"/>
          </w:tcPr>
          <w:p>
            <w:pPr>
              <w:spacing w:after="0"/>
              <w:rPr>
                <w:sz w:val="1"/>
                <w:szCs w:val="1"/>
                <w:color w:val="auto"/>
              </w:rPr>
            </w:pPr>
          </w:p>
        </w:tc>
      </w:tr>
      <w:tr>
        <w:trPr>
          <w:trHeight w:val="176"/>
        </w:trPr>
        <w:tc>
          <w:tcPr>
            <w:tcW w:w="2120" w:type="dxa"/>
            <w:vAlign w:val="bottom"/>
            <w:tcBorders>
              <w:left w:val="single" w:sz="8" w:color="00000A"/>
              <w:right w:val="single" w:sz="8" w:color="00000A"/>
            </w:tcBorders>
            <w:vMerge w:val="continue"/>
          </w:tcPr>
          <w:p>
            <w:pPr>
              <w:spacing w:after="0"/>
              <w:rPr>
                <w:sz w:val="15"/>
                <w:szCs w:val="15"/>
                <w:color w:val="auto"/>
              </w:rPr>
            </w:pPr>
          </w:p>
        </w:tc>
        <w:tc>
          <w:tcPr>
            <w:tcW w:w="1780" w:type="dxa"/>
            <w:vAlign w:val="bottom"/>
            <w:tcBorders>
              <w:right w:val="single" w:sz="8" w:color="00000A"/>
            </w:tcBorders>
            <w:vMerge w:val="continue"/>
          </w:tcPr>
          <w:p>
            <w:pPr>
              <w:spacing w:after="0"/>
              <w:rPr>
                <w:sz w:val="15"/>
                <w:szCs w:val="15"/>
                <w:color w:val="auto"/>
              </w:rPr>
            </w:pPr>
          </w:p>
        </w:tc>
        <w:tc>
          <w:tcPr>
            <w:tcW w:w="1900" w:type="dxa"/>
            <w:vAlign w:val="bottom"/>
            <w:tcBorders>
              <w:right w:val="single" w:sz="8" w:color="00000A"/>
            </w:tcBorders>
            <w:vMerge w:val="continue"/>
          </w:tcPr>
          <w:p>
            <w:pPr>
              <w:spacing w:after="0"/>
              <w:rPr>
                <w:sz w:val="15"/>
                <w:szCs w:val="15"/>
                <w:color w:val="auto"/>
              </w:rPr>
            </w:pPr>
          </w:p>
        </w:tc>
        <w:tc>
          <w:tcPr>
            <w:tcW w:w="2860" w:type="dxa"/>
            <w:vAlign w:val="bottom"/>
            <w:tcBorders>
              <w:right w:val="single" w:sz="8" w:color="00000A"/>
            </w:tcBorders>
            <w:vMerge w:val="continue"/>
          </w:tcPr>
          <w:p>
            <w:pPr>
              <w:spacing w:after="0"/>
              <w:rPr>
                <w:sz w:val="15"/>
                <w:szCs w:val="15"/>
                <w:color w:val="auto"/>
              </w:rPr>
            </w:pPr>
          </w:p>
        </w:tc>
        <w:tc>
          <w:tcPr>
            <w:tcW w:w="2440" w:type="dxa"/>
            <w:vAlign w:val="bottom"/>
            <w:tcBorders>
              <w:right w:val="single" w:sz="8" w:color="00000A"/>
            </w:tcBorders>
          </w:tcPr>
          <w:p>
            <w:pPr>
              <w:ind w:left="20"/>
              <w:spacing w:after="0" w:line="176" w:lineRule="exact"/>
              <w:rPr>
                <w:sz w:val="20"/>
                <w:szCs w:val="20"/>
                <w:color w:val="auto"/>
              </w:rPr>
            </w:pPr>
            <w:r>
              <w:rPr>
                <w:rFonts w:ascii="Arial" w:cs="Arial" w:eastAsia="Arial" w:hAnsi="Arial"/>
                <w:sz w:val="18"/>
                <w:szCs w:val="18"/>
                <w:color w:val="auto"/>
              </w:rPr>
              <w:t>the Separation Date or the</w:t>
            </w:r>
          </w:p>
        </w:tc>
        <w:tc>
          <w:tcPr>
            <w:tcW w:w="0" w:type="dxa"/>
            <w:vAlign w:val="bottom"/>
          </w:tcPr>
          <w:p>
            <w:pPr>
              <w:spacing w:after="0"/>
              <w:rPr>
                <w:sz w:val="1"/>
                <w:szCs w:val="1"/>
                <w:color w:val="auto"/>
              </w:rPr>
            </w:pPr>
          </w:p>
        </w:tc>
      </w:tr>
      <w:tr>
        <w:trPr>
          <w:trHeight w:val="216"/>
        </w:trPr>
        <w:tc>
          <w:tcPr>
            <w:tcW w:w="2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stock options</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the Separation Date)</w:t>
            </w:r>
          </w:p>
        </w:tc>
        <w:tc>
          <w:tcPr>
            <w:tcW w:w="1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Separation Date)</w:t>
            </w:r>
          </w:p>
        </w:tc>
        <w:tc>
          <w:tcPr>
            <w:tcW w:w="28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Date if not previously vested</w:t>
            </w:r>
          </w:p>
        </w:tc>
        <w:tc>
          <w:tcPr>
            <w:tcW w:w="24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option expiration date</w:t>
            </w:r>
          </w:p>
        </w:tc>
        <w:tc>
          <w:tcPr>
            <w:tcW w:w="0" w:type="dxa"/>
            <w:vAlign w:val="bottom"/>
          </w:tcPr>
          <w:p>
            <w:pPr>
              <w:spacing w:after="0"/>
              <w:rPr>
                <w:sz w:val="1"/>
                <w:szCs w:val="1"/>
                <w:color w:val="auto"/>
              </w:rPr>
            </w:pPr>
          </w:p>
        </w:tc>
      </w:tr>
      <w:tr>
        <w:trPr>
          <w:trHeight w:val="54"/>
        </w:trPr>
        <w:tc>
          <w:tcPr>
            <w:tcW w:w="2120" w:type="dxa"/>
            <w:vAlign w:val="bottom"/>
            <w:tcBorders>
              <w:left w:val="single" w:sz="8" w:color="00000A"/>
              <w:right w:val="single" w:sz="8" w:color="00000A"/>
            </w:tcBorders>
          </w:tcPr>
          <w:p>
            <w:pPr>
              <w:spacing w:after="0"/>
              <w:rPr>
                <w:sz w:val="4"/>
                <w:szCs w:val="4"/>
                <w:color w:val="auto"/>
              </w:rPr>
            </w:pPr>
          </w:p>
        </w:tc>
        <w:tc>
          <w:tcPr>
            <w:tcW w:w="1780" w:type="dxa"/>
            <w:vAlign w:val="bottom"/>
            <w:tcBorders>
              <w:right w:val="single" w:sz="8" w:color="00000A"/>
            </w:tcBorders>
          </w:tcPr>
          <w:p>
            <w:pPr>
              <w:spacing w:after="0"/>
              <w:rPr>
                <w:sz w:val="4"/>
                <w:szCs w:val="4"/>
                <w:color w:val="auto"/>
              </w:rPr>
            </w:pPr>
          </w:p>
        </w:tc>
        <w:tc>
          <w:tcPr>
            <w:tcW w:w="1900" w:type="dxa"/>
            <w:vAlign w:val="bottom"/>
            <w:tcBorders>
              <w:right w:val="single" w:sz="8" w:color="00000A"/>
            </w:tcBorders>
          </w:tcPr>
          <w:p>
            <w:pPr>
              <w:spacing w:after="0"/>
              <w:rPr>
                <w:sz w:val="4"/>
                <w:szCs w:val="4"/>
                <w:color w:val="auto"/>
              </w:rPr>
            </w:pPr>
          </w:p>
        </w:tc>
        <w:tc>
          <w:tcPr>
            <w:tcW w:w="2860" w:type="dxa"/>
            <w:vAlign w:val="bottom"/>
            <w:tcBorders>
              <w:right w:val="single" w:sz="8" w:color="00000A"/>
            </w:tcBorders>
          </w:tcPr>
          <w:p>
            <w:pPr>
              <w:spacing w:after="0"/>
              <w:rPr>
                <w:sz w:val="4"/>
                <w:szCs w:val="4"/>
                <w:color w:val="auto"/>
              </w:rPr>
            </w:pPr>
          </w:p>
        </w:tc>
        <w:tc>
          <w:tcPr>
            <w:tcW w:w="2440" w:type="dxa"/>
            <w:vAlign w:val="bottom"/>
            <w:tcBorders>
              <w:right w:val="single" w:sz="8" w:color="00000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00000A"/>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0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4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2017 performance based</w:t>
            </w:r>
          </w:p>
        </w:tc>
        <w:tc>
          <w:tcPr>
            <w:tcW w:w="17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2,842</w:t>
            </w:r>
          </w:p>
        </w:tc>
        <w:tc>
          <w:tcPr>
            <w:tcW w:w="1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0</w:t>
            </w:r>
          </w:p>
        </w:tc>
        <w:tc>
          <w:tcPr>
            <w:tcW w:w="28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 – Unvested award will be</w:t>
            </w:r>
          </w:p>
        </w:tc>
        <w:tc>
          <w:tcPr>
            <w:tcW w:w="24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2"/>
        </w:trPr>
        <w:tc>
          <w:tcPr>
            <w:tcW w:w="21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stock options</w:t>
            </w:r>
          </w:p>
        </w:tc>
        <w:tc>
          <w:tcPr>
            <w:tcW w:w="1780" w:type="dxa"/>
            <w:vAlign w:val="bottom"/>
            <w:tcBorders>
              <w:right w:val="single" w:sz="8" w:color="00000A"/>
            </w:tcBorders>
            <w:vMerge w:val="continue"/>
          </w:tcPr>
          <w:p>
            <w:pPr>
              <w:spacing w:after="0"/>
              <w:rPr>
                <w:sz w:val="10"/>
                <w:szCs w:val="10"/>
                <w:color w:val="auto"/>
              </w:rPr>
            </w:pPr>
          </w:p>
        </w:tc>
        <w:tc>
          <w:tcPr>
            <w:tcW w:w="1900" w:type="dxa"/>
            <w:vAlign w:val="bottom"/>
            <w:tcBorders>
              <w:right w:val="single" w:sz="8" w:color="00000A"/>
            </w:tcBorders>
            <w:vMerge w:val="continue"/>
          </w:tcPr>
          <w:p>
            <w:pPr>
              <w:spacing w:after="0"/>
              <w:rPr>
                <w:sz w:val="10"/>
                <w:szCs w:val="10"/>
                <w:color w:val="auto"/>
              </w:rPr>
            </w:pPr>
          </w:p>
        </w:tc>
        <w:tc>
          <w:tcPr>
            <w:tcW w:w="28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forfeited</w:t>
            </w:r>
          </w:p>
        </w:tc>
        <w:tc>
          <w:tcPr>
            <w:tcW w:w="244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tcBorders>
              <w:left w:val="single" w:sz="8" w:color="00000A"/>
              <w:right w:val="single" w:sz="8" w:color="00000A"/>
            </w:tcBorders>
            <w:vMerge w:val="continue"/>
          </w:tcPr>
          <w:p>
            <w:pPr>
              <w:spacing w:after="0"/>
              <w:rPr>
                <w:sz w:val="9"/>
                <w:szCs w:val="9"/>
                <w:color w:val="auto"/>
              </w:rPr>
            </w:pPr>
          </w:p>
        </w:tc>
        <w:tc>
          <w:tcPr>
            <w:tcW w:w="1780" w:type="dxa"/>
            <w:vAlign w:val="bottom"/>
            <w:tcBorders>
              <w:right w:val="single" w:sz="8" w:color="00000A"/>
            </w:tcBorders>
          </w:tcPr>
          <w:p>
            <w:pPr>
              <w:spacing w:after="0"/>
              <w:rPr>
                <w:sz w:val="9"/>
                <w:szCs w:val="9"/>
                <w:color w:val="auto"/>
              </w:rPr>
            </w:pPr>
          </w:p>
        </w:tc>
        <w:tc>
          <w:tcPr>
            <w:tcW w:w="1900" w:type="dxa"/>
            <w:vAlign w:val="bottom"/>
            <w:tcBorders>
              <w:right w:val="single" w:sz="8" w:color="00000A"/>
            </w:tcBorders>
          </w:tcPr>
          <w:p>
            <w:pPr>
              <w:spacing w:after="0"/>
              <w:rPr>
                <w:sz w:val="9"/>
                <w:szCs w:val="9"/>
                <w:color w:val="auto"/>
              </w:rPr>
            </w:pPr>
          </w:p>
        </w:tc>
        <w:tc>
          <w:tcPr>
            <w:tcW w:w="2860" w:type="dxa"/>
            <w:vAlign w:val="bottom"/>
            <w:tcBorders>
              <w:right w:val="single" w:sz="8" w:color="00000A"/>
            </w:tcBorders>
            <w:vMerge w:val="continue"/>
          </w:tcPr>
          <w:p>
            <w:pPr>
              <w:spacing w:after="0"/>
              <w:rPr>
                <w:sz w:val="9"/>
                <w:szCs w:val="9"/>
                <w:color w:val="auto"/>
              </w:rPr>
            </w:pPr>
          </w:p>
        </w:tc>
        <w:tc>
          <w:tcPr>
            <w:tcW w:w="24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00000A"/>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0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4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1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2017 service based</w:t>
            </w:r>
          </w:p>
        </w:tc>
        <w:tc>
          <w:tcPr>
            <w:tcW w:w="178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1,005 (0 as of the</w:t>
            </w:r>
          </w:p>
        </w:tc>
        <w:tc>
          <w:tcPr>
            <w:tcW w:w="1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1,005 (0 as of the</w:t>
            </w:r>
          </w:p>
        </w:tc>
        <w:tc>
          <w:tcPr>
            <w:tcW w:w="28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5"/>
              </w:rPr>
              <w:t>Immediately following the Separation</w:t>
            </w:r>
          </w:p>
        </w:tc>
        <w:tc>
          <w:tcPr>
            <w:tcW w:w="24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6"/>
        </w:trPr>
        <w:tc>
          <w:tcPr>
            <w:tcW w:w="212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restricted shares</w:t>
            </w:r>
          </w:p>
        </w:tc>
        <w:tc>
          <w:tcPr>
            <w:tcW w:w="17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Separation Date)</w:t>
            </w:r>
          </w:p>
        </w:tc>
        <w:tc>
          <w:tcPr>
            <w:tcW w:w="19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Separation Date)</w:t>
            </w:r>
          </w:p>
        </w:tc>
        <w:tc>
          <w:tcPr>
            <w:tcW w:w="286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Date if not previously vested</w:t>
            </w:r>
          </w:p>
        </w:tc>
        <w:tc>
          <w:tcPr>
            <w:tcW w:w="2440" w:type="dxa"/>
            <w:vAlign w:val="bottom"/>
            <w:tcBorders>
              <w:bottom w:val="single" w:sz="8" w:color="00000A"/>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1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2015 service based stock</w:t>
            </w:r>
          </w:p>
        </w:tc>
        <w:tc>
          <w:tcPr>
            <w:tcW w:w="1780" w:type="dxa"/>
            <w:vAlign w:val="bottom"/>
            <w:tcBorders>
              <w:right w:val="single" w:sz="8" w:color="00000A"/>
            </w:tcBorders>
          </w:tcPr>
          <w:p>
            <w:pPr>
              <w:spacing w:after="0"/>
              <w:rPr>
                <w:sz w:val="19"/>
                <w:szCs w:val="19"/>
                <w:color w:val="auto"/>
              </w:rPr>
            </w:pPr>
          </w:p>
        </w:tc>
        <w:tc>
          <w:tcPr>
            <w:tcW w:w="1900" w:type="dxa"/>
            <w:vAlign w:val="bottom"/>
            <w:tcBorders>
              <w:right w:val="single" w:sz="8" w:color="00000A"/>
            </w:tcBorders>
          </w:tcPr>
          <w:p>
            <w:pPr>
              <w:spacing w:after="0"/>
              <w:rPr>
                <w:sz w:val="19"/>
                <w:szCs w:val="19"/>
                <w:color w:val="auto"/>
              </w:rPr>
            </w:pPr>
          </w:p>
        </w:tc>
        <w:tc>
          <w:tcPr>
            <w:tcW w:w="28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N/A – all options from this award</w:t>
            </w:r>
          </w:p>
        </w:tc>
        <w:tc>
          <w:tcPr>
            <w:tcW w:w="244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On the earlier of five years from</w:t>
            </w:r>
          </w:p>
        </w:tc>
        <w:tc>
          <w:tcPr>
            <w:tcW w:w="0" w:type="dxa"/>
            <w:vAlign w:val="bottom"/>
          </w:tcPr>
          <w:p>
            <w:pPr>
              <w:spacing w:after="0"/>
              <w:rPr>
                <w:sz w:val="1"/>
                <w:szCs w:val="1"/>
                <w:color w:val="auto"/>
              </w:rPr>
            </w:pPr>
          </w:p>
        </w:tc>
      </w:tr>
      <w:tr>
        <w:trPr>
          <w:trHeight w:val="108"/>
        </w:trPr>
        <w:tc>
          <w:tcPr>
            <w:tcW w:w="2120" w:type="dxa"/>
            <w:vAlign w:val="bottom"/>
            <w:tcBorders>
              <w:left w:val="single" w:sz="8" w:color="00000A"/>
              <w:right w:val="single" w:sz="8" w:color="00000A"/>
            </w:tcBorders>
            <w:vMerge w:val="continue"/>
          </w:tcPr>
          <w:p>
            <w:pPr>
              <w:spacing w:after="0"/>
              <w:rPr>
                <w:sz w:val="9"/>
                <w:szCs w:val="9"/>
                <w:color w:val="auto"/>
              </w:rPr>
            </w:pPr>
          </w:p>
        </w:tc>
        <w:tc>
          <w:tcPr>
            <w:tcW w:w="17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0</w:t>
            </w:r>
          </w:p>
        </w:tc>
        <w:tc>
          <w:tcPr>
            <w:tcW w:w="1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0</w:t>
            </w:r>
          </w:p>
        </w:tc>
        <w:tc>
          <w:tcPr>
            <w:tcW w:w="2860" w:type="dxa"/>
            <w:vAlign w:val="bottom"/>
            <w:tcBorders>
              <w:right w:val="single" w:sz="8" w:color="00000A"/>
            </w:tcBorders>
            <w:vMerge w:val="continue"/>
          </w:tcPr>
          <w:p>
            <w:pPr>
              <w:spacing w:after="0"/>
              <w:rPr>
                <w:sz w:val="9"/>
                <w:szCs w:val="9"/>
                <w:color w:val="auto"/>
              </w:rPr>
            </w:pPr>
          </w:p>
        </w:tc>
        <w:tc>
          <w:tcPr>
            <w:tcW w:w="24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the Separation Date or the</w:t>
            </w:r>
          </w:p>
        </w:tc>
        <w:tc>
          <w:tcPr>
            <w:tcW w:w="0" w:type="dxa"/>
            <w:vAlign w:val="bottom"/>
          </w:tcPr>
          <w:p>
            <w:pPr>
              <w:spacing w:after="0"/>
              <w:rPr>
                <w:sz w:val="1"/>
                <w:szCs w:val="1"/>
                <w:color w:val="auto"/>
              </w:rPr>
            </w:pPr>
          </w:p>
        </w:tc>
      </w:tr>
      <w:tr>
        <w:trPr>
          <w:trHeight w:val="108"/>
        </w:trPr>
        <w:tc>
          <w:tcPr>
            <w:tcW w:w="21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options</w:t>
            </w:r>
          </w:p>
        </w:tc>
        <w:tc>
          <w:tcPr>
            <w:tcW w:w="1780" w:type="dxa"/>
            <w:vAlign w:val="bottom"/>
            <w:tcBorders>
              <w:right w:val="single" w:sz="8" w:color="00000A"/>
            </w:tcBorders>
            <w:vMerge w:val="continue"/>
          </w:tcPr>
          <w:p>
            <w:pPr>
              <w:spacing w:after="0"/>
              <w:rPr>
                <w:sz w:val="9"/>
                <w:szCs w:val="9"/>
                <w:color w:val="auto"/>
              </w:rPr>
            </w:pPr>
          </w:p>
        </w:tc>
        <w:tc>
          <w:tcPr>
            <w:tcW w:w="1900" w:type="dxa"/>
            <w:vAlign w:val="bottom"/>
            <w:tcBorders>
              <w:right w:val="single" w:sz="8" w:color="00000A"/>
            </w:tcBorders>
            <w:vMerge w:val="continue"/>
          </w:tcPr>
          <w:p>
            <w:pPr>
              <w:spacing w:after="0"/>
              <w:rPr>
                <w:sz w:val="9"/>
                <w:szCs w:val="9"/>
                <w:color w:val="auto"/>
              </w:rPr>
            </w:pPr>
          </w:p>
        </w:tc>
        <w:tc>
          <w:tcPr>
            <w:tcW w:w="28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have vested</w:t>
            </w:r>
          </w:p>
        </w:tc>
        <w:tc>
          <w:tcPr>
            <w:tcW w:w="244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20" w:type="dxa"/>
            <w:vAlign w:val="bottom"/>
            <w:tcBorders>
              <w:left w:val="single" w:sz="8" w:color="00000A"/>
              <w:right w:val="single" w:sz="8" w:color="00000A"/>
            </w:tcBorders>
            <w:vMerge w:val="continue"/>
          </w:tcPr>
          <w:p>
            <w:pPr>
              <w:spacing w:after="0"/>
              <w:rPr>
                <w:sz w:val="10"/>
                <w:szCs w:val="10"/>
                <w:color w:val="auto"/>
              </w:rPr>
            </w:pPr>
          </w:p>
        </w:tc>
        <w:tc>
          <w:tcPr>
            <w:tcW w:w="1780" w:type="dxa"/>
            <w:vAlign w:val="bottom"/>
            <w:tcBorders>
              <w:right w:val="single" w:sz="8" w:color="00000A"/>
            </w:tcBorders>
          </w:tcPr>
          <w:p>
            <w:pPr>
              <w:spacing w:after="0"/>
              <w:rPr>
                <w:sz w:val="10"/>
                <w:szCs w:val="10"/>
                <w:color w:val="auto"/>
              </w:rPr>
            </w:pPr>
          </w:p>
        </w:tc>
        <w:tc>
          <w:tcPr>
            <w:tcW w:w="1900" w:type="dxa"/>
            <w:vAlign w:val="bottom"/>
            <w:tcBorders>
              <w:right w:val="single" w:sz="8" w:color="00000A"/>
            </w:tcBorders>
          </w:tcPr>
          <w:p>
            <w:pPr>
              <w:spacing w:after="0"/>
              <w:rPr>
                <w:sz w:val="10"/>
                <w:szCs w:val="10"/>
                <w:color w:val="auto"/>
              </w:rPr>
            </w:pPr>
          </w:p>
        </w:tc>
        <w:tc>
          <w:tcPr>
            <w:tcW w:w="2860" w:type="dxa"/>
            <w:vAlign w:val="bottom"/>
            <w:tcBorders>
              <w:right w:val="single" w:sz="8" w:color="00000A"/>
            </w:tcBorders>
            <w:vMerge w:val="continue"/>
          </w:tcPr>
          <w:p>
            <w:pPr>
              <w:spacing w:after="0"/>
              <w:rPr>
                <w:sz w:val="10"/>
                <w:szCs w:val="10"/>
                <w:color w:val="auto"/>
              </w:rPr>
            </w:pPr>
          </w:p>
        </w:tc>
        <w:tc>
          <w:tcPr>
            <w:tcW w:w="24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option expiration date</w:t>
            </w:r>
          </w:p>
        </w:tc>
        <w:tc>
          <w:tcPr>
            <w:tcW w:w="0" w:type="dxa"/>
            <w:vAlign w:val="bottom"/>
          </w:tcPr>
          <w:p>
            <w:pPr>
              <w:spacing w:after="0"/>
              <w:rPr>
                <w:sz w:val="1"/>
                <w:szCs w:val="1"/>
                <w:color w:val="auto"/>
              </w:rPr>
            </w:pPr>
          </w:p>
        </w:tc>
      </w:tr>
      <w:tr>
        <w:trPr>
          <w:trHeight w:val="108"/>
        </w:trPr>
        <w:tc>
          <w:tcPr>
            <w:tcW w:w="2120" w:type="dxa"/>
            <w:vAlign w:val="bottom"/>
            <w:tcBorders>
              <w:left w:val="single" w:sz="8" w:color="00000A"/>
              <w:right w:val="single" w:sz="8" w:color="00000A"/>
            </w:tcBorders>
          </w:tcPr>
          <w:p>
            <w:pPr>
              <w:spacing w:after="0"/>
              <w:rPr>
                <w:sz w:val="9"/>
                <w:szCs w:val="9"/>
                <w:color w:val="auto"/>
              </w:rPr>
            </w:pPr>
          </w:p>
        </w:tc>
        <w:tc>
          <w:tcPr>
            <w:tcW w:w="1780" w:type="dxa"/>
            <w:vAlign w:val="bottom"/>
            <w:tcBorders>
              <w:right w:val="single" w:sz="8" w:color="00000A"/>
            </w:tcBorders>
          </w:tcPr>
          <w:p>
            <w:pPr>
              <w:spacing w:after="0"/>
              <w:rPr>
                <w:sz w:val="9"/>
                <w:szCs w:val="9"/>
                <w:color w:val="auto"/>
              </w:rPr>
            </w:pPr>
          </w:p>
        </w:tc>
        <w:tc>
          <w:tcPr>
            <w:tcW w:w="1900" w:type="dxa"/>
            <w:vAlign w:val="bottom"/>
            <w:tcBorders>
              <w:right w:val="single" w:sz="8" w:color="00000A"/>
            </w:tcBorders>
          </w:tcPr>
          <w:p>
            <w:pPr>
              <w:spacing w:after="0"/>
              <w:rPr>
                <w:sz w:val="9"/>
                <w:szCs w:val="9"/>
                <w:color w:val="auto"/>
              </w:rPr>
            </w:pPr>
          </w:p>
        </w:tc>
        <w:tc>
          <w:tcPr>
            <w:tcW w:w="2860" w:type="dxa"/>
            <w:vAlign w:val="bottom"/>
            <w:tcBorders>
              <w:right w:val="single" w:sz="8" w:color="00000A"/>
            </w:tcBorders>
          </w:tcPr>
          <w:p>
            <w:pPr>
              <w:spacing w:after="0"/>
              <w:rPr>
                <w:sz w:val="9"/>
                <w:szCs w:val="9"/>
                <w:color w:val="auto"/>
              </w:rPr>
            </w:pPr>
          </w:p>
        </w:tc>
        <w:tc>
          <w:tcPr>
            <w:tcW w:w="244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00000A"/>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0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4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2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8"/>
                <w:szCs w:val="18"/>
                <w:color w:val="auto"/>
              </w:rPr>
              <w:t>2010 stock options</w:t>
            </w:r>
          </w:p>
        </w:tc>
        <w:tc>
          <w:tcPr>
            <w:tcW w:w="178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0</w:t>
            </w:r>
          </w:p>
        </w:tc>
        <w:tc>
          <w:tcPr>
            <w:tcW w:w="190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0</w:t>
            </w:r>
          </w:p>
        </w:tc>
        <w:tc>
          <w:tcPr>
            <w:tcW w:w="286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 – all options from this award</w:t>
            </w:r>
          </w:p>
        </w:tc>
        <w:tc>
          <w:tcPr>
            <w:tcW w:w="244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w w:val="93"/>
              </w:rPr>
              <w:t>As set forth in award agreement</w:t>
            </w:r>
          </w:p>
        </w:tc>
        <w:tc>
          <w:tcPr>
            <w:tcW w:w="0" w:type="dxa"/>
            <w:vAlign w:val="bottom"/>
          </w:tcPr>
          <w:p>
            <w:pPr>
              <w:spacing w:after="0"/>
              <w:rPr>
                <w:sz w:val="1"/>
                <w:szCs w:val="1"/>
                <w:color w:val="auto"/>
              </w:rPr>
            </w:pPr>
          </w:p>
        </w:tc>
      </w:tr>
      <w:tr>
        <w:trPr>
          <w:trHeight w:val="122"/>
        </w:trPr>
        <w:tc>
          <w:tcPr>
            <w:tcW w:w="2120" w:type="dxa"/>
            <w:vAlign w:val="bottom"/>
            <w:tcBorders>
              <w:left w:val="single" w:sz="8" w:color="00000A"/>
              <w:right w:val="single" w:sz="8" w:color="00000A"/>
            </w:tcBorders>
            <w:vMerge w:val="continue"/>
          </w:tcPr>
          <w:p>
            <w:pPr>
              <w:spacing w:after="0"/>
              <w:rPr>
                <w:sz w:val="10"/>
                <w:szCs w:val="10"/>
                <w:color w:val="auto"/>
              </w:rPr>
            </w:pPr>
          </w:p>
        </w:tc>
        <w:tc>
          <w:tcPr>
            <w:tcW w:w="1780" w:type="dxa"/>
            <w:vAlign w:val="bottom"/>
            <w:tcBorders>
              <w:right w:val="single" w:sz="8" w:color="00000A"/>
            </w:tcBorders>
            <w:vMerge w:val="continue"/>
          </w:tcPr>
          <w:p>
            <w:pPr>
              <w:spacing w:after="0"/>
              <w:rPr>
                <w:sz w:val="10"/>
                <w:szCs w:val="10"/>
                <w:color w:val="auto"/>
              </w:rPr>
            </w:pPr>
          </w:p>
        </w:tc>
        <w:tc>
          <w:tcPr>
            <w:tcW w:w="1900" w:type="dxa"/>
            <w:vAlign w:val="bottom"/>
            <w:tcBorders>
              <w:right w:val="single" w:sz="8" w:color="00000A"/>
            </w:tcBorders>
            <w:vMerge w:val="continue"/>
          </w:tcPr>
          <w:p>
            <w:pPr>
              <w:spacing w:after="0"/>
              <w:rPr>
                <w:sz w:val="10"/>
                <w:szCs w:val="10"/>
                <w:color w:val="auto"/>
              </w:rPr>
            </w:pPr>
          </w:p>
        </w:tc>
        <w:tc>
          <w:tcPr>
            <w:tcW w:w="2860" w:type="dxa"/>
            <w:vAlign w:val="bottom"/>
            <w:tcBorders>
              <w:right w:val="single" w:sz="8" w:color="00000A"/>
            </w:tcBorders>
            <w:vMerge w:val="restart"/>
          </w:tcPr>
          <w:p>
            <w:pPr>
              <w:ind w:left="20"/>
              <w:spacing w:after="0"/>
              <w:rPr>
                <w:sz w:val="20"/>
                <w:szCs w:val="20"/>
                <w:color w:val="auto"/>
              </w:rPr>
            </w:pPr>
            <w:r>
              <w:rPr>
                <w:rFonts w:ascii="Arial" w:cs="Arial" w:eastAsia="Arial" w:hAnsi="Arial"/>
                <w:sz w:val="18"/>
                <w:szCs w:val="18"/>
                <w:color w:val="auto"/>
              </w:rPr>
              <w:t>have vested</w:t>
            </w:r>
          </w:p>
        </w:tc>
        <w:tc>
          <w:tcPr>
            <w:tcW w:w="2440" w:type="dxa"/>
            <w:vAlign w:val="bottom"/>
            <w:tcBorders>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tcBorders>
              <w:left w:val="single" w:sz="8" w:color="00000A"/>
              <w:right w:val="single" w:sz="8" w:color="00000A"/>
            </w:tcBorders>
          </w:tcPr>
          <w:p>
            <w:pPr>
              <w:spacing w:after="0"/>
              <w:rPr>
                <w:sz w:val="9"/>
                <w:szCs w:val="9"/>
                <w:color w:val="auto"/>
              </w:rPr>
            </w:pPr>
          </w:p>
        </w:tc>
        <w:tc>
          <w:tcPr>
            <w:tcW w:w="1780" w:type="dxa"/>
            <w:vAlign w:val="bottom"/>
            <w:tcBorders>
              <w:right w:val="single" w:sz="8" w:color="00000A"/>
            </w:tcBorders>
          </w:tcPr>
          <w:p>
            <w:pPr>
              <w:spacing w:after="0"/>
              <w:rPr>
                <w:sz w:val="9"/>
                <w:szCs w:val="9"/>
                <w:color w:val="auto"/>
              </w:rPr>
            </w:pPr>
          </w:p>
        </w:tc>
        <w:tc>
          <w:tcPr>
            <w:tcW w:w="1900" w:type="dxa"/>
            <w:vAlign w:val="bottom"/>
            <w:tcBorders>
              <w:right w:val="single" w:sz="8" w:color="00000A"/>
            </w:tcBorders>
          </w:tcPr>
          <w:p>
            <w:pPr>
              <w:spacing w:after="0"/>
              <w:rPr>
                <w:sz w:val="9"/>
                <w:szCs w:val="9"/>
                <w:color w:val="auto"/>
              </w:rPr>
            </w:pPr>
          </w:p>
        </w:tc>
        <w:tc>
          <w:tcPr>
            <w:tcW w:w="2860" w:type="dxa"/>
            <w:vAlign w:val="bottom"/>
            <w:tcBorders>
              <w:right w:val="single" w:sz="8" w:color="00000A"/>
            </w:tcBorders>
            <w:vMerge w:val="continue"/>
          </w:tcPr>
          <w:p>
            <w:pPr>
              <w:spacing w:after="0"/>
              <w:rPr>
                <w:sz w:val="9"/>
                <w:szCs w:val="9"/>
                <w:color w:val="auto"/>
              </w:rPr>
            </w:pPr>
          </w:p>
        </w:tc>
        <w:tc>
          <w:tcPr>
            <w:tcW w:w="2440" w:type="dxa"/>
            <w:vAlign w:val="bottom"/>
            <w:tcBorders>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120" w:type="dxa"/>
            <w:vAlign w:val="bottom"/>
            <w:tcBorders>
              <w:left w:val="single" w:sz="8" w:color="00000A"/>
              <w:bottom w:val="single" w:sz="8" w:color="00000A"/>
              <w:right w:val="single" w:sz="8" w:color="00000A"/>
            </w:tcBorders>
          </w:tcPr>
          <w:p>
            <w:pPr>
              <w:spacing w:after="0"/>
              <w:rPr>
                <w:sz w:val="2"/>
                <w:szCs w:val="2"/>
                <w:color w:val="auto"/>
              </w:rPr>
            </w:pPr>
          </w:p>
        </w:tc>
        <w:tc>
          <w:tcPr>
            <w:tcW w:w="1780" w:type="dxa"/>
            <w:vAlign w:val="bottom"/>
            <w:tcBorders>
              <w:bottom w:val="single" w:sz="8" w:color="00000A"/>
              <w:right w:val="single" w:sz="8" w:color="00000A"/>
            </w:tcBorders>
          </w:tcPr>
          <w:p>
            <w:pPr>
              <w:spacing w:after="0"/>
              <w:rPr>
                <w:sz w:val="2"/>
                <w:szCs w:val="2"/>
                <w:color w:val="auto"/>
              </w:rPr>
            </w:pPr>
          </w:p>
        </w:tc>
        <w:tc>
          <w:tcPr>
            <w:tcW w:w="1900" w:type="dxa"/>
            <w:vAlign w:val="bottom"/>
            <w:tcBorders>
              <w:bottom w:val="single" w:sz="8" w:color="00000A"/>
              <w:right w:val="single" w:sz="8" w:color="00000A"/>
            </w:tcBorders>
          </w:tcPr>
          <w:p>
            <w:pPr>
              <w:spacing w:after="0"/>
              <w:rPr>
                <w:sz w:val="2"/>
                <w:szCs w:val="2"/>
                <w:color w:val="auto"/>
              </w:rPr>
            </w:pPr>
          </w:p>
        </w:tc>
        <w:tc>
          <w:tcPr>
            <w:tcW w:w="2860" w:type="dxa"/>
            <w:vAlign w:val="bottom"/>
            <w:tcBorders>
              <w:bottom w:val="single" w:sz="8" w:color="00000A"/>
              <w:right w:val="single" w:sz="8" w:color="00000A"/>
            </w:tcBorders>
          </w:tcPr>
          <w:p>
            <w:pPr>
              <w:spacing w:after="0"/>
              <w:rPr>
                <w:sz w:val="2"/>
                <w:szCs w:val="2"/>
                <w:color w:val="auto"/>
              </w:rPr>
            </w:pPr>
          </w:p>
        </w:tc>
        <w:tc>
          <w:tcPr>
            <w:tcW w:w="244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both"/>
        <w:ind w:left="-332" w:right="20" w:firstLine="332"/>
        <w:spacing w:after="0" w:line="298" w:lineRule="auto"/>
        <w:tabs>
          <w:tab w:leader="none" w:pos="1336" w:val="left"/>
        </w:tabs>
        <w:numPr>
          <w:ilvl w:val="0"/>
          <w:numId w:val="27"/>
        </w:numPr>
        <w:rPr>
          <w:rFonts w:ascii="Arial" w:cs="Arial" w:eastAsia="Arial" w:hAnsi="Arial"/>
          <w:sz w:val="22"/>
          <w:szCs w:val="22"/>
          <w:color w:val="auto"/>
        </w:rPr>
      </w:pPr>
      <w:r>
        <w:rPr>
          <w:rFonts w:ascii="Arial" w:cs="Arial" w:eastAsia="Arial" w:hAnsi="Arial"/>
          <w:sz w:val="22"/>
          <w:szCs w:val="22"/>
          <w:color w:val="auto"/>
        </w:rPr>
        <w:t>Upon a Change of Control, consideration to be paid pursuant to paragraph 4(i)-(iii) will be paid immediately and vesting of RSUs and restricted shares will occur immediately in an amount that will not cause the application of the excise tax provisions of Internal Revenue Code Section 280G (collectively, “IRC 280G”). In addition, upon a Change of Control, to the extent that the total amount from the immediately preceding sentence does not cause the application of IRC 280G, Executive’s unvested options will immediately vest up to an amount that will not cause the application of IRC 280G. Any RSUs, restricted shares or options that do not accelerate pursuant to this paragraph 4(viii), shall continue to be governed in accordance with the terms set forth in the</w:t>
      </w:r>
    </w:p>
    <w:p>
      <w:pPr>
        <w:sectPr>
          <w:pgSz w:w="11900" w:h="16838" w:orient="portrait"/>
          <w:cols w:equalWidth="0" w:num="1">
            <w:col w:w="11108"/>
          </w:cols>
          <w:pgMar w:left="572" w:top="402" w:right="219" w:bottom="1440" w:gutter="0" w:footer="0" w:header="0"/>
        </w:sectPr>
      </w:pPr>
    </w:p>
    <w:bookmarkStart w:id="47" w:name="page48"/>
    <w:bookmarkEnd w:id="47"/>
    <w:p>
      <w:pPr>
        <w:jc w:val="both"/>
        <w:spacing w:after="0" w:line="347" w:lineRule="auto"/>
        <w:rPr>
          <w:sz w:val="20"/>
          <w:szCs w:val="20"/>
          <w:color w:val="auto"/>
        </w:rPr>
      </w:pPr>
      <w:r>
        <w:rPr>
          <w:rFonts w:ascii="Arial" w:cs="Arial" w:eastAsia="Arial" w:hAnsi="Arial"/>
          <w:sz w:val="19"/>
          <w:szCs w:val="19"/>
          <w:color w:val="auto"/>
        </w:rPr>
        <w:t>applicable award agreements as modified by this Agreement. As used herein, a “Change of Control”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the Company’s stock of the pre-transaction stockholders to less than fifty percent (50%) of the post-transaction ownership. Notwithstanding anything herein to the contrary, the definition of Change of Control set forth herein shall not be broader than the definition of “change in control event” as set forth under Section 409A of the Internal Revenue Code of 1986, as amended, and the guidance promulgated thereunder, and if a transaction or event does not otherwise fall within such definition of change in control event, it shall not be deemed a Change of Control for purposes of this Agreement.</w:t>
      </w:r>
    </w:p>
    <w:p>
      <w:pPr>
        <w:spacing w:after="0" w:line="361" w:lineRule="exact"/>
        <w:rPr>
          <w:sz w:val="20"/>
          <w:szCs w:val="20"/>
          <w:color w:val="auto"/>
        </w:rPr>
      </w:pPr>
    </w:p>
    <w:p>
      <w:pPr>
        <w:jc w:val="both"/>
        <w:spacing w:after="0" w:line="301" w:lineRule="auto"/>
        <w:rPr>
          <w:sz w:val="20"/>
          <w:szCs w:val="20"/>
          <w:color w:val="auto"/>
        </w:rPr>
      </w:pPr>
      <w:r>
        <w:rPr>
          <w:rFonts w:ascii="Arial" w:cs="Arial" w:eastAsia="Arial" w:hAnsi="Arial"/>
          <w:sz w:val="22"/>
          <w:szCs w:val="22"/>
          <w:color w:val="auto"/>
        </w:rPr>
        <w:t>Except as set forth in this paragraph 4 and paragraph 5 below, nothing in this Agreement shall vary the terms of the applicable equity award agreements, which provisions shall govern the treatment of the equity in all other respects. In accordance with Altisource’s Insider Trading Policy, Executive will be subject to the Company’s trading windows for a period of three (3) months following the Separation Date.</w:t>
      </w:r>
    </w:p>
    <w:p>
      <w:pPr>
        <w:spacing w:after="0" w:line="284" w:lineRule="exact"/>
        <w:rPr>
          <w:sz w:val="20"/>
          <w:szCs w:val="20"/>
          <w:color w:val="auto"/>
        </w:rPr>
      </w:pPr>
    </w:p>
    <w:p>
      <w:pPr>
        <w:jc w:val="both"/>
        <w:ind w:firstLine="413"/>
        <w:spacing w:after="0" w:line="301" w:lineRule="auto"/>
        <w:tabs>
          <w:tab w:leader="none" w:pos="1715" w:val="left"/>
        </w:tabs>
        <w:numPr>
          <w:ilvl w:val="1"/>
          <w:numId w:val="28"/>
        </w:numPr>
        <w:rPr>
          <w:rFonts w:ascii="Arial" w:cs="Arial" w:eastAsia="Arial" w:hAnsi="Arial"/>
          <w:sz w:val="22"/>
          <w:szCs w:val="22"/>
          <w:color w:val="auto"/>
        </w:rPr>
      </w:pPr>
      <w:r>
        <w:rPr>
          <w:rFonts w:ascii="Arial" w:cs="Arial" w:eastAsia="Arial" w:hAnsi="Arial"/>
          <w:sz w:val="22"/>
          <w:szCs w:val="22"/>
          <w:color w:val="auto"/>
        </w:rPr>
        <w:t>Company will allow Executive, at his option, to use the Apartment (as defined below) from the Separation Date to the end of the current lease period in exchange Executive’s payment of rent and related lease expenses. The Company will be responsible for any lease breakage fees or apartment turn back obligations. As used herein, “Apartment” shall mean the property situated at Résidence Dune, 35, rue Michel Engels, L-1465.</w:t>
      </w:r>
    </w:p>
    <w:p>
      <w:pPr>
        <w:spacing w:after="0" w:line="81" w:lineRule="exact"/>
        <w:rPr>
          <w:rFonts w:ascii="Arial" w:cs="Arial" w:eastAsia="Arial" w:hAnsi="Arial"/>
          <w:sz w:val="22"/>
          <w:szCs w:val="22"/>
          <w:color w:val="auto"/>
        </w:rPr>
      </w:pPr>
    </w:p>
    <w:p>
      <w:pPr>
        <w:jc w:val="both"/>
        <w:ind w:firstLine="8"/>
        <w:spacing w:after="0" w:line="299" w:lineRule="auto"/>
        <w:tabs>
          <w:tab w:leader="none" w:pos="810"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Executive hereby (i) waives any and all rights to salary, incentive compensation and other benefits, whether earned or unearned, and whether due or to become due, from Altisource except as set forth in paragraph 4 above, base salary owed through the Separation Date and unused annual leave for 2020 (if any); and (ii) except as set forth in paragraph 4 above, waives any and all claims to any equity-based compensation granted, allocated, assigned or otherwise attributed to the employee prior to the Separation Date from Altisource.</w:t>
      </w:r>
    </w:p>
    <w:p>
      <w:pPr>
        <w:spacing w:after="0" w:line="287" w:lineRule="exact"/>
        <w:rPr>
          <w:rFonts w:ascii="Arial" w:cs="Arial" w:eastAsia="Arial" w:hAnsi="Arial"/>
          <w:sz w:val="22"/>
          <w:szCs w:val="22"/>
          <w:b w:val="1"/>
          <w:bCs w:val="1"/>
          <w:color w:val="auto"/>
        </w:rPr>
      </w:pPr>
    </w:p>
    <w:p>
      <w:pPr>
        <w:jc w:val="both"/>
        <w:ind w:firstLine="8"/>
        <w:spacing w:after="0" w:line="304" w:lineRule="auto"/>
        <w:tabs>
          <w:tab w:leader="none" w:pos="449" w:val="left"/>
        </w:tabs>
        <w:numPr>
          <w:ilvl w:val="0"/>
          <w:numId w:val="29"/>
        </w:numPr>
        <w:rPr>
          <w:rFonts w:ascii="Arial" w:cs="Arial" w:eastAsia="Arial" w:hAnsi="Arial"/>
          <w:sz w:val="22"/>
          <w:szCs w:val="22"/>
          <w:b w:val="1"/>
          <w:bCs w:val="1"/>
          <w:color w:val="auto"/>
        </w:rPr>
      </w:pPr>
      <w:r>
        <w:rPr>
          <w:rFonts w:ascii="Arial" w:cs="Arial" w:eastAsia="Arial" w:hAnsi="Arial"/>
          <w:sz w:val="22"/>
          <w:szCs w:val="22"/>
          <w:color w:val="auto"/>
        </w:rPr>
        <w:t>Executive represents and covenants that he has not and will not remove from the Company premises any item belonging to Altisource, including files (neither hard nor soft), Confidential Information, or office equipment. Executive shall account for and return to the Company, on or</w:t>
      </w:r>
    </w:p>
    <w:p>
      <w:pPr>
        <w:sectPr>
          <w:pgSz w:w="11900" w:h="16838" w:orient="portrait"/>
          <w:cols w:equalWidth="0" w:num="1">
            <w:col w:w="11420"/>
          </w:cols>
          <w:pgMar w:left="240" w:top="402" w:right="239" w:bottom="1440" w:gutter="0" w:footer="0" w:header="0"/>
        </w:sectPr>
      </w:pPr>
    </w:p>
    <w:bookmarkStart w:id="48" w:name="page49"/>
    <w:bookmarkEnd w:id="48"/>
    <w:p>
      <w:pPr>
        <w:jc w:val="both"/>
        <w:spacing w:after="0" w:line="344" w:lineRule="auto"/>
        <w:rPr>
          <w:sz w:val="20"/>
          <w:szCs w:val="20"/>
          <w:color w:val="auto"/>
        </w:rPr>
      </w:pPr>
      <w:r>
        <w:rPr>
          <w:rFonts w:ascii="Arial" w:cs="Arial" w:eastAsia="Arial" w:hAnsi="Arial"/>
          <w:sz w:val="19"/>
          <w:szCs w:val="19"/>
          <w:color w:val="auto"/>
        </w:rPr>
        <w:t>before the Separation Date (or earlier date decided by the Company in its sole discretion) all Altisource property (including but not limited to iPhone, blackberry, laptop, documents and disks, equipment, keys and passes belonging to the Company which is or has been in the Executive’s possession or under the Executive’s control). Documents and disks shall include but not be limited to correspondence, files, emails, memos, reports, minutes, plans, records, surveys, software, diagrams, computer print-outs, floppy disks, manuals, customer documentation or any other medium for storing information. Executive represents and covenants that he has not and will not disclose or use any Confidential Information and/or trade secrets of Altisource. Executive shall keep all such Confidential Information confidential and not disclose or use the Confidential Information for any purpose, or divulge or disclose that Confidential Information to any person. Any breach, even minimal, of these obligations may constitute a serious offence, which may trigger a claim that may be exercised on the basis of civil, and/or criminal law. As used in this Agreement, “Confidential Information” means information: (i) disclosed to or known by Executive as a consequence of or through his employment with Altisource; (ii) not generally known outside Altisource; and (iii) which relates to any aspect of Altisource or its business or prospective business. By example and without limitation, Confidential Information includes, but is not limited to, any and all information of the following or similar nature, whether transmitted verbally, electronically or in writing: copyright, service mark and trademark registrations and applications; patents and patent applications; licenses; agreements; unique and special methods; techniques; procedures; processes; routines; formulas; know-how; trade secrets; innovations; inventions; discoveries; improvements; research proposals, development, test results or papers; specifications; technical data and/or information; software; models; sales figures; files; marketing plans; strategies; business plans, operations, expenses, customers, competitors and forecasts; customer, pricing, and financial information; budgets; methodologies; computer code and programs; compilations of information; reports; records; compensation and benefit information; customer, vendor, and supplier identities and characteristics; information provided to Altisource by a third party under restrictions against disclosure or use by Altisource or others; information designated secret or confidential by Altisource; and information of which unauthorized disclosure could be detrimental to the interests of Altisource, whether or not such information is identified as confidential information by Altisource.</w:t>
      </w:r>
    </w:p>
    <w:p>
      <w:pPr>
        <w:spacing w:after="0" w:line="365"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jc w:val="both"/>
        <w:ind w:firstLine="8"/>
        <w:spacing w:after="0" w:line="371" w:lineRule="auto"/>
        <w:tabs>
          <w:tab w:leader="none" w:pos="81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Executive acknowledges that during his time of employment he has been provided access to Confidential Information and Altisource’s clients, employees, customers and others with whom Altisource has formed valuable business arrangements. Executive shall not, prior to or for a period of one (1) year commencing on the Separation Date, directly or indirectly:</w:t>
      </w:r>
    </w:p>
    <w:p>
      <w:pPr>
        <w:spacing w:after="0" w:line="26" w:lineRule="exact"/>
        <w:rPr>
          <w:rFonts w:ascii="Arial" w:cs="Arial" w:eastAsia="Arial" w:hAnsi="Arial"/>
          <w:sz w:val="19"/>
          <w:szCs w:val="19"/>
          <w:color w:val="auto"/>
        </w:rPr>
      </w:pPr>
    </w:p>
    <w:p>
      <w:pPr>
        <w:ind w:firstLine="656"/>
        <w:spacing w:after="0" w:line="315" w:lineRule="auto"/>
        <w:tabs>
          <w:tab w:leader="none" w:pos="15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Take any action that would interfere with, diminish or impair the relationships that Altisource has with its employees, clients and customers (whether current or prospective);</w:t>
      </w:r>
    </w:p>
    <w:p>
      <w:pPr>
        <w:sectPr>
          <w:pgSz w:w="11900" w:h="16838" w:orient="portrait"/>
          <w:cols w:equalWidth="0" w:num="1">
            <w:col w:w="11420"/>
          </w:cols>
          <w:pgMar w:left="240" w:top="402" w:right="239" w:bottom="1440" w:gutter="0" w:footer="0" w:header="0"/>
        </w:sectPr>
      </w:pPr>
    </w:p>
    <w:bookmarkStart w:id="49" w:name="page50"/>
    <w:bookmarkEnd w:id="49"/>
    <w:p>
      <w:pPr>
        <w:jc w:val="both"/>
        <w:ind w:firstLine="737"/>
        <w:spacing w:after="0" w:line="301" w:lineRule="auto"/>
        <w:tabs>
          <w:tab w:leader="none" w:pos="1547" w:val="left"/>
        </w:tabs>
        <w:numPr>
          <w:ilvl w:val="1"/>
          <w:numId w:val="31"/>
        </w:numPr>
        <w:rPr>
          <w:rFonts w:ascii="Arial" w:cs="Arial" w:eastAsia="Arial" w:hAnsi="Arial"/>
          <w:sz w:val="22"/>
          <w:szCs w:val="22"/>
          <w:color w:val="auto"/>
        </w:rPr>
      </w:pPr>
      <w:r>
        <w:rPr>
          <w:rFonts w:ascii="Arial" w:cs="Arial" w:eastAsia="Arial" w:hAnsi="Arial"/>
          <w:sz w:val="22"/>
          <w:szCs w:val="22"/>
          <w:color w:val="auto"/>
        </w:rPr>
        <w:t>Recruit or otherwise solicit for employment or induce to terminate Altisource’s employment of or consultancy with, any person (natural or otherwise) who is or becomes an employee or consultant of Altisource or hire any such employee or consultant who has left the employ of Altisource within one (1) year after the termination or expiration of such employee’s or consultant’s employment with Altisource, as the case may be.</w:t>
      </w:r>
    </w:p>
    <w:p>
      <w:pPr>
        <w:spacing w:after="0" w:line="81" w:lineRule="exact"/>
        <w:rPr>
          <w:rFonts w:ascii="Arial" w:cs="Arial" w:eastAsia="Arial" w:hAnsi="Arial"/>
          <w:sz w:val="22"/>
          <w:szCs w:val="22"/>
          <w:color w:val="auto"/>
        </w:rPr>
      </w:pPr>
    </w:p>
    <w:p>
      <w:pPr>
        <w:jc w:val="both"/>
        <w:ind w:firstLine="656"/>
        <w:spacing w:after="0" w:line="298" w:lineRule="auto"/>
        <w:tabs>
          <w:tab w:leader="none" w:pos="16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Solicit or attempt to solicit any business from any of Altisource’s present customers, or actively sought prospective customers, with whom Executive had material contact for purposes of providing products or services that are competitive with those provided by Altisource: provided that "material contact" is agreed to exist between Executive and each customer or potential customer: (a) with whom Executive dealt; (b) whose dealings with Altisource were coordinated or supervised by Executive; or (c) about whom Executive obtained Confidential Information in the ordinary course of business as a result of his association with Altisource; or</w:t>
      </w:r>
    </w:p>
    <w:p>
      <w:pPr>
        <w:spacing w:after="0" w:line="87" w:lineRule="exact"/>
        <w:rPr>
          <w:rFonts w:ascii="Arial" w:cs="Arial" w:eastAsia="Arial" w:hAnsi="Arial"/>
          <w:sz w:val="22"/>
          <w:szCs w:val="22"/>
          <w:color w:val="auto"/>
        </w:rPr>
      </w:pPr>
    </w:p>
    <w:p>
      <w:pPr>
        <w:jc w:val="both"/>
        <w:ind w:firstLine="656"/>
        <w:spacing w:after="0" w:line="325" w:lineRule="auto"/>
        <w:tabs>
          <w:tab w:leader="none" w:pos="1608" w:val="left"/>
        </w:tabs>
        <w:numPr>
          <w:ilvl w:val="0"/>
          <w:numId w:val="32"/>
        </w:numPr>
        <w:rPr>
          <w:rFonts w:ascii="Arial" w:cs="Arial" w:eastAsia="Arial" w:hAnsi="Arial"/>
          <w:sz w:val="21"/>
          <w:szCs w:val="21"/>
          <w:color w:val="auto"/>
        </w:rPr>
      </w:pPr>
      <w:r>
        <w:rPr>
          <w:rFonts w:ascii="Arial" w:cs="Arial" w:eastAsia="Arial" w:hAnsi="Arial"/>
          <w:sz w:val="21"/>
          <w:szCs w:val="21"/>
          <w:color w:val="auto"/>
        </w:rPr>
        <w:t>Assist, cause or authorize, directly or indirectly, any other person, partnership, association, corporation or other entity that Executive is employed by, consults with, obtains an ownership interest in, or in which he is materially involved in any manner as to the ownership, management, operation, or control of to engage in any of the foregoing.</w:t>
      </w:r>
    </w:p>
    <w:p>
      <w:pPr>
        <w:spacing w:after="0" w:line="58" w:lineRule="exact"/>
        <w:rPr>
          <w:rFonts w:ascii="Arial" w:cs="Arial" w:eastAsia="Arial" w:hAnsi="Arial"/>
          <w:sz w:val="21"/>
          <w:szCs w:val="21"/>
          <w:color w:val="auto"/>
        </w:rPr>
      </w:pPr>
    </w:p>
    <w:p>
      <w:pPr>
        <w:ind w:firstLine="656"/>
        <w:spacing w:after="0" w:line="341" w:lineRule="auto"/>
        <w:tabs>
          <w:tab w:leader="none" w:pos="1549" w:val="left"/>
        </w:tabs>
        <w:numPr>
          <w:ilvl w:val="0"/>
          <w:numId w:val="32"/>
        </w:numPr>
        <w:rPr>
          <w:rFonts w:ascii="Arial" w:cs="Arial" w:eastAsia="Arial" w:hAnsi="Arial"/>
          <w:sz w:val="21"/>
          <w:szCs w:val="21"/>
          <w:color w:val="auto"/>
        </w:rPr>
      </w:pPr>
      <w:r>
        <w:rPr>
          <w:rFonts w:ascii="Arial" w:cs="Arial" w:eastAsia="Arial" w:hAnsi="Arial"/>
          <w:sz w:val="21"/>
          <w:szCs w:val="21"/>
          <w:color w:val="auto"/>
        </w:rPr>
        <w:t>Executive further expressly agrees and acknowledges that he is bound by his non-competition obligations under Article 8 of his Employment Contract for a period of one (1) year commencing on the Separation Date.</w:t>
      </w:r>
    </w:p>
    <w:p>
      <w:pPr>
        <w:spacing w:after="0" w:line="43" w:lineRule="exact"/>
        <w:rPr>
          <w:sz w:val="20"/>
          <w:szCs w:val="20"/>
          <w:color w:val="auto"/>
        </w:rPr>
      </w:pPr>
    </w:p>
    <w:p>
      <w:pPr>
        <w:spacing w:after="0" w:line="400" w:lineRule="auto"/>
        <w:rPr>
          <w:sz w:val="20"/>
          <w:szCs w:val="20"/>
          <w:color w:val="auto"/>
        </w:rPr>
      </w:pPr>
      <w:r>
        <w:rPr>
          <w:rFonts w:ascii="Arial" w:cs="Arial" w:eastAsia="Arial" w:hAnsi="Arial"/>
          <w:sz w:val="19"/>
          <w:szCs w:val="19"/>
          <w:color w:val="auto"/>
        </w:rPr>
        <w:t>The restrictive covenants in this paragraph 8 shall supersede the non-competition and non-solicitation covenants set forth in Executive’s equity award agreements and such provisions shall be deemed to be replaced in their entirety by this paragraph 8.</w:t>
      </w:r>
    </w:p>
    <w:p>
      <w:pPr>
        <w:spacing w:after="0" w:line="1" w:lineRule="exact"/>
        <w:rPr>
          <w:sz w:val="20"/>
          <w:szCs w:val="20"/>
          <w:color w:val="auto"/>
        </w:rPr>
      </w:pPr>
    </w:p>
    <w:p>
      <w:pPr>
        <w:jc w:val="both"/>
        <w:ind w:firstLine="8"/>
        <w:spacing w:after="0" w:line="348" w:lineRule="auto"/>
        <w:tabs>
          <w:tab w:leader="none" w:pos="383" w:val="left"/>
        </w:tabs>
        <w:numPr>
          <w:ilvl w:val="0"/>
          <w:numId w:val="33"/>
        </w:numPr>
        <w:rPr>
          <w:rFonts w:ascii="Arial" w:cs="Arial" w:eastAsia="Arial" w:hAnsi="Arial"/>
          <w:sz w:val="19"/>
          <w:szCs w:val="19"/>
          <w:color w:val="auto"/>
        </w:rPr>
      </w:pPr>
      <w:r>
        <w:rPr>
          <w:rFonts w:ascii="Arial" w:cs="Arial" w:eastAsia="Arial" w:hAnsi="Arial"/>
          <w:sz w:val="19"/>
          <w:szCs w:val="19"/>
          <w:color w:val="auto"/>
        </w:rPr>
        <w:t>Executive shall make himself reasonably available to Altisource at no cost and upon reasonable notice during business hours to respond to inquiries of Altisource and its advisors for a period of twenty-four (24) months from the Separation Date. During such period, Executive shall fully cooperate with Altisource and, upon reasonable notice, furnish any such information and assistance to Altisource, at Altisource’s expense, as may be required by Altisource in connection with Altisource’s defense or pursuit of any litigation, administrative action or investigation in which Altisource is or hereafter becomes a party or which Altisource undertakes. Executive’s duty of cooperation includes, but is not limited to: (i) meeting with Altisource’s attorneys by telephone or in person at mutually convenient times and places in order to state truthfully his recollection of events; (ii) appearing at Altisource’s reasonable request as a witness at depositions or trials, without the necessity of a subpoena, in order to state truthfully his knowledge of matters at issue; and (iii) signing at Altisource’s request declarations or affidavits that truthfully state matters of which Executive has knowledge. In addition, Executive agrees to notify the Altisource Chief Legal and</w:t>
      </w:r>
    </w:p>
    <w:p>
      <w:pPr>
        <w:sectPr>
          <w:pgSz w:w="11900" w:h="16838" w:orient="portrait"/>
          <w:cols w:equalWidth="0" w:num="1">
            <w:col w:w="11420"/>
          </w:cols>
          <w:pgMar w:left="240" w:top="402" w:right="239" w:bottom="1440" w:gutter="0" w:footer="0" w:header="0"/>
        </w:sectPr>
      </w:pPr>
    </w:p>
    <w:bookmarkStart w:id="50" w:name="page51"/>
    <w:bookmarkEnd w:id="50"/>
    <w:p>
      <w:pPr>
        <w:ind w:right="20"/>
        <w:spacing w:after="0" w:line="315" w:lineRule="auto"/>
        <w:rPr>
          <w:sz w:val="20"/>
          <w:szCs w:val="20"/>
          <w:color w:val="auto"/>
        </w:rPr>
      </w:pPr>
      <w:r>
        <w:rPr>
          <w:rFonts w:ascii="Arial" w:cs="Arial" w:eastAsia="Arial" w:hAnsi="Arial"/>
          <w:sz w:val="22"/>
          <w:szCs w:val="22"/>
          <w:color w:val="auto"/>
        </w:rPr>
        <w:t>Compliance Officer promptly of any requests for information or testimony that he receives in connection with any litigation or investigation, pending or threatened, relating to Altisource’s business.</w:t>
      </w:r>
    </w:p>
    <w:p>
      <w:pPr>
        <w:spacing w:after="0" w:line="65"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Reserved.</w:t>
      </w:r>
    </w:p>
    <w:p>
      <w:pPr>
        <w:spacing w:after="0" w:line="165" w:lineRule="exact"/>
        <w:rPr>
          <w:rFonts w:ascii="Arial" w:cs="Arial" w:eastAsia="Arial" w:hAnsi="Arial"/>
          <w:sz w:val="22"/>
          <w:szCs w:val="22"/>
          <w:color w:val="auto"/>
        </w:rPr>
      </w:pPr>
    </w:p>
    <w:p>
      <w:pPr>
        <w:jc w:val="both"/>
        <w:ind w:firstLine="8"/>
        <w:spacing w:after="0" w:line="361" w:lineRule="auto"/>
        <w:tabs>
          <w:tab w:leader="none" w:pos="474" w:val="left"/>
        </w:tabs>
        <w:numPr>
          <w:ilvl w:val="0"/>
          <w:numId w:val="34"/>
        </w:numPr>
        <w:rPr>
          <w:rFonts w:ascii="Arial" w:cs="Arial" w:eastAsia="Arial" w:hAnsi="Arial"/>
          <w:sz w:val="19"/>
          <w:szCs w:val="19"/>
          <w:color w:val="auto"/>
        </w:rPr>
      </w:pPr>
      <w:r>
        <w:rPr>
          <w:rFonts w:ascii="Arial" w:cs="Arial" w:eastAsia="Arial" w:hAnsi="Arial"/>
          <w:sz w:val="19"/>
          <w:szCs w:val="19"/>
          <w:color w:val="auto"/>
        </w:rPr>
        <w:t>Violation of any provision of this Agreement by Executive will entitle the Company, in addition to and not in limitation of any and all other remedies available to the Company at law or in equity, to recover any and all consideration provided to Executive pursuant to paragraph 4 of this Agreement. In addition, all payments and benefits made to Executive pursuant to this Agreement shall be subject to claw-back by Altisource to the extent required by applicable law or pursuant to any Altisource claw-back policy.</w:t>
      </w:r>
    </w:p>
    <w:p>
      <w:pPr>
        <w:spacing w:after="0" w:line="35" w:lineRule="exact"/>
        <w:rPr>
          <w:rFonts w:ascii="Arial" w:cs="Arial" w:eastAsia="Arial" w:hAnsi="Arial"/>
          <w:sz w:val="19"/>
          <w:szCs w:val="19"/>
          <w:color w:val="auto"/>
        </w:rPr>
      </w:pPr>
    </w:p>
    <w:p>
      <w:pPr>
        <w:jc w:val="both"/>
        <w:ind w:firstLine="8"/>
        <w:spacing w:after="0" w:line="314" w:lineRule="auto"/>
        <w:tabs>
          <w:tab w:leader="none" w:pos="511" w:val="left"/>
        </w:tabs>
        <w:numPr>
          <w:ilvl w:val="0"/>
          <w:numId w:val="34"/>
        </w:numPr>
        <w:rPr>
          <w:rFonts w:ascii="Arial" w:cs="Arial" w:eastAsia="Arial" w:hAnsi="Arial"/>
          <w:sz w:val="21"/>
          <w:szCs w:val="21"/>
          <w:color w:val="auto"/>
        </w:rPr>
      </w:pPr>
      <w:r>
        <w:rPr>
          <w:rFonts w:ascii="Arial" w:cs="Arial" w:eastAsia="Arial" w:hAnsi="Arial"/>
          <w:sz w:val="21"/>
          <w:szCs w:val="21"/>
          <w:color w:val="auto"/>
        </w:rPr>
        <w:t>It is the intention of the Parties hereto that all questions with respect to the construction of this Agreement and the rights and liabilities of the Parties hereunder shall be determined in accordance with the laws of the Grand Duchy of Luxembourg. Any dispute with respect to the construction of this Agreement and the rights and liabilities of the Parties hereunder will be brought before the courts and tribunals in the district of Luxembourg City. Notwithstanding the foregoing, Executive irrevocably and unconditionally agrees that any action commenced by Altisource for preliminary and permanent injunctive relief or other equitable relief under this Agreement, may also be brought in a United States District Court or, if such court does not have jurisdiction or will not accept jurisdiction, in any court of general jurisdiction in the United States.</w:t>
      </w:r>
    </w:p>
    <w:p>
      <w:pPr>
        <w:spacing w:after="0" w:line="70" w:lineRule="exact"/>
        <w:rPr>
          <w:rFonts w:ascii="Arial" w:cs="Arial" w:eastAsia="Arial" w:hAnsi="Arial"/>
          <w:sz w:val="21"/>
          <w:szCs w:val="21"/>
          <w:color w:val="auto"/>
        </w:rPr>
      </w:pPr>
    </w:p>
    <w:p>
      <w:pPr>
        <w:jc w:val="both"/>
        <w:ind w:firstLine="8"/>
        <w:spacing w:after="0" w:line="299" w:lineRule="auto"/>
        <w:tabs>
          <w:tab w:leader="none" w:pos="664"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This Agreement sets forth all the promises and agreements between the Parties concerning Executive’s separation of employment and supersedes all prior and contemporaneous agreements, understandings, inducements or conditions, express or implied, oral or written, except as contained herein. Notwithstanding any term contained herein, Executive acknowledges and reaffirms his obligations in the Employee Intellectual Property Agreement and understands that those obligations remain effective following his separation from the Company.</w:t>
      </w:r>
    </w:p>
    <w:p>
      <w:pPr>
        <w:spacing w:after="0" w:line="85" w:lineRule="exact"/>
        <w:rPr>
          <w:rFonts w:ascii="Arial" w:cs="Arial" w:eastAsia="Arial" w:hAnsi="Arial"/>
          <w:sz w:val="22"/>
          <w:szCs w:val="22"/>
          <w:color w:val="auto"/>
        </w:rPr>
      </w:pPr>
    </w:p>
    <w:p>
      <w:pPr>
        <w:jc w:val="both"/>
        <w:ind w:firstLine="8"/>
        <w:spacing w:after="0" w:line="301" w:lineRule="auto"/>
        <w:tabs>
          <w:tab w:leader="none" w:pos="529" w:val="left"/>
        </w:tabs>
        <w:numPr>
          <w:ilvl w:val="0"/>
          <w:numId w:val="34"/>
        </w:numPr>
        <w:rPr>
          <w:rFonts w:ascii="Arial" w:cs="Arial" w:eastAsia="Arial" w:hAnsi="Arial"/>
          <w:sz w:val="22"/>
          <w:szCs w:val="22"/>
          <w:color w:val="auto"/>
        </w:rPr>
      </w:pPr>
      <w:r>
        <w:rPr>
          <w:rFonts w:ascii="Arial" w:cs="Arial" w:eastAsia="Arial" w:hAnsi="Arial"/>
          <w:sz w:val="22"/>
          <w:szCs w:val="22"/>
          <w:color w:val="auto"/>
        </w:rPr>
        <w:t>Both Parties acknowledge that they have had the opportunity to freely consult, if they so desire, with attorneys of their own choosing prior to signing this document regarding the contents and consequences of this document. The Parties understand that the payment and other matters agreed to herein are not to be construed as an admission of or evidence of liability for any violation of the law, willful or otherwise, by any person or entity.</w:t>
      </w:r>
    </w:p>
    <w:p>
      <w:pPr>
        <w:spacing w:after="0" w:line="81" w:lineRule="exact"/>
        <w:rPr>
          <w:rFonts w:ascii="Arial" w:cs="Arial" w:eastAsia="Arial" w:hAnsi="Arial"/>
          <w:sz w:val="22"/>
          <w:szCs w:val="22"/>
          <w:color w:val="auto"/>
        </w:rPr>
      </w:pPr>
    </w:p>
    <w:p>
      <w:pPr>
        <w:ind w:left="500" w:hanging="492"/>
        <w:spacing w:after="0"/>
        <w:tabs>
          <w:tab w:leader="none" w:pos="5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Executive voluntarily, knowingly and without coercion enters into this Agreement.</w:t>
      </w:r>
    </w:p>
    <w:p>
      <w:pPr>
        <w:spacing w:after="0" w:line="165" w:lineRule="exact"/>
        <w:rPr>
          <w:rFonts w:ascii="Arial" w:cs="Arial" w:eastAsia="Arial" w:hAnsi="Arial"/>
          <w:sz w:val="22"/>
          <w:szCs w:val="22"/>
          <w:color w:val="auto"/>
        </w:rPr>
      </w:pPr>
    </w:p>
    <w:p>
      <w:pPr>
        <w:ind w:left="500" w:hanging="492"/>
        <w:spacing w:after="0"/>
        <w:tabs>
          <w:tab w:leader="none" w:pos="5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Each Party executes this Agreement in good faith.</w:t>
      </w:r>
    </w:p>
    <w:p>
      <w:pPr>
        <w:spacing w:after="0" w:line="165" w:lineRule="exact"/>
        <w:rPr>
          <w:rFonts w:ascii="Arial" w:cs="Arial" w:eastAsia="Arial" w:hAnsi="Arial"/>
          <w:sz w:val="22"/>
          <w:szCs w:val="22"/>
          <w:color w:val="auto"/>
        </w:rPr>
      </w:pPr>
    </w:p>
    <w:p>
      <w:pPr>
        <w:ind w:firstLine="8"/>
        <w:spacing w:after="0" w:line="315" w:lineRule="auto"/>
        <w:tabs>
          <w:tab w:leader="none" w:pos="504"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construction of the covenants contained herein shall be in favor of their reasonable nature, legality, and enforceability, in that any reading causing unenforceability shall yield to a</w:t>
      </w:r>
    </w:p>
    <w:p>
      <w:pPr>
        <w:sectPr>
          <w:pgSz w:w="11900" w:h="16838" w:orient="portrait"/>
          <w:cols w:equalWidth="0" w:num="1">
            <w:col w:w="11420"/>
          </w:cols>
          <w:pgMar w:left="240" w:top="402" w:right="239" w:bottom="1440" w:gutter="0" w:footer="0" w:header="0"/>
        </w:sectPr>
      </w:pPr>
    </w:p>
    <w:bookmarkStart w:id="51" w:name="page52"/>
    <w:bookmarkEnd w:id="51"/>
    <w:p>
      <w:pPr>
        <w:jc w:val="both"/>
        <w:spacing w:after="0" w:line="301" w:lineRule="auto"/>
        <w:rPr>
          <w:sz w:val="20"/>
          <w:szCs w:val="20"/>
          <w:color w:val="auto"/>
        </w:rPr>
      </w:pPr>
      <w:r>
        <w:rPr>
          <w:rFonts w:ascii="Arial" w:cs="Arial" w:eastAsia="Arial" w:hAnsi="Arial"/>
          <w:sz w:val="22"/>
          <w:szCs w:val="22"/>
          <w:color w:val="auto"/>
        </w:rPr>
        <w:t>construction permitting enforceability. If any single covenant or clause shall be found unenforceable, it shall be severed and the remaining covenants and clauses enforced in accordance with the tenor of this Agreement. In the event a court should determine not to enforce a covenant as written due to overbreadth, said covenant shall be enforced to the extent reasonable, whether said revisions be in time, territory or scope of prohibited activities.</w:t>
      </w:r>
    </w:p>
    <w:p>
      <w:pPr>
        <w:spacing w:after="0" w:line="81" w:lineRule="exact"/>
        <w:rPr>
          <w:sz w:val="20"/>
          <w:szCs w:val="20"/>
          <w:color w:val="auto"/>
        </w:rPr>
      </w:pPr>
    </w:p>
    <w:p>
      <w:pPr>
        <w:jc w:val="both"/>
        <w:ind w:firstLine="8"/>
        <w:spacing w:after="0" w:line="314" w:lineRule="auto"/>
        <w:tabs>
          <w:tab w:leader="none" w:pos="587" w:val="left"/>
        </w:tabs>
        <w:numPr>
          <w:ilvl w:val="0"/>
          <w:numId w:val="35"/>
        </w:numPr>
        <w:rPr>
          <w:rFonts w:ascii="Arial" w:cs="Arial" w:eastAsia="Arial" w:hAnsi="Arial"/>
          <w:sz w:val="21"/>
          <w:szCs w:val="21"/>
          <w:color w:val="auto"/>
        </w:rPr>
      </w:pPr>
      <w:r>
        <w:rPr>
          <w:rFonts w:ascii="Arial" w:cs="Arial" w:eastAsia="Arial" w:hAnsi="Arial"/>
          <w:sz w:val="21"/>
          <w:szCs w:val="21"/>
          <w:color w:val="auto"/>
        </w:rPr>
        <w:t>In signing this Agreement, Executive acknowledges and certifies that: (i) he has carefully read and fully understands the provisions of this Agreement; (ii) the Company has, by this Agreement, advised him to consult with an attorney of his choice before signing this Agreement, and he has had an opportunity to do so; (iii) he has been allowed a reasonable period of time after receiving this Agreement (up to 21 days) in which to consider this Agreement before signing, and that if he signs this Agreement prior to the expiration of the twenty-one (21) day review period, he is voluntarily and knowingly waiving his twenty-one (21) day review period; and (iv) he agrees to the terms of this Agreement knowingly, voluntarily and without intimidation, coercion or pressure, and he intends to be legally bound by the Agreement.</w:t>
      </w:r>
    </w:p>
    <w:p>
      <w:pPr>
        <w:spacing w:after="0" w:line="70" w:lineRule="exact"/>
        <w:rPr>
          <w:rFonts w:ascii="Arial" w:cs="Arial" w:eastAsia="Arial" w:hAnsi="Arial"/>
          <w:sz w:val="21"/>
          <w:szCs w:val="21"/>
          <w:color w:val="auto"/>
        </w:rPr>
      </w:pPr>
    </w:p>
    <w:p>
      <w:pPr>
        <w:jc w:val="both"/>
        <w:ind w:firstLine="8"/>
        <w:spacing w:after="0" w:line="356" w:lineRule="auto"/>
        <w:tabs>
          <w:tab w:leader="none" w:pos="531" w:val="left"/>
        </w:tabs>
        <w:numPr>
          <w:ilvl w:val="0"/>
          <w:numId w:val="35"/>
        </w:numPr>
        <w:rPr>
          <w:rFonts w:ascii="Arial" w:cs="Arial" w:eastAsia="Arial" w:hAnsi="Arial"/>
          <w:sz w:val="19"/>
          <w:szCs w:val="19"/>
          <w:color w:val="auto"/>
        </w:rPr>
      </w:pPr>
      <w:r>
        <w:rPr>
          <w:rFonts w:ascii="Arial" w:cs="Arial" w:eastAsia="Arial" w:hAnsi="Arial"/>
          <w:sz w:val="19"/>
          <w:szCs w:val="19"/>
          <w:color w:val="auto"/>
        </w:rPr>
        <w:t>Executive may revoke this Agreement within seven (7) calendar days after he signs it. If he revokes it during that period, it will be null and void, and he will not be entitled to any of the benefits set forth in this Agreement. To revoke, Executive must ensure that written notice of revocation, sent by email, is received by the Chief Legal and Compliance Officer, by no later than 5:00 p.m. on the seventh calendar day after he signs the Agreement. If Executive does not revoke the Agreement during that seven-day revocation period, the effective date of the Agreement shall be the day after the seven-day period has expired.</w:t>
      </w:r>
    </w:p>
    <w:p>
      <w:pPr>
        <w:spacing w:after="0" w:line="40" w:lineRule="exact"/>
        <w:rPr>
          <w:rFonts w:ascii="Arial" w:cs="Arial" w:eastAsia="Arial" w:hAnsi="Arial"/>
          <w:sz w:val="19"/>
          <w:szCs w:val="19"/>
          <w:color w:val="auto"/>
        </w:rPr>
      </w:pPr>
    </w:p>
    <w:p>
      <w:pPr>
        <w:ind w:left="500" w:hanging="492"/>
        <w:spacing w:after="0"/>
        <w:tabs>
          <w:tab w:leader="none" w:pos="5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This Agreement is made in two originals, each Party acknowledging having received one original.</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hereby voluntarily and knowingly enter into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gridSpan w:val="2"/>
          </w:tcPr>
          <w:p>
            <w:pPr>
              <w:spacing w:after="0"/>
              <w:rPr>
                <w:sz w:val="20"/>
                <w:szCs w:val="20"/>
                <w:color w:val="auto"/>
              </w:rPr>
            </w:pPr>
            <w:r>
              <w:rPr>
                <w:rFonts w:ascii="Arial" w:cs="Arial" w:eastAsia="Arial" w:hAnsi="Arial"/>
                <w:sz w:val="22"/>
                <w:szCs w:val="22"/>
                <w:color w:val="auto"/>
              </w:rPr>
              <w:t>By: /s/ Gregory J. Ritts</w:t>
            </w:r>
          </w:p>
        </w:tc>
        <w:tc>
          <w:tcPr>
            <w:tcW w:w="4780" w:type="dxa"/>
            <w:vAlign w:val="bottom"/>
            <w:gridSpan w:val="4"/>
          </w:tcPr>
          <w:p>
            <w:pPr>
              <w:ind w:left="440"/>
              <w:spacing w:after="0"/>
              <w:rPr>
                <w:sz w:val="20"/>
                <w:szCs w:val="20"/>
                <w:color w:val="auto"/>
              </w:rPr>
            </w:pPr>
            <w:r>
              <w:rPr>
                <w:rFonts w:ascii="Arial" w:cs="Arial" w:eastAsia="Arial" w:hAnsi="Arial"/>
                <w:sz w:val="22"/>
                <w:szCs w:val="22"/>
                <w:color w:val="auto"/>
              </w:rPr>
              <w:t>By: /s/ Kevin J. Wilcox</w:t>
            </w:r>
          </w:p>
        </w:tc>
      </w:tr>
      <w:tr>
        <w:trPr>
          <w:trHeight w:val="20"/>
        </w:trPr>
        <w:tc>
          <w:tcPr>
            <w:tcW w:w="3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49"/>
        </w:trPr>
        <w:tc>
          <w:tcPr>
            <w:tcW w:w="2440" w:type="dxa"/>
            <w:vAlign w:val="bottom"/>
            <w:gridSpan w:val="2"/>
          </w:tcPr>
          <w:p>
            <w:pPr>
              <w:spacing w:after="0"/>
              <w:rPr>
                <w:sz w:val="20"/>
                <w:szCs w:val="20"/>
                <w:color w:val="auto"/>
              </w:rPr>
            </w:pPr>
            <w:r>
              <w:rPr>
                <w:rFonts w:ascii="Arial" w:cs="Arial" w:eastAsia="Arial" w:hAnsi="Arial"/>
                <w:sz w:val="22"/>
                <w:szCs w:val="22"/>
                <w:color w:val="auto"/>
              </w:rPr>
              <w:t>Gregory J. Ritts</w:t>
            </w:r>
          </w:p>
        </w:tc>
        <w:tc>
          <w:tcPr>
            <w:tcW w:w="4780" w:type="dxa"/>
            <w:vAlign w:val="bottom"/>
            <w:gridSpan w:val="4"/>
          </w:tcPr>
          <w:p>
            <w:pPr>
              <w:ind w:left="80"/>
              <w:spacing w:after="0"/>
              <w:rPr>
                <w:sz w:val="20"/>
                <w:szCs w:val="20"/>
                <w:color w:val="auto"/>
              </w:rPr>
            </w:pPr>
            <w:r>
              <w:rPr>
                <w:rFonts w:ascii="Arial" w:cs="Arial" w:eastAsia="Arial" w:hAnsi="Arial"/>
                <w:sz w:val="22"/>
                <w:szCs w:val="22"/>
                <w:color w:val="auto"/>
              </w:rPr>
              <w:t>Kevin J. Wilcox</w:t>
            </w:r>
          </w:p>
        </w:tc>
      </w:tr>
      <w:tr>
        <w:trPr>
          <w:trHeight w:val="689"/>
        </w:trPr>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80" w:type="dxa"/>
            <w:vAlign w:val="bottom"/>
            <w:gridSpan w:val="3"/>
          </w:tcPr>
          <w:p>
            <w:pPr>
              <w:ind w:left="660"/>
              <w:spacing w:after="0"/>
              <w:rPr>
                <w:sz w:val="20"/>
                <w:szCs w:val="20"/>
                <w:color w:val="auto"/>
              </w:rPr>
            </w:pPr>
            <w:r>
              <w:rPr>
                <w:rFonts w:ascii="Arial" w:cs="Arial" w:eastAsia="Arial" w:hAnsi="Arial"/>
                <w:sz w:val="22"/>
                <w:szCs w:val="22"/>
                <w:color w:val="auto"/>
              </w:rPr>
              <w:t>ALTISOURCE S.À R.L.</w:t>
            </w:r>
          </w:p>
        </w:tc>
      </w:tr>
      <w:tr>
        <w:trPr>
          <w:trHeight w:val="368"/>
        </w:trPr>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80" w:type="dxa"/>
            <w:vAlign w:val="bottom"/>
            <w:gridSpan w:val="3"/>
          </w:tcPr>
          <w:p>
            <w:pPr>
              <w:ind w:left="1300"/>
              <w:spacing w:after="0"/>
              <w:rPr>
                <w:sz w:val="20"/>
                <w:szCs w:val="20"/>
                <w:color w:val="auto"/>
              </w:rPr>
            </w:pPr>
            <w:r>
              <w:rPr>
                <w:rFonts w:ascii="Arial" w:cs="Arial" w:eastAsia="Arial" w:hAnsi="Arial"/>
                <w:sz w:val="22"/>
                <w:szCs w:val="22"/>
                <w:color w:val="auto"/>
              </w:rPr>
              <w:t>By: /s/ William B. Shepro</w:t>
            </w:r>
          </w:p>
        </w:tc>
      </w:tr>
      <w:tr>
        <w:trPr>
          <w:trHeight w:val="20"/>
        </w:trPr>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00" w:type="dxa"/>
            <w:vAlign w:val="bottom"/>
            <w:gridSpan w:val="2"/>
            <w:shd w:val="clear" w:color="auto" w:fill="000000"/>
          </w:tcPr>
          <w:p>
            <w:pPr>
              <w:spacing w:after="0" w:line="20" w:lineRule="exact"/>
              <w:rPr>
                <w:sz w:val="1"/>
                <w:szCs w:val="1"/>
                <w:color w:val="auto"/>
              </w:rPr>
            </w:pPr>
          </w:p>
        </w:tc>
      </w:tr>
      <w:tr>
        <w:trPr>
          <w:trHeight w:val="404"/>
        </w:trPr>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80" w:type="dxa"/>
            <w:vAlign w:val="bottom"/>
            <w:gridSpan w:val="3"/>
          </w:tcPr>
          <w:p>
            <w:pPr>
              <w:ind w:left="860"/>
              <w:spacing w:after="0"/>
              <w:rPr>
                <w:sz w:val="20"/>
                <w:szCs w:val="20"/>
                <w:color w:val="auto"/>
              </w:rPr>
            </w:pPr>
            <w:r>
              <w:rPr>
                <w:rFonts w:ascii="Arial" w:cs="Arial" w:eastAsia="Arial" w:hAnsi="Arial"/>
                <w:sz w:val="22"/>
                <w:szCs w:val="22"/>
                <w:color w:val="auto"/>
              </w:rPr>
              <w:t>William B. Shepro</w:t>
            </w:r>
          </w:p>
        </w:tc>
      </w:tr>
      <w:tr>
        <w:trPr>
          <w:trHeight w:val="275"/>
        </w:trPr>
        <w:tc>
          <w:tcPr>
            <w:tcW w:w="3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980" w:type="dxa"/>
            <w:vAlign w:val="bottom"/>
            <w:gridSpan w:val="3"/>
          </w:tcPr>
          <w:p>
            <w:pPr>
              <w:ind w:left="880"/>
              <w:spacing w:after="0"/>
              <w:rPr>
                <w:sz w:val="20"/>
                <w:szCs w:val="20"/>
                <w:color w:val="auto"/>
              </w:rPr>
            </w:pPr>
            <w:r>
              <w:rPr>
                <w:rFonts w:ascii="Arial" w:cs="Arial" w:eastAsia="Arial" w:hAnsi="Arial"/>
                <w:sz w:val="22"/>
                <w:szCs w:val="22"/>
                <w:color w:val="auto"/>
              </w:rPr>
              <w:t>Manager</w:t>
            </w:r>
          </w:p>
        </w:tc>
      </w:tr>
    </w:tbl>
    <w:p>
      <w:pPr>
        <w:sectPr>
          <w:pgSz w:w="11900" w:h="16838" w:orient="portrait"/>
          <w:cols w:equalWidth="0" w:num="1">
            <w:col w:w="11420"/>
          </w:cols>
          <w:pgMar w:left="240" w:top="40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2019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6540" w:val="left"/>
          <w:tab w:leader="none" w:pos="6980" w:val="left"/>
        </w:tabs>
        <w:rPr>
          <w:sz w:val="20"/>
          <w:szCs w:val="20"/>
          <w:color w:val="auto"/>
        </w:rPr>
      </w:pPr>
      <w:r>
        <w:rPr>
          <w:rFonts w:ascii="Arial" w:cs="Arial" w:eastAsia="Arial" w:hAnsi="Arial"/>
          <w:sz w:val="18"/>
          <w:szCs w:val="18"/>
          <w:color w:val="auto"/>
        </w:rPr>
        <w:t>Date: October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2019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6540" w:val="left"/>
          <w:tab w:leader="none" w:pos="6980" w:val="left"/>
        </w:tabs>
        <w:rPr>
          <w:sz w:val="20"/>
          <w:szCs w:val="20"/>
          <w:color w:val="auto"/>
        </w:rPr>
      </w:pPr>
      <w:r>
        <w:rPr>
          <w:rFonts w:ascii="Arial" w:cs="Arial" w:eastAsia="Arial" w:hAnsi="Arial"/>
          <w:sz w:val="18"/>
          <w:szCs w:val="18"/>
          <w:color w:val="auto"/>
        </w:rPr>
        <w:t>Date: October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2019</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Altisource Portfolio Solutions S.A. (the “Company”) for the quarterly period ended September 30, 2019,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4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ind w:left="20"/>
              <w:spacing w:after="0"/>
              <w:rPr>
                <w:sz w:val="20"/>
                <w:szCs w:val="20"/>
                <w:color w:val="auto"/>
              </w:rPr>
            </w:pPr>
            <w:r>
              <w:rPr>
                <w:rFonts w:ascii="Arial" w:cs="Arial" w:eastAsia="Arial" w:hAnsi="Arial"/>
                <w:sz w:val="18"/>
                <w:szCs w:val="18"/>
                <w:color w:val="auto"/>
              </w:rPr>
              <w:t>/s/ William B. Shepro</w:t>
            </w:r>
          </w:p>
        </w:tc>
        <w:tc>
          <w:tcPr>
            <w:tcW w:w="1000" w:type="dxa"/>
            <w:vAlign w:val="bottom"/>
          </w:tcPr>
          <w:p>
            <w:pPr>
              <w:ind w:left="480"/>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0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c>
          <w:tcPr>
            <w:tcW w:w="100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0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October 24, 2019</w:t>
            </w:r>
          </w:p>
        </w:tc>
        <w:tc>
          <w:tcPr>
            <w:tcW w:w="100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October 24, 2019</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lowerRoman"/>
      <w:start w:val="1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2"/>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endash "/>
      <w:numFmt w:val="bullet"/>
      <w:start w:val="1"/>
    </w:lvl>
  </w:abstractNum>
  <w:abstractNum w:abstractNumId="22">
    <w:nsid w:val="1E7FF521"/>
    <w:multiLevelType w:val="hybridMultilevel"/>
    <w:lvl w:ilvl="0">
      <w:lvlJc w:val="left"/>
      <w:lvlText w:val="%1."/>
      <w:numFmt w:val="decimal"/>
      <w:start w:val="1"/>
    </w:lvl>
    <w:lvl w:ilvl="1">
      <w:lvlJc w:val="left"/>
      <w:lvlText w:val="(%2)"/>
      <w:numFmt w:val="lowerRoman"/>
      <w:start w:val="1"/>
    </w:lvl>
  </w:abstractNum>
  <w:abstractNum w:abstractNumId="23">
    <w:nsid w:val="7C3DBD3D"/>
    <w:multiLevelType w:val="hybridMultilevel"/>
    <w:lvl w:ilvl="0">
      <w:lvlJc w:val="left"/>
      <w:lvlText w:val="%1"/>
      <w:numFmt w:val="decimal"/>
      <w:start w:val="1"/>
    </w:lvl>
    <w:lvl w:ilvl="1">
      <w:lvlJc w:val="left"/>
      <w:lvlText w:val="(%2)"/>
      <w:numFmt w:val="lowerRoman"/>
      <w:start w:val="3"/>
    </w:lvl>
  </w:abstractNum>
  <w:abstractNum w:abstractNumId="24">
    <w:nsid w:val="737B8DDC"/>
    <w:multiLevelType w:val="hybridMultilevel"/>
    <w:lvl w:ilvl="0">
      <w:lvlJc w:val="left"/>
      <w:lvlText w:val="%1."/>
      <w:numFmt w:val="decimal"/>
      <w:start w:val="3"/>
    </w:lvl>
    <w:lvl w:ilvl="1">
      <w:lvlJc w:val="left"/>
      <w:lvlText w:val="(%2)"/>
      <w:numFmt w:val="lowerRoman"/>
      <w:start w:val="1"/>
    </w:lvl>
  </w:abstractNum>
  <w:abstractNum w:abstractNumId="25">
    <w:nsid w:val="6CEAF087"/>
    <w:multiLevelType w:val="hybridMultilevel"/>
    <w:lvl w:ilvl="0">
      <w:lvlJc w:val="left"/>
      <w:lvlText w:val="(%1)"/>
      <w:numFmt w:val="lowerRoman"/>
      <w:start w:val="6"/>
    </w:lvl>
  </w:abstractNum>
  <w:abstractNum w:abstractNumId="26">
    <w:nsid w:val="22221A70"/>
    <w:multiLevelType w:val="hybridMultilevel"/>
    <w:lvl w:ilvl="0">
      <w:lvlJc w:val="left"/>
      <w:lvlText w:val="(%1)"/>
      <w:numFmt w:val="lowerRoman"/>
      <w:start w:val="7"/>
    </w:lvl>
  </w:abstractNum>
  <w:abstractNum w:abstractNumId="27">
    <w:nsid w:val="4516DDE9"/>
    <w:multiLevelType w:val="hybridMultilevel"/>
    <w:lvl w:ilvl="0">
      <w:lvlJc w:val="left"/>
      <w:lvlText w:val="%1"/>
      <w:numFmt w:val="decimal"/>
      <w:start w:val="1"/>
    </w:lvl>
    <w:lvl w:ilvl="1">
      <w:lvlJc w:val="left"/>
      <w:lvlText w:val="(%2)"/>
      <w:numFmt w:val="lowerRoman"/>
      <w:start w:val="8"/>
    </w:lvl>
  </w:abstractNum>
  <w:abstractNum w:abstractNumId="28">
    <w:nsid w:val="3006C83E"/>
    <w:multiLevelType w:val="hybridMultilevel"/>
    <w:lvl w:ilvl="0">
      <w:lvlJc w:val="left"/>
      <w:lvlText w:val="%1."/>
      <w:numFmt w:val="decimal"/>
      <w:start w:val="5"/>
    </w:lvl>
    <w:lvl w:ilvl="1">
      <w:lvlJc w:val="left"/>
      <w:lvlText w:val="%2"/>
      <w:numFmt w:val="lowerRoman"/>
      <w:start w:val="1"/>
    </w:lvl>
  </w:abstractNum>
  <w:abstractNum w:abstractNumId="29">
    <w:nsid w:val="614FD4A1"/>
    <w:multiLevelType w:val="hybridMultilevel"/>
    <w:lvl w:ilvl="0">
      <w:lvlJc w:val="left"/>
      <w:lvlText w:val="%1."/>
      <w:numFmt w:val="decimal"/>
      <w:start w:val="7"/>
    </w:lvl>
    <w:lvl w:ilvl="1">
      <w:lvlJc w:val="left"/>
      <w:lvlText w:val="(%2)"/>
      <w:numFmt w:val="lowerRoman"/>
      <w:start w:val="1"/>
    </w:lvl>
  </w:abstractNum>
  <w:abstractNum w:abstractNumId="30">
    <w:nsid w:val="419AC241"/>
    <w:multiLevelType w:val="hybridMultilevel"/>
    <w:lvl w:ilvl="0">
      <w:lvlJc w:val="left"/>
      <w:lvlText w:val="%1"/>
      <w:numFmt w:val="lowerRoman"/>
      <w:start w:val="1"/>
    </w:lvl>
    <w:lvl w:ilvl="1">
      <w:lvlJc w:val="left"/>
      <w:lvlText w:val="(%2)"/>
      <w:numFmt w:val="lowerRoman"/>
      <w:start w:val="2"/>
    </w:lvl>
  </w:abstractNum>
  <w:abstractNum w:abstractNumId="31">
    <w:nsid w:val="5577F8E1"/>
    <w:multiLevelType w:val="hybridMultilevel"/>
    <w:lvl w:ilvl="0">
      <w:lvlJc w:val="left"/>
      <w:lvlText w:val="(%1)"/>
      <w:numFmt w:val="lowerRoman"/>
      <w:start w:val="3"/>
    </w:lvl>
    <w:lvl w:ilvl="1">
      <w:lvlJc w:val="left"/>
      <w:lvlText w:val="%2"/>
      <w:numFmt w:val="lowerRoman"/>
      <w:start w:val="1"/>
    </w:lvl>
  </w:abstractNum>
  <w:abstractNum w:abstractNumId="32">
    <w:nsid w:val="440BADFC"/>
    <w:multiLevelType w:val="hybridMultilevel"/>
    <w:lvl w:ilvl="0">
      <w:lvlJc w:val="left"/>
      <w:lvlText w:val="%1."/>
      <w:numFmt w:val="decimal"/>
      <w:start w:val="9"/>
    </w:lvl>
  </w:abstractNum>
  <w:abstractNum w:abstractNumId="33">
    <w:nsid w:val="5072367"/>
    <w:multiLevelType w:val="hybridMultilevel"/>
    <w:lvl w:ilvl="0">
      <w:lvlJc w:val="left"/>
      <w:lvlText w:val="%1."/>
      <w:numFmt w:val="decimal"/>
      <w:start w:val="10"/>
    </w:lvl>
  </w:abstractNum>
  <w:abstractNum w:abstractNumId="34">
    <w:nsid w:val="3804823E"/>
    <w:multiLevelType w:val="hybridMultilevel"/>
    <w:lvl w:ilvl="0">
      <w:lvlJc w:val="left"/>
      <w:lvlText w:val="%1."/>
      <w:numFmt w:val="decimal"/>
      <w:start w:val="18"/>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2019-12-28T04:35:54Z</dcterms:created>
  <dcterms:modified xsi:type="dcterms:W3CDTF">2019-12-28T04:35:54Z</dcterms:modified>
</cp:coreProperties>
</file>