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111760</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88900</wp:posOffset>
            </wp:positionV>
            <wp:extent cx="18345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91" w:lineRule="exact"/>
        <w:rPr>
          <w:sz w:val="24"/>
          <w:szCs w:val="24"/>
          <w:color w:val="auto"/>
        </w:rPr>
      </w:pPr>
    </w:p>
    <w:p>
      <w:pPr>
        <w:ind w:left="58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380" w:hanging="562"/>
        <w:spacing w:after="0"/>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9" w:lineRule="exact"/>
        <w:rPr>
          <w:sz w:val="24"/>
          <w:szCs w:val="24"/>
          <w:color w:val="auto"/>
        </w:rPr>
      </w:pPr>
    </w:p>
    <w:p>
      <w:pPr>
        <w:ind w:left="1380" w:hanging="562"/>
        <w:spacing w:after="0"/>
        <w:tabs>
          <w:tab w:leader="none" w:pos="13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88900</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ALTISOURCE PORTFOLIO SOLUTIONS S.A.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129" w:right="339" w:bottom="1440" w:gutter="0" w:footer="0" w:header="0"/>
        </w:sectPr>
      </w:pPr>
    </w:p>
    <w:p>
      <w:pPr>
        <w:spacing w:after="0" w:line="129"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Luxembourg</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98-0554932</w:t>
      </w:r>
    </w:p>
    <w:p>
      <w:pPr>
        <w:spacing w:after="0" w:line="50" w:lineRule="exact"/>
        <w:rPr>
          <w:sz w:val="24"/>
          <w:szCs w:val="24"/>
          <w:color w:val="auto"/>
        </w:rPr>
      </w:pPr>
    </w:p>
    <w:p>
      <w:pPr>
        <w:sectPr>
          <w:pgSz w:w="11900" w:h="16838" w:orient="portrait"/>
          <w:cols w:equalWidth="0" w:num="2">
            <w:col w:w="7360" w:space="720"/>
            <w:col w:w="3160"/>
          </w:cols>
          <w:pgMar w:left="320" w:top="1129" w:right="33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25" w:lineRule="exact"/>
        <w:rPr>
          <w:sz w:val="24"/>
          <w:szCs w:val="24"/>
          <w:color w:val="auto"/>
        </w:rPr>
      </w:pPr>
    </w:p>
    <w:p>
      <w:pPr>
        <w:sectPr>
          <w:pgSz w:w="11900" w:h="16838" w:orient="portrait"/>
          <w:cols w:equalWidth="0" w:num="2">
            <w:col w:w="6720" w:space="720"/>
            <w:col w:w="3800"/>
          </w:cols>
          <w:pgMar w:left="320" w:top="112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 Boulevard Prince Henri</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L-1724 Luxembourg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Grand Duchy of Luxembourg</w:t>
      </w:r>
    </w:p>
    <w:p>
      <w:pPr>
        <w:jc w:val="center"/>
        <w:spacing w:after="0"/>
        <w:rPr>
          <w:sz w:val="20"/>
          <w:szCs w:val="20"/>
          <w:color w:val="auto"/>
        </w:rPr>
      </w:pPr>
      <w:r>
        <w:rPr>
          <w:rFonts w:ascii="Arial" w:cs="Arial" w:eastAsia="Arial" w:hAnsi="Arial"/>
          <w:sz w:val="16"/>
          <w:szCs w:val="16"/>
          <w:b w:val="1"/>
          <w:bCs w:val="1"/>
          <w:color w:val="auto"/>
        </w:rPr>
        <w:t>(352) 27 61 49 00</w:t>
      </w:r>
    </w:p>
    <w:p>
      <w:pPr>
        <w:jc w:val="center"/>
        <w:spacing w:after="0"/>
        <w:rPr>
          <w:sz w:val="20"/>
          <w:szCs w:val="20"/>
          <w:color w:val="auto"/>
        </w:rPr>
      </w:pPr>
      <w:r>
        <w:rPr>
          <w:rFonts w:ascii="Arial" w:cs="Arial" w:eastAsia="Arial" w:hAnsi="Arial"/>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73660</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b w:val="1"/>
                <w:bCs w:val="1"/>
                <w:color w:val="auto"/>
                <w:w w:val="88"/>
              </w:rPr>
              <w:t>Title of each class</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680" w:type="dxa"/>
            <w:vAlign w:val="bottom"/>
          </w:tcPr>
          <w:p>
            <w:pPr>
              <w:jc w:val="center"/>
              <w:ind w:left="899"/>
              <w:spacing w:after="0"/>
              <w:rPr>
                <w:sz w:val="20"/>
                <w:szCs w:val="20"/>
                <w:color w:val="auto"/>
              </w:rPr>
            </w:pPr>
            <w:r>
              <w:rPr>
                <w:rFonts w:ascii="Arial" w:cs="Arial" w:eastAsia="Arial" w:hAnsi="Arial"/>
                <w:sz w:val="16"/>
                <w:szCs w:val="16"/>
                <w:color w:val="auto"/>
                <w:w w:val="91"/>
              </w:rPr>
              <w:t>Common Stock, $1.00 par value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3"/>
          </w:tcPr>
          <w:p>
            <w:pPr>
              <w:jc w:val="center"/>
              <w:ind w:right="860"/>
              <w:spacing w:after="0"/>
              <w:rPr>
                <w:sz w:val="20"/>
                <w:szCs w:val="20"/>
                <w:color w:val="auto"/>
              </w:rPr>
            </w:pPr>
            <w:r>
              <w:rPr>
                <w:rFonts w:ascii="Arial" w:cs="Arial" w:eastAsia="Arial" w:hAnsi="Arial"/>
                <w:sz w:val="16"/>
                <w:szCs w:val="16"/>
                <w:color w:val="auto"/>
                <w:w w:val="93"/>
              </w:rPr>
              <w:t>ASPS</w:t>
            </w:r>
          </w:p>
        </w:tc>
        <w:tc>
          <w:tcPr>
            <w:tcW w:w="3900" w:type="dxa"/>
            <w:vAlign w:val="bottom"/>
          </w:tcPr>
          <w:p>
            <w:pPr>
              <w:jc w:val="center"/>
              <w:ind w:right="679"/>
              <w:spacing w:after="0"/>
              <w:rPr>
                <w:sz w:val="20"/>
                <w:szCs w:val="20"/>
                <w:color w:val="auto"/>
              </w:rPr>
            </w:pPr>
            <w:r>
              <w:rPr>
                <w:rFonts w:ascii="Arial" w:cs="Arial" w:eastAsia="Arial" w:hAnsi="Arial"/>
                <w:sz w:val="16"/>
                <w:szCs w:val="16"/>
                <w:color w:val="auto"/>
                <w:w w:val="95"/>
              </w:rPr>
              <w:t>NASDAQ Global Select Market</w:t>
            </w:r>
          </w:p>
        </w:tc>
      </w:tr>
      <w:tr>
        <w:trPr>
          <w:trHeight w:val="235"/>
        </w:trPr>
        <w:tc>
          <w:tcPr>
            <w:tcW w:w="3680" w:type="dxa"/>
            <w:vAlign w:val="bottom"/>
          </w:tcPr>
          <w:p>
            <w:pPr>
              <w:spacing w:after="0"/>
              <w:rPr>
                <w:sz w:val="20"/>
                <w:szCs w:val="20"/>
                <w:color w:val="auto"/>
              </w:rPr>
            </w:pPr>
          </w:p>
        </w:tc>
        <w:tc>
          <w:tcPr>
            <w:tcW w:w="3660" w:type="dxa"/>
            <w:vAlign w:val="bottom"/>
            <w:gridSpan w:val="5"/>
          </w:tcPr>
          <w:p>
            <w:pPr>
              <w:jc w:val="center"/>
              <w:ind w:left="148"/>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3900" w:type="dxa"/>
            <w:vAlign w:val="bottom"/>
          </w:tcPr>
          <w:p>
            <w:pPr>
              <w:spacing w:after="0"/>
              <w:rPr>
                <w:sz w:val="20"/>
                <w:szCs w:val="20"/>
                <w:color w:val="auto"/>
              </w:rPr>
            </w:pPr>
          </w:p>
        </w:tc>
      </w:tr>
      <w:tr>
        <w:trPr>
          <w:trHeight w:val="210"/>
        </w:trPr>
        <w:tc>
          <w:tcPr>
            <w:tcW w:w="3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89"/>
              </w:rPr>
              <w:t>None</w:t>
            </w:r>
          </w:p>
        </w:tc>
        <w:tc>
          <w:tcPr>
            <w:tcW w:w="3900" w:type="dxa"/>
            <w:vAlign w:val="bottom"/>
          </w:tcPr>
          <w:p>
            <w:pPr>
              <w:spacing w:after="0"/>
              <w:rPr>
                <w:sz w:val="18"/>
                <w:szCs w:val="18"/>
                <w:color w:val="auto"/>
              </w:rPr>
            </w:pPr>
          </w:p>
        </w:tc>
      </w:tr>
    </w:tbl>
    <w:p>
      <w:pPr>
        <w:spacing w:after="0" w:line="41" w:lineRule="exact"/>
        <w:rPr>
          <w:sz w:val="24"/>
          <w:szCs w:val="24"/>
          <w:color w:val="auto"/>
        </w:rPr>
      </w:pPr>
    </w:p>
    <w:p>
      <w:pPr>
        <w:ind w:right="360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w:cs="Arial" w:eastAsia="Arial" w:hAnsi="Arial"/>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20"/>
        <w:spacing w:after="0" w:line="21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75"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45"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29" w:right="339" w:bottom="1440" w:gutter="0" w:footer="0" w:header="0"/>
          <w:type w:val="continuous"/>
        </w:sectPr>
      </w:pPr>
    </w:p>
    <w:p>
      <w:pPr>
        <w:spacing w:after="0" w:line="61" w:lineRule="exact"/>
        <w:rPr>
          <w:sz w:val="24"/>
          <w:szCs w:val="24"/>
          <w:color w:val="auto"/>
        </w:rPr>
      </w:pPr>
    </w:p>
    <w:p>
      <w:pPr>
        <w:ind w:left="192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6600" w:space="720"/>
            <w:col w:w="3920"/>
          </w:cols>
          <w:pgMar w:left="320" w:top="1129" w:right="339" w:bottom="1440" w:gutter="0" w:footer="0" w:header="0"/>
          <w:type w:val="continuous"/>
        </w:sectPr>
      </w:pPr>
    </w:p>
    <w:p>
      <w:pPr>
        <w:ind w:left="19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52" w:lineRule="exact"/>
        <w:rPr>
          <w:sz w:val="24"/>
          <w:szCs w:val="24"/>
          <w:color w:val="auto"/>
        </w:rPr>
      </w:pPr>
    </w:p>
    <w:p>
      <w:pPr>
        <w:sectPr>
          <w:pgSz w:w="11900" w:h="16838" w:orient="portrait"/>
          <w:cols w:equalWidth="0" w:num="2">
            <w:col w:w="6600" w:space="720"/>
            <w:col w:w="3920"/>
          </w:cols>
          <w:pgMar w:left="320" w:top="1129" w:right="339" w:bottom="1440" w:gutter="0" w:footer="0" w:header="0"/>
          <w:type w:val="continuous"/>
        </w:sectPr>
      </w:pPr>
    </w:p>
    <w:p>
      <w:pPr>
        <w:jc w:val="both"/>
        <w:spacing w:after="0" w:line="253"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b w:val="1"/>
          <w:bCs w:val="1"/>
          <w:color w:val="auto"/>
        </w:rPr>
        <w:t>o</w:t>
      </w:r>
    </w:p>
    <w:p>
      <w:pPr>
        <w:spacing w:after="0" w:line="52" w:lineRule="exact"/>
        <w:rPr>
          <w:sz w:val="24"/>
          <w:szCs w:val="24"/>
          <w:color w:val="auto"/>
        </w:rPr>
      </w:pPr>
    </w:p>
    <w:p>
      <w:pPr>
        <w:jc w:val="both"/>
        <w:ind w:right="20"/>
        <w:spacing w:after="0" w:line="19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16"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The aggregate market value of the voting stock held by non-affiliates of the registrant as of June 30, 2021 was $101,710,917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25, 2022, there were 15,936,269 outstanding shares of the registrant’s common stock (excluding 9,476,479 shares held as treasury stock).</w:t>
      </w:r>
    </w:p>
    <w:p>
      <w:pPr>
        <w:spacing w:after="0" w:line="96"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42"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17, 2022 are incorporated by reference into Part III of this report. Such Definitive Proxy Statement will be filed with the Securities and Exchange Commission not later than 120 days after the conclusion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60" w:type="dxa"/>
            <w:vAlign w:val="bottom"/>
            <w:gridSpan w:val="8"/>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0" w:type="dxa"/>
            <w:vAlign w:val="bottom"/>
            <w:gridSpan w:val="12"/>
          </w:tcPr>
          <w:p>
            <w:pPr>
              <w:jc w:val="center"/>
              <w:ind w:right="2280"/>
              <w:spacing w:after="0"/>
              <w:rPr>
                <w:sz w:val="20"/>
                <w:szCs w:val="20"/>
                <w:color w:val="auto"/>
              </w:rPr>
            </w:pPr>
            <w:r>
              <w:rPr>
                <w:rFonts w:ascii="Arial" w:cs="Arial" w:eastAsia="Arial" w:hAnsi="Arial"/>
                <w:sz w:val="18"/>
                <w:szCs w:val="18"/>
                <w:b w:val="1"/>
                <w:bCs w:val="1"/>
                <w:color w:val="auto"/>
                <w:w w:val="99"/>
              </w:rPr>
              <w:t>ALTISOURCE PORTFOLIO SOLUTIONS S.A.</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7"/>
          </w:tcPr>
          <w:p>
            <w:pPr>
              <w:jc w:val="center"/>
              <w:ind w:right="3820"/>
              <w:spacing w:after="0"/>
              <w:rPr>
                <w:sz w:val="20"/>
                <w:szCs w:val="20"/>
                <w:color w:val="auto"/>
              </w:rPr>
            </w:pPr>
            <w:r>
              <w:rPr>
                <w:rFonts w:ascii="Arial" w:cs="Arial" w:eastAsia="Arial" w:hAnsi="Arial"/>
                <w:sz w:val="18"/>
                <w:szCs w:val="18"/>
                <w:b w:val="1"/>
                <w:bCs w:val="1"/>
                <w:color w:val="auto"/>
              </w:rPr>
              <w:t>FORM 10-K</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20" w:type="dxa"/>
            <w:vAlign w:val="bottom"/>
            <w:gridSpan w:val="6"/>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20" w:type="dxa"/>
            <w:vAlign w:val="bottom"/>
            <w:gridSpan w:val="6"/>
            <w:vMerge w:val="continue"/>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2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540" w:type="dxa"/>
            <w:vAlign w:val="bottom"/>
            <w:gridSpan w:val="2"/>
          </w:tcPr>
          <w:p>
            <w:pPr>
              <w:jc w:val="center"/>
              <w:ind w:left="35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9">
              <w:r>
                <w:rPr>
                  <w:rFonts w:ascii="Arial" w:cs="Arial" w:eastAsia="Arial" w:hAnsi="Arial"/>
                  <w:sz w:val="18"/>
                  <w:szCs w:val="18"/>
                  <w:color w:val="0000FF"/>
                  <w:w w:val="93"/>
                </w:rPr>
                <w:t>ITEM 1A.</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RISK FACTORS</w:t>
              </w:r>
            </w:hyperlink>
          </w:p>
        </w:tc>
        <w:tc>
          <w:tcPr>
            <w:tcW w:w="540" w:type="dxa"/>
            <w:vAlign w:val="bottom"/>
            <w:gridSpan w:val="2"/>
          </w:tcPr>
          <w:p>
            <w:pPr>
              <w:jc w:val="center"/>
              <w:ind w:left="350"/>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9</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23">
              <w:r>
                <w:rPr>
                  <w:rFonts w:ascii="Arial" w:cs="Arial" w:eastAsia="Arial" w:hAnsi="Arial"/>
                  <w:sz w:val="18"/>
                  <w:szCs w:val="18"/>
                  <w:color w:val="0000FF"/>
                  <w:w w:val="93"/>
                </w:rPr>
                <w:t>ITEM 1B.</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UNRESOLVED STAFF COMMENTS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PROPERTIES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3.</w:t>
              </w:r>
            </w:hyperlink>
          </w:p>
        </w:tc>
        <w:tc>
          <w:tcPr>
            <w:tcW w:w="822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LEGAL PROCEEDINGS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4.</w:t>
              </w:r>
            </w:hyperlink>
          </w:p>
        </w:tc>
        <w:tc>
          <w:tcPr>
            <w:tcW w:w="8220" w:type="dxa"/>
            <w:vAlign w:val="bottom"/>
            <w:gridSpan w:val="16"/>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MINE SAFETY DISCLOSURES</w:t>
              </w:r>
            </w:hyperlink>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426"/>
        </w:trPr>
        <w:tc>
          <w:tcPr>
            <w:tcW w:w="660" w:type="dxa"/>
            <w:vAlign w:val="bottom"/>
            <w:tcBorders>
              <w:bottom w:val="single" w:sz="8" w:color="0000FF"/>
            </w:tcBorders>
            <w:gridSpan w:val="3"/>
          </w:tcPr>
          <w:p>
            <w:pPr>
              <w:spacing w:after="0"/>
              <w:rPr>
                <w:rFonts w:ascii="Arial" w:cs="Arial" w:eastAsia="Arial" w:hAnsi="Arial"/>
                <w:sz w:val="18"/>
                <w:szCs w:val="18"/>
                <w:b w:val="1"/>
                <w:bCs w:val="1"/>
                <w:color w:val="0000FF"/>
                <w:w w:val="99"/>
              </w:rPr>
            </w:pPr>
            <w:hyperlink w:anchor="page23">
              <w:r>
                <w:rPr>
                  <w:rFonts w:ascii="Arial" w:cs="Arial" w:eastAsia="Arial" w:hAnsi="Arial"/>
                  <w:sz w:val="18"/>
                  <w:szCs w:val="18"/>
                  <w:b w:val="1"/>
                  <w:bCs w:val="1"/>
                  <w:color w:val="0000FF"/>
                  <w:w w:val="99"/>
                </w:rPr>
                <w:t>PART II</w:t>
              </w:r>
            </w:hyperlink>
          </w:p>
        </w:tc>
        <w:tc>
          <w:tcPr>
            <w:tcW w:w="136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5.</w:t>
              </w:r>
            </w:hyperlink>
          </w:p>
        </w:tc>
        <w:tc>
          <w:tcPr>
            <w:tcW w:w="822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MARKET FOR REGISTRANT’S COMMON EQUITY, RELATED STOCKHOLDER MATTERS AND</w:t>
              </w:r>
            </w:hyperlink>
          </w:p>
        </w:tc>
        <w:tc>
          <w:tcPr>
            <w:tcW w:w="980" w:type="dxa"/>
            <w:vAlign w:val="bottom"/>
            <w:gridSpan w:val="3"/>
            <w:vMerge w:val="restart"/>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5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24">
              <w:r>
                <w:rPr>
                  <w:rFonts w:ascii="Arial" w:cs="Arial" w:eastAsia="Arial" w:hAnsi="Arial"/>
                  <w:sz w:val="18"/>
                  <w:szCs w:val="18"/>
                  <w:color w:val="0000FF"/>
                </w:rPr>
                <w:t>ISSUER PURCHASES OF EQUITY SECURITIES</w:t>
              </w:r>
            </w:hyperlink>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8"/>
                <w:szCs w:val="18"/>
                <w:color w:val="0000FF"/>
              </w:rPr>
              <w:t>ITEM 6.</w:t>
            </w:r>
          </w:p>
        </w:tc>
        <w:tc>
          <w:tcPr>
            <w:tcW w:w="3720" w:type="dxa"/>
            <w:vAlign w:val="bottom"/>
            <w:gridSpan w:val="10"/>
          </w:tcPr>
          <w:p>
            <w:pPr>
              <w:spacing w:after="0"/>
              <w:rPr>
                <w:sz w:val="20"/>
                <w:szCs w:val="20"/>
                <w:color w:val="auto"/>
              </w:rPr>
            </w:pPr>
            <w:r>
              <w:rPr>
                <w:rFonts w:ascii="Arial" w:cs="Arial" w:eastAsia="Arial" w:hAnsi="Arial"/>
                <w:sz w:val="18"/>
                <w:szCs w:val="18"/>
                <w:color w:val="0000FF"/>
              </w:rPr>
              <w:t>SELECTED FINANCIAL DATA</w:t>
            </w:r>
          </w:p>
        </w:tc>
        <w:tc>
          <w:tcPr>
            <w:tcW w:w="4500" w:type="dxa"/>
            <w:vAlign w:val="bottom"/>
            <w:gridSpan w:val="6"/>
          </w:tcPr>
          <w:p>
            <w:pPr>
              <w:spacing w:after="0"/>
              <w:rPr>
                <w:sz w:val="18"/>
                <w:szCs w:val="18"/>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7.</w:t>
              </w:r>
            </w:hyperlink>
          </w:p>
        </w:tc>
        <w:tc>
          <w:tcPr>
            <w:tcW w:w="822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980" w:type="dxa"/>
            <w:vAlign w:val="bottom"/>
            <w:gridSpan w:val="3"/>
            <w:vMerge w:val="restart"/>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Borders>
              <w:top w:val="single" w:sz="8" w:color="0000FF"/>
            </w:tcBorders>
            <w:gridSpan w:val="3"/>
          </w:tcPr>
          <w:p>
            <w:pPr>
              <w:spacing w:after="0" w:line="156"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OPERATIONS</w:t>
              </w:r>
            </w:hyperlink>
          </w:p>
        </w:tc>
        <w:tc>
          <w:tcPr>
            <w:tcW w:w="6660" w:type="dxa"/>
            <w:vAlign w:val="bottom"/>
            <w:tcBorders>
              <w:top w:val="single" w:sz="8" w:color="0000FF"/>
            </w:tcBorders>
            <w:gridSpan w:val="11"/>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ITEM 7A.</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8.</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FINANCIAL STATEMENTS AND SUPPLEMENTARY DATA</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60" w:type="dxa"/>
            <w:vAlign w:val="bottom"/>
            <w:gridSpan w:val="5"/>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ITEM 9.</w:t>
              </w:r>
            </w:hyperlink>
          </w:p>
        </w:tc>
        <w:tc>
          <w:tcPr>
            <w:tcW w:w="8220" w:type="dxa"/>
            <w:vAlign w:val="bottom"/>
            <w:gridSpan w:val="16"/>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CHANGES IN AND DISAGREEMENTS WITH ACCOUNTANTS ON ACCOUNTING AND FINANCIAL</w:t>
              </w:r>
            </w:hyperlink>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9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DISCLOSURE</w:t>
              </w:r>
            </w:hyperlink>
          </w:p>
        </w:tc>
        <w:tc>
          <w:tcPr>
            <w:tcW w:w="320" w:type="dxa"/>
            <w:vAlign w:val="bottom"/>
          </w:tcPr>
          <w:p>
            <w:pPr>
              <w:spacing w:after="0"/>
              <w:rPr>
                <w:sz w:val="13"/>
                <w:szCs w:val="13"/>
                <w:color w:val="auto"/>
              </w:rPr>
            </w:pPr>
          </w:p>
        </w:tc>
        <w:tc>
          <w:tcPr>
            <w:tcW w:w="980" w:type="dxa"/>
            <w:vAlign w:val="bottom"/>
            <w:gridSpan w:val="3"/>
            <w:vMerge w:val="restart"/>
          </w:tcPr>
          <w:p>
            <w:pPr>
              <w:jc w:val="center"/>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ITEM 9A.</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CONTROLS AND PROCEDURES</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660" w:type="dxa"/>
            <w:vAlign w:val="bottom"/>
            <w:gridSpan w:val="8"/>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rFonts w:ascii="Arial" w:cs="Arial" w:eastAsia="Arial" w:hAnsi="Arial"/>
                <w:sz w:val="18"/>
                <w:szCs w:val="18"/>
                <w:color w:val="0000FF"/>
                <w:w w:val="93"/>
              </w:rPr>
            </w:pPr>
            <w:hyperlink w:anchor="page79">
              <w:r>
                <w:rPr>
                  <w:rFonts w:ascii="Arial" w:cs="Arial" w:eastAsia="Arial" w:hAnsi="Arial"/>
                  <w:sz w:val="18"/>
                  <w:szCs w:val="18"/>
                  <w:color w:val="0000FF"/>
                  <w:w w:val="93"/>
                </w:rPr>
                <w:t>ITEM 9B.</w:t>
              </w:r>
            </w:hyperlink>
          </w:p>
        </w:tc>
        <w:tc>
          <w:tcPr>
            <w:tcW w:w="820" w:type="dxa"/>
            <w:vAlign w:val="bottom"/>
          </w:tcPr>
          <w:p>
            <w:pPr>
              <w:spacing w:after="0"/>
              <w:rPr>
                <w:sz w:val="18"/>
                <w:szCs w:val="18"/>
                <w:color w:val="auto"/>
              </w:rPr>
            </w:pPr>
          </w:p>
        </w:tc>
        <w:tc>
          <w:tcPr>
            <w:tcW w:w="8220" w:type="dxa"/>
            <w:vAlign w:val="bottom"/>
            <w:gridSpan w:val="16"/>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OTHER INFORMATION</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79">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PART III</w:t>
        </w:r>
      </w:hyperlink>
    </w:p>
    <w:p>
      <w:pPr>
        <w:sectPr>
          <w:pgSz w:w="11900" w:h="16838" w:orient="portrait"/>
          <w:cols w:equalWidth="0" w:num="1">
            <w:col w:w="11240"/>
          </w:cols>
          <w:pgMar w:left="320" w:top="125" w:right="339" w:bottom="1440" w:gutter="0" w:footer="0" w:header="0"/>
        </w:sectPr>
      </w:pPr>
    </w:p>
    <w:p>
      <w:pPr>
        <w:spacing w:after="0" w:line="270" w:lineRule="exact"/>
        <w:rPr>
          <w:sz w:val="20"/>
          <w:szCs w:val="20"/>
          <w:color w:val="auto"/>
        </w:rPr>
      </w:pPr>
    </w:p>
    <w:p>
      <w:pPr>
        <w:ind w:left="480"/>
        <w:spacing w:after="0"/>
        <w:tabs>
          <w:tab w:leader="none" w:pos="2000" w:val="left"/>
        </w:tabs>
        <w:rPr>
          <w:rFonts w:ascii="Arial" w:cs="Arial" w:eastAsia="Arial" w:hAnsi="Arial"/>
          <w:sz w:val="17"/>
          <w:szCs w:val="17"/>
          <w:u w:val="single" w:color="auto"/>
          <w:color w:val="0000FF"/>
        </w:rPr>
      </w:pPr>
      <w:hyperlink w:anchor="page80">
        <w:r>
          <w:rPr>
            <w:rFonts w:ascii="Arial" w:cs="Arial" w:eastAsia="Arial" w:hAnsi="Arial"/>
            <w:sz w:val="18"/>
            <w:szCs w:val="18"/>
            <w:u w:val="single" w:color="auto"/>
            <w:color w:val="0000FF"/>
          </w:rPr>
          <w:t>ITEM 10.</w:t>
        </w:r>
      </w:hyperlink>
      <w:r>
        <w:rPr>
          <w:rFonts w:ascii="Arial" w:cs="Arial" w:eastAsia="Arial" w:hAnsi="Arial"/>
          <w:sz w:val="18"/>
          <w:szCs w:val="18"/>
          <w:u w:val="single" w:color="auto"/>
          <w:color w:val="0000FF"/>
        </w:rPr>
        <w:tab/>
      </w:r>
      <w:hyperlink w:anchor="page80">
        <w:r>
          <w:rPr>
            <w:rFonts w:ascii="Arial" w:cs="Arial" w:eastAsia="Arial" w:hAnsi="Arial"/>
            <w:sz w:val="17"/>
            <w:szCs w:val="17"/>
            <w:u w:val="single" w:color="auto"/>
            <w:color w:val="0000FF"/>
          </w:rPr>
          <w:t>DIRECTORS, EXECUTIVE OFFICERS AND CORPORATE GOVERNANCE</w:t>
        </w:r>
      </w:hyperlink>
    </w:p>
    <w:p>
      <w:pPr>
        <w:spacing w:after="0" w:line="23" w:lineRule="exact"/>
        <w:rPr>
          <w:sz w:val="20"/>
          <w:szCs w:val="20"/>
          <w:color w:val="auto"/>
        </w:rPr>
      </w:pPr>
    </w:p>
    <w:p>
      <w:pPr>
        <w:ind w:left="480"/>
        <w:spacing w:after="0"/>
        <w:tabs>
          <w:tab w:leader="none" w:pos="2000" w:val="left"/>
        </w:tabs>
        <w:rPr>
          <w:rFonts w:ascii="Arial" w:cs="Arial" w:eastAsia="Arial" w:hAnsi="Arial"/>
          <w:sz w:val="17"/>
          <w:szCs w:val="17"/>
          <w:u w:val="single" w:color="auto"/>
          <w:color w:val="0000FF"/>
        </w:rPr>
      </w:pPr>
      <w:hyperlink w:anchor="page80">
        <w:r>
          <w:rPr>
            <w:rFonts w:ascii="Arial" w:cs="Arial" w:eastAsia="Arial" w:hAnsi="Arial"/>
            <w:sz w:val="18"/>
            <w:szCs w:val="18"/>
            <w:u w:val="single" w:color="auto"/>
            <w:color w:val="0000FF"/>
          </w:rPr>
          <w:t>ITEM 11.</w:t>
        </w:r>
      </w:hyperlink>
      <w:r>
        <w:rPr>
          <w:rFonts w:ascii="Arial" w:cs="Arial" w:eastAsia="Arial" w:hAnsi="Arial"/>
          <w:sz w:val="18"/>
          <w:szCs w:val="18"/>
          <w:u w:val="single" w:color="auto"/>
          <w:color w:val="0000FF"/>
        </w:rPr>
        <w:tab/>
      </w:r>
      <w:hyperlink w:anchor="page80">
        <w:r>
          <w:rPr>
            <w:rFonts w:ascii="Arial" w:cs="Arial" w:eastAsia="Arial" w:hAnsi="Arial"/>
            <w:sz w:val="17"/>
            <w:szCs w:val="17"/>
            <w:u w:val="single" w:color="auto"/>
            <w:color w:val="0000FF"/>
          </w:rPr>
          <w:t>EXECUTIVE COMPENSATION</w:t>
        </w:r>
      </w:hyperlink>
    </w:p>
    <w:p>
      <w:pPr>
        <w:spacing w:after="0" w:line="23" w:lineRule="exact"/>
        <w:rPr>
          <w:sz w:val="20"/>
          <w:szCs w:val="20"/>
          <w:color w:val="auto"/>
        </w:rPr>
      </w:pPr>
    </w:p>
    <w:p>
      <w:pPr>
        <w:ind w:left="2020" w:hanging="1524"/>
        <w:spacing w:after="0" w:line="234" w:lineRule="auto"/>
        <w:tabs>
          <w:tab w:leader="none" w:pos="2000" w:val="left"/>
        </w:tabs>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ITEM 12.</w:t>
        </w:r>
      </w:hyperlink>
      <w:r>
        <w:rPr>
          <w:rFonts w:ascii="Arial" w:cs="Arial" w:eastAsia="Arial" w:hAnsi="Arial"/>
          <w:sz w:val="18"/>
          <w:szCs w:val="18"/>
          <w:u w:val="single" w:color="auto"/>
          <w:color w:val="0000FF"/>
        </w:rPr>
        <w:tab/>
      </w:r>
      <w:hyperlink w:anchor="page80">
        <w:r>
          <w:rPr>
            <w:rFonts w:ascii="Arial" w:cs="Arial" w:eastAsia="Arial" w:hAnsi="Arial"/>
            <w:sz w:val="18"/>
            <w:szCs w:val="18"/>
            <w:u w:val="single" w:color="auto"/>
            <w:color w:val="0000FF"/>
          </w:rPr>
          <w:t>SECURITY OWNERSHIP OF CERTAIN BENEFICIAL OWNERS AND MANAGEMENT AND RELATED</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STOCKHOLDER MATTERS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50"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80</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80</w:t>
        </w:r>
      </w:hyperlink>
    </w:p>
    <w:p>
      <w:pPr>
        <w:spacing w:after="0" w:line="288"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80</w:t>
        </w:r>
      </w:hyperlink>
    </w:p>
    <w:p>
      <w:pPr>
        <w:spacing w:after="0" w:line="28" w:lineRule="exact"/>
        <w:rPr>
          <w:rFonts w:ascii="Arial" w:cs="Arial" w:eastAsia="Arial" w:hAnsi="Arial"/>
          <w:sz w:val="18"/>
          <w:szCs w:val="18"/>
          <w:u w:val="single" w:color="auto"/>
          <w:color w:val="0000FF"/>
        </w:rPr>
      </w:pPr>
    </w:p>
    <w:p>
      <w:pPr>
        <w:sectPr>
          <w:pgSz w:w="11900" w:h="16838" w:orient="portrait"/>
          <w:cols w:equalWidth="0" w:num="2">
            <w:col w:w="10020" w:space="640"/>
            <w:col w:w="580"/>
          </w:cols>
          <w:pgMar w:left="320" w:top="125"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720" w:type="dxa"/>
            <w:vAlign w:val="bottom"/>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ITEM 13.</w:t>
              </w:r>
            </w:hyperlink>
          </w:p>
        </w:tc>
        <w:tc>
          <w:tcPr>
            <w:tcW w:w="8500" w:type="dxa"/>
            <w:vAlign w:val="bottom"/>
            <w:gridSpan w:val="3"/>
          </w:tcPr>
          <w:p>
            <w:pPr>
              <w:ind w:left="820"/>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CERTAIN RELATIONSHIPS AND RELATED TRANSACTIONS, AND DIRECTOR INDEPENDENCE</w:t>
              </w:r>
            </w:hyperlink>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3920" w:type="dxa"/>
            <w:vAlign w:val="bottom"/>
            <w:tcBorders>
              <w:top w:val="single" w:sz="8" w:color="0000FF"/>
            </w:tcBorders>
          </w:tcPr>
          <w:p>
            <w:pPr>
              <w:spacing w:after="0"/>
              <w:rPr>
                <w:sz w:val="19"/>
                <w:szCs w:val="19"/>
                <w:color w:val="auto"/>
              </w:rPr>
            </w:pPr>
          </w:p>
        </w:tc>
        <w:tc>
          <w:tcPr>
            <w:tcW w:w="3760" w:type="dxa"/>
            <w:vAlign w:val="bottom"/>
            <w:tcBorders>
              <w:top w:val="single" w:sz="8" w:color="0000FF"/>
            </w:tcBorders>
          </w:tcPr>
          <w:p>
            <w:pPr>
              <w:spacing w:after="0"/>
              <w:rPr>
                <w:sz w:val="19"/>
                <w:szCs w:val="19"/>
                <w:color w:val="auto"/>
              </w:rPr>
            </w:pPr>
          </w:p>
        </w:tc>
        <w:tc>
          <w:tcPr>
            <w:tcW w:w="1140" w:type="dxa"/>
            <w:vAlign w:val="bottom"/>
            <w:gridSpan w:val="2"/>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20"/>
        </w:trPr>
        <w:tc>
          <w:tcPr>
            <w:tcW w:w="7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ITEM 14.</w:t>
              </w:r>
            </w:hyperlink>
          </w:p>
        </w:tc>
        <w:tc>
          <w:tcPr>
            <w:tcW w:w="8500" w:type="dxa"/>
            <w:vAlign w:val="bottom"/>
            <w:gridSpan w:val="3"/>
          </w:tcPr>
          <w:p>
            <w:pPr>
              <w:ind w:left="820"/>
              <w:spacing w:after="0"/>
              <w:rPr>
                <w:rFonts w:ascii="Arial" w:cs="Arial" w:eastAsia="Arial" w:hAnsi="Arial"/>
                <w:sz w:val="18"/>
                <w:szCs w:val="18"/>
                <w:color w:val="0000FF"/>
              </w:rPr>
            </w:pPr>
            <w:hyperlink w:anchor="page80">
              <w:r>
                <w:rPr>
                  <w:rFonts w:ascii="Arial" w:cs="Arial" w:eastAsia="Arial" w:hAnsi="Arial"/>
                  <w:sz w:val="18"/>
                  <w:szCs w:val="18"/>
                  <w:color w:val="0000FF"/>
                </w:rPr>
                <w:t>PRINCIPAL ACCOUNTING FEES AND SERVICES</w:t>
              </w:r>
            </w:hyperlink>
          </w:p>
        </w:tc>
        <w:tc>
          <w:tcPr>
            <w:tcW w:w="1140" w:type="dxa"/>
            <w:vAlign w:val="bottom"/>
            <w:gridSpan w:val="2"/>
          </w:tcPr>
          <w:p>
            <w:pPr>
              <w:jc w:val="right"/>
              <w:spacing w:after="0"/>
              <w:rPr>
                <w:rFonts w:ascii="Arial" w:cs="Arial" w:eastAsia="Arial" w:hAnsi="Arial"/>
                <w:sz w:val="18"/>
                <w:szCs w:val="18"/>
                <w:color w:val="0000FF"/>
              </w:rPr>
            </w:pPr>
            <w:hyperlink w:anchor="page80">
              <w:r>
                <w:rPr>
                  <w:rFonts w:ascii="Arial" w:cs="Arial" w:eastAsia="Arial" w:hAnsi="Arial"/>
                  <w:sz w:val="18"/>
                  <w:szCs w:val="18"/>
                  <w:color w:val="0000FF"/>
                </w:rPr>
                <w:t>80</w:t>
              </w:r>
            </w:hyperlink>
          </w:p>
        </w:tc>
      </w:tr>
      <w:tr>
        <w:trPr>
          <w:trHeight w:val="20"/>
        </w:trPr>
        <w:tc>
          <w:tcPr>
            <w:tcW w:w="7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9"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80">
        <w:r>
          <w:rPr>
            <w:rFonts w:ascii="Arial" w:cs="Arial" w:eastAsia="Arial" w:hAnsi="Arial"/>
            <w:sz w:val="18"/>
            <w:szCs w:val="18"/>
            <w:b w:val="1"/>
            <w:bCs w:val="1"/>
            <w:u w:val="single" w:color="auto"/>
            <w:color w:val="0000FF"/>
          </w:rPr>
          <w:t>PART IV</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720" w:type="dxa"/>
            <w:vAlign w:val="bottom"/>
          </w:tcPr>
          <w:p>
            <w:pPr>
              <w:spacing w:after="0"/>
              <w:rPr>
                <w:rFonts w:ascii="Arial" w:cs="Arial" w:eastAsia="Arial" w:hAnsi="Arial"/>
                <w:sz w:val="18"/>
                <w:szCs w:val="18"/>
                <w:color w:val="0000FF"/>
                <w:w w:val="95"/>
              </w:rPr>
            </w:pPr>
            <w:hyperlink w:anchor="page81">
              <w:r>
                <w:rPr>
                  <w:rFonts w:ascii="Arial" w:cs="Arial" w:eastAsia="Arial" w:hAnsi="Arial"/>
                  <w:sz w:val="18"/>
                  <w:szCs w:val="18"/>
                  <w:color w:val="0000FF"/>
                  <w:w w:val="95"/>
                </w:rPr>
                <w:t>ITEM 15.</w:t>
              </w:r>
            </w:hyperlink>
          </w:p>
        </w:tc>
        <w:tc>
          <w:tcPr>
            <w:tcW w:w="600" w:type="dxa"/>
            <w:vAlign w:val="bottom"/>
            <w:gridSpan w:val="2"/>
          </w:tcPr>
          <w:p>
            <w:pPr>
              <w:spacing w:after="0"/>
              <w:rPr>
                <w:sz w:val="18"/>
                <w:szCs w:val="18"/>
                <w:color w:val="auto"/>
              </w:rPr>
            </w:pPr>
          </w:p>
        </w:tc>
        <w:tc>
          <w:tcPr>
            <w:tcW w:w="8860" w:type="dxa"/>
            <w:vAlign w:val="bottom"/>
            <w:gridSpan w:val="3"/>
          </w:tcPr>
          <w:p>
            <w:pPr>
              <w:ind w:left="220"/>
              <w:spacing w:after="0"/>
              <w:rPr>
                <w:rFonts w:ascii="Arial" w:cs="Arial" w:eastAsia="Arial" w:hAnsi="Arial"/>
                <w:sz w:val="18"/>
                <w:szCs w:val="18"/>
                <w:color w:val="0000FF"/>
              </w:rPr>
            </w:pPr>
            <w:hyperlink w:anchor="page81">
              <w:r>
                <w:rPr>
                  <w:rFonts w:ascii="Arial" w:cs="Arial" w:eastAsia="Arial" w:hAnsi="Arial"/>
                  <w:sz w:val="18"/>
                  <w:szCs w:val="18"/>
                  <w:color w:val="0000FF"/>
                </w:rPr>
                <w:t>EXHIBITS, FINANCIAL STATEMENT SCHEDULES</w:t>
              </w:r>
            </w:hyperlink>
          </w:p>
        </w:tc>
        <w:tc>
          <w:tcPr>
            <w:tcW w:w="580" w:type="dxa"/>
            <w:vAlign w:val="bottom"/>
            <w:gridSpan w:val="2"/>
          </w:tcPr>
          <w:p>
            <w:pPr>
              <w:jc w:val="right"/>
              <w:ind w:right="400"/>
              <w:spacing w:after="0"/>
              <w:rPr>
                <w:rFonts w:ascii="Arial" w:cs="Arial" w:eastAsia="Arial" w:hAnsi="Arial"/>
                <w:sz w:val="18"/>
                <w:szCs w:val="18"/>
                <w:color w:val="0000FF"/>
                <w:w w:val="79"/>
              </w:rPr>
            </w:pPr>
            <w:hyperlink w:anchor="page81">
              <w:r>
                <w:rPr>
                  <w:rFonts w:ascii="Arial" w:cs="Arial" w:eastAsia="Arial" w:hAnsi="Arial"/>
                  <w:sz w:val="18"/>
                  <w:szCs w:val="18"/>
                  <w:color w:val="0000FF"/>
                  <w:w w:val="79"/>
                </w:rPr>
                <w:t>81</w:t>
              </w:r>
            </w:hyperlink>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1320" w:type="dxa"/>
            <w:vAlign w:val="bottom"/>
            <w:gridSpan w:val="3"/>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SIGNATURES</w:t>
              </w:r>
            </w:hyperlink>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gridSpan w:val="2"/>
          </w:tcPr>
          <w:p>
            <w:pPr>
              <w:jc w:val="right"/>
              <w:ind w:right="400"/>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87</w:t>
              </w:r>
            </w:hyperlink>
          </w:p>
        </w:tc>
      </w:tr>
      <w:tr>
        <w:trPr>
          <w:trHeight w:val="749"/>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the “Company,” “we,” “us,” or “our” refer to Altisource Portfolio Solutions S.A., a Luxembourg société anonyme, or public limited liability company, together with its subsidiaries.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Altisource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is the first Annual Report on Form 10-K we are filing as a smaller reporting company within the meaning of Rule 12b-2 under the Securities Exchange Act of 1934, as amended. As a smaller reporting company, we may choose to comply with certain scaled or non-scaled financial and non-financial disclosure requirements on an item by item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Property preservation and inspection services and vendor management oversight software-as-a-service (“SaaS”) platform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5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real estate auction, real estate brokerage and asset management</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Equator</w:t>
      </w:r>
      <w:r>
        <w:rPr>
          <w:rFonts w:ascii="Arial" w:cs="Arial" w:eastAsia="Arial" w:hAnsi="Arial"/>
          <w:sz w:val="22"/>
          <w:szCs w:val="22"/>
          <w:color w:val="auto"/>
          <w:vertAlign w:val="superscript"/>
        </w:rPr>
        <w:t>®</w:t>
      </w:r>
      <w:r>
        <w:rPr>
          <w:rFonts w:ascii="Arial" w:cs="Arial" w:eastAsia="Arial" w:hAnsi="Arial"/>
          <w:sz w:val="17"/>
          <w:szCs w:val="17"/>
          <w:color w:val="auto"/>
        </w:rPr>
        <w:t>, a SaaS-based technology to manage real estate owned (“REO”), short sales, foreclosure, bankruptcy and eviction processes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Mortgage loan fulfillment, certification and certification insurance services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insurance (as an agent) and settlement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estate valuation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and commercial construction inspection and risk mitigation services</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Management of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mortgage banking cooperative</w:t>
      </w:r>
    </w:p>
    <w:p>
      <w:pPr>
        <w:spacing w:after="0" w:line="61"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5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Pointillist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customer journey analytics platform (sold on December 1, 2021, see Corporate and Financial Highlights for more detail)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loan servicing technology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Financial</w:t>
      </w:r>
    </w:p>
    <w:p>
      <w:pPr>
        <w:spacing w:after="0" w:line="6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Ended 2021 with $98.1 million of cash and cash equivalents, a 68% increase from December 31, 2020</w:t>
      </w:r>
    </w:p>
    <w:p>
      <w:pPr>
        <w:spacing w:after="0" w:line="63"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1, 2021 Altisource sold all of its equity interest in Pointillist, Inc. (“Pointillist”).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We recognized a pre-tax and after-tax gain of $88.9 million from the sale</w:t>
      </w:r>
    </w:p>
    <w:p>
      <w:pPr>
        <w:spacing w:after="0" w:line="24"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reduced 2021 cash operating costs (excluding outside fees and services) by $49.3 million, representing a 25% reduction from 2020</w:t>
      </w:r>
    </w:p>
    <w:p>
      <w:pPr>
        <w:spacing w:after="0" w:line="86" w:lineRule="exact"/>
        <w:rPr>
          <w:rFonts w:ascii="Arial" w:cs="Arial" w:eastAsia="Arial" w:hAnsi="Arial"/>
          <w:sz w:val="16"/>
          <w:szCs w:val="16"/>
          <w:color w:val="auto"/>
        </w:rPr>
      </w:pPr>
    </w:p>
    <w:p>
      <w:pPr>
        <w:jc w:val="both"/>
        <w:ind w:left="340" w:hanging="332"/>
        <w:spacing w:after="0" w:line="25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announced on July 29, 2021 that it was evaluating ways to enhance shareholder value with the Origination business, including the potential for a divestiture, joint venture, third party investment in or other strategic transaction. Altisource recently concluded this process and, after exploring a range of alternatives, determined that it is in the best interests of the Company and its shareholders to retain and further invest in the business. The Company believes that the Origination business’s unique distribution engine and strong growth prospects will be a significant catalyst to create value for shareholders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Highlights</w:t>
      </w:r>
    </w:p>
    <w:p>
      <w:pPr>
        <w:spacing w:after="0" w:line="63" w:lineRule="exact"/>
        <w:rPr>
          <w:sz w:val="20"/>
          <w:szCs w:val="20"/>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Hubzu referrals in 2021 were 30% higher than 2020, including a 62% increase in foreclosure referrals and a 6% decrease in REO referrals. As of December 31, 2021 Hubzu inventory was over 6,300 homes, representing a 27% increase compared to December 31, 2020, including a 67% increase in foreclosure inventory and a 5% decrease in REO inventory</w:t>
      </w:r>
    </w:p>
    <w:p>
      <w:pPr>
        <w:spacing w:after="0" w:line="21"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revenue from our Origination business grew by 11% in 2021 to $58.0 million compared to 2020 and Lenders One membership grew by 13% to 251 members over the same period</w:t>
      </w:r>
    </w:p>
    <w:p>
      <w:pPr>
        <w:spacing w:after="0" w:line="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launched a tri-merge credit report solution and other related products required to manufacture a loan which include verification of employment, income and assets and undisclosed debt notification</w:t>
      </w:r>
    </w:p>
    <w:p>
      <w:pPr>
        <w:spacing w:after="0" w:line="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launched the Lenders One Loan Automation technology (“LOLA”). LOLA is an internally developed technology solution designed to make it easier for Lenders One members to order and receive our solutions through a single point of entry and automate loan manufacturing processes to improve Lenders One members’ operational efficiency and reduce costs</w:t>
      </w:r>
    </w:p>
    <w:p>
      <w:pPr>
        <w:spacing w:after="0" w:line="21"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May 5, 2021 Altisource entered into an agreement with Ocwen Financial Corporation (together with its subsidiaries, “Ocwen”) that extended the terms of certain services agreements from August 2025 through August 2030 and expanded the scope of solutions to include, among others, the opportunity for the Company to provide first and second chance foreclosure auctions on Federal Housing Administration (“FHA”) loans, field services on Ocwen’s FHA, Veterans Affairs and United States Department of Agriculture loans (collectively, “Government Loans”), and title services on FHA and Veterans Affairs loans, subject to a process to confirm Altisource’s ability to meet reasonable performance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customers include large financial institutions, government-sponsored enterprises (“GSEs”), banks, asset managers, servicers, investors, originators and correspondent lenders and mortgage bankers.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Ocwen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Ocwen was our largest customer, accounting for 31%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2021 and 2020, we recognized revenue from Ocwen of $55.6 million and $197.8 million, respectively. Revenue from Ocwen as a percentage of consolidated revenue was 31% and 54% for the years ended December 31, 2021 and 2020, respectively.</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2021 and 2020, we recognized $9.5 million and $23.8 million, respectively, of such revenue. These amounts are not included in deriving revenue from Ocwen and revenue from Ocwen as a percentage of revenue discussed above.</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commenced moving these referrals to other service providers in the fourth quarter of 2020,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2,300 of its foreclosure auction inventory on Government Loans to us and increased our percentage of field services referrals on its Government Loans.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accounts receivable from Ocwen totaled $3.0 million, $2.8 million of which was billed and $0.2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accounts receivable from Ocwen totaled $5.9 million, $5.1 million of which was billed and $0.8 million of which was unbilled.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NRZ</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unpaid principal balance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and 2020, we recognized revenue from NRZ of $3.1 million and $8.6 million, respectively, under the Brokerage Agreement. For the years ended December 31, 2021 and 2020, we recognized additional revenue of $13.6 million and $35.1 million, respectively, relating to the Subject MSRs when a party other than NRZ selects Altisource as the service provider.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predominantly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primary sales and marketing focus areas are to:</w:t>
      </w:r>
    </w:p>
    <w:p>
      <w:pPr>
        <w:spacing w:after="0" w:line="63" w:lineRule="exact"/>
        <w:rPr>
          <w:sz w:val="20"/>
          <w:szCs w:val="20"/>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relationships with existing customers by cross-selling additional services and growing the volume of existing services we provide. We believe our customer relationships represent meaningful growth opportunities for us;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customer relationships by leveraging our comprehensive suite of services, performance and controls. We believe there are meaningful growth opportunities to sell our suite of services to new customers.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highly regulated nature of the industries that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contractual restrictions, internal security practices, patents, trademarks and copyrights to establish and protect our trade secrets, intellectual property, software, technology and expertise. We also own or, as we deem necessary and appropriate, have obtained licenses from third parties to intellectual property relating to our services, processes and businesses. These intellectual property rights are important factors in the success of our businesses.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we have been awarded two patents that expire in 2023, one patent that expires in 2024, seven patents that expire in 2025, three patents that expire in 2026, one patent that expires in 2027, two patents that expire in 2029, one patent that expires in 2030 and one patent that expires in 2036. In addition, we have registered trademarks in a number of jurisdictions including the United States, the European Union (“EU”), India and five other jurisdictions. These trademarks generally can be renewed indefinitely, provided they are being used in commerce.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the measures we deem reasonable and necessary to develop and protect our patents, trademarks, copyrights, trade secrets and other intellectual property rights.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 including from governmental entities and, subject to licensed usage rights, we use this data in connection with the delivery of our services, including combining it with proprietary data we generate to further enhance data and metrics in connection with our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consumer confidence and the COVID-19 pandemic.</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markets to provide services for mortgage servicers and mortgage originators are highly competitive and generally consist of national companies, in-house providers and a large number of regional and local providers. We typically compete based upon product and service awareness and offerings, product performance and service delivery, quality and control environment, technology integration and support, price and financial strength.</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markets to provide services for buyers and sellers of homes for investment are highly competitive and generally consist of several national companies, a large number of regional and local providers and start-up companies. We typically compete based upon product and service awareness and offerings, product performance and service delivery, ease of transacting, price and personal service.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competitors may have greater financial resources, brand recognition, alternative or disruptive products and technology and other competitive advantages. We cannot determine our market share with certainty, but believe for mortgage servicers we have a modest share of the market, and for the others we have a relatively small market share.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the following number of employees: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United States</w:t>
            </w: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India</w:t>
            </w: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Uruguay</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Luxembourg</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8"/>
        </w:trPr>
        <w:tc>
          <w:tcPr>
            <w:tcW w:w="49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employees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the Treasury Department, various federal and state banking, financial and consumer regulators and the state and local agencies that license or oversee certain of our auction, real estate brokerage, mortgage and debt collection services, trustee services, mortgage origination underwriter and broker services, property management services, insurance services and credit report reselling services. We also must comply with a number of federal, state and local laws, which may include, among others:</w:t>
      </w:r>
    </w:p>
    <w:p>
      <w:pPr>
        <w:spacing w:after="0" w:line="12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Americans with Disabilities Act (“ADA”);</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Secrecy Act;</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California Homeowner Bill of Rights (“CHBR”);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Controlling the Assault of Non-Solicited Pornography And Marketing Act (“CAN-SPAM”);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Equal Credit Opportunity Act (“ECOA”);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and Accurate Credit Transactions Act (“FACTA”);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Credit Reporting Act (“FCRA”);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Trade Commission Act (“FTC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Gramm-Leach-Bliley Act (“GLBA”);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Home Affordable Refinance Program (“HARP”);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Home Mortgage Disclosure Act (“HMDA”);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Home Ownership and Equity Protection Act (“HOEPA”);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National Housing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New York Real Property Actions and Proceedings Law (“RPAPL”);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Real Estate Settlement Procedures Act (“RESPA”);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Secure and Fair Enforcement for Mortgage Licensing (“SAFE”)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Servicemembers Civil Relief Act (“SCRA”);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Telephone Consumer Protection Act (“TCPA”);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Truth in Lending Act (“TILA”);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Unfair, Deceptive or Abusive Acts and Practices statutes (“UDAAP”);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state laws addressing consumer data privacy, use or disclosure.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the requirements of the Foreign Corrupt Practices Act (“FCPA”) and comparable foreign laws due to our activities in foreign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federal and state laws regarding privacy and data security, we are also subject to data protection laws in the countries in which we operate.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Additionally, certain of our entities are or may be subject to the EU General Data Protection Regulation (“GDPR”).</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licensing and regulation as a provider of certain services including, among others, services as a mortgage origination underwriter, mortgage broker, valuation provider, appraisal management company, asset manager, property inspection and preservation provider, title insurance agent, insurance broker and underwriter, real estate broker, auctioneer, foreclosure trustee and credit report reseller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Arial" w:cs="Arial" w:eastAsia="Arial" w:hAnsi="Arial"/>
          <w:sz w:val="18"/>
          <w:szCs w:val="18"/>
          <w:i w:val="1"/>
          <w:iCs w:val="1"/>
          <w:u w:val="single" w:color="auto"/>
          <w:color w:val="380BB5"/>
        </w:rPr>
        <w:t>www.sec.gov</w:t>
      </w:r>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u w:val="single" w:color="auto"/>
          <w:color w:val="380BB5"/>
        </w:rPr>
        <w:t>www.altisource.com</w:t>
      </w:r>
      <w:r>
        <w:rPr>
          <w:rFonts w:ascii="Arial" w:cs="Arial" w:eastAsia="Arial" w:hAnsi="Arial"/>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address the most materials risks, of which we are currently aware but are not the only ones we face. Therefore, the following risk factors should not be considered a complete list of potential risks that we may face.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risk factor described in this Annual Report on Form 10-K or in any of our other SEC filings, or any risk not currently known to us or that we currently anticipate to be immaterial may, by itself, or together with other factors, materially adversely affect our business, reputation, prospects, competitive position, liquidity, results of operations, capital position or financial condition, including by materially increasing our expenses or decreasing our revenues, which could result in material losses. If any of these risks occur, the trading price of our common stock could decline, and investors could lose all or part of their investment.</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insurance coverage may be applicable to help address certain risks that may crystalize, recovery pursuant to our insurance policies may not be available, and available insurance may be insufficient to compensate for damages, expenses, fines, penalties, and other losses we may incur as a result of these and other risks.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ITEM 1A, unless the context otherwise clearly indicates, references to our “services” include any services, products or solutions provided, or made available, by us.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face certain risks related to the COVID-19 pandemic and the measures taken to prevent its spread. The COVID-19 pandemic continues to have a profound impact on our business, our customers, the industries in which we operate, and the societies and economies in which we conduct our business and operations. We anticipate that we will continue to experience significant impacts of the COVID-19 pandemic through at least the middle of the 2023 calendar year. However, the extent and duration of the impact of the COVID-19 pandemic and governmental, mortgage servicer, mortgage investor and societal responses will depend on future developments, including the duration, cycles and severity of the pandemic, which remain highly uncertain. As a result, it is difficult to predict the impact on our business. Further, as a result of interruptions caused by the pandemic and responses to the pandemic by our customers, various governmental bodies and mortgage investors:</w:t>
      </w:r>
    </w:p>
    <w:p>
      <w:pPr>
        <w:spacing w:after="0" w:line="123"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maintain a stable workforce or operate our workforce and facilities in an efficient or productive manner as we respond to changes caused by the COVID-19 pandemic, restrictions on services or work that may be performed, restrictions on workforce reductions, facility closures or remote work arrangements, or mandates from governments or public health authorities, particularly with respect to our services that require travel or an on-site presence.</w:t>
      </w:r>
    </w:p>
    <w:p>
      <w:pPr>
        <w:spacing w:after="0" w:line="24"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services and our vendors’ ability to provide services in a timely and cost-effective fashion may be negatively impacted, which could result in a reduction in our revenue, a delay in the planned growth of our revenue and/or an increase in our costs; we may not be able to increase our fees to cover the additional costs. For example, foreclosure and REO referrals may be impacted by continuing or new foreclosure and eviction moratoriums, growing homeowner equity or loss mitigation measures. In addition, certain of our field services offerings may be precluded by government orders limiting the performance of non-essential services or become difficult to fulfill due to our field vendors’ reluctance to perform services, especially services that are not clearly specified by authorities as essential or those that present the potential for human contact.</w:t>
      </w:r>
    </w:p>
    <w:p>
      <w:pPr>
        <w:spacing w:after="0" w:line="32"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need to seek alternate vendors or suppliers as existing vendors and suppliers may be unable to timely and cost effectively provide services or products. Vendors may be unable to hire or retain personnel or acquire the supplies necessary to provide us with services or products. If we are not able to contract with alternate vendors or suppliers our operations could be negatively impacted. There may be an insufficient number of vendors or suppliers available to meet demand, which may result in an increase in the cost or unavailability of services or products required for operations; we may not be able to increase our fees to cover the additional costs. The foregoing may disrupt our operations, negatively impact our ability to provide services, increase our costs, cause us to breach contractual obligations or forgo business opportunities, or otherwise negatively impact our financial performance. In addition, our customers or consumers may be unwilling to interact with our employees or vendors, or visit properties related to our services, which may impact our ability to provide such services.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Volatile or uncertain economic conditions caused by the COVID-19 pandemic, or its consequences, have and may continue to affect our customers and the markets we serve, causing customers to reduce, defer or eliminate spending on our services.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Our compliance with work from home, business closure, shelter in place and other similar regulations may impose additional costs on us and could negatively impact our control environment or create additional risks for our business, including increasing our risk for cybersecurity breaches or failures.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transitioned a significant portion of our workforce to work remotely to protect the health and safety of our workforce and customers and, in certain instances, in response to government actions. We may incur significant costs associated with such work arrangements and we may not be able to increase our fees to cover the additional costs. Our business continuity plans in the face of remote working and other adjustments to business may not be sufficient to address business interruptions or a global pandemic of COVID-19's scale and magnitude, or may not be implemented on a timely or error free basis in response to changes, resulting in negative operational impacts and errors. Our oversight of employees and controls intended to maintain consistent operations and quality of products and services or to avoid employee error or misconduct may be compromised or no longer effective and we may not become aware of the same on a timely basis to avoid or reduce negative impacts.</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Employing a remote work environment could decrease employee productivity, including due to a lower level of employee oversight, distraction caused by the pandemic and its impact on daily life, employee health conditions or illnesses, employees acting as caregivers, disruption due to home schooling and child care obligations, use of slower residential Internet connections, the instability, inadequacy or unavailability of our network, or unstable electrical services or unreliable Internet access. We also may face increased data privacy and security risks resulting from the use of non-Altisource networks to access information and to provide services. Additional risks to our systems and data, and customer, vendor and/or borrower data are presented by increased phishing activities targeting employees, vendors and counterparties in transactions, the possibility of attacks on our systems or systems of employees working remotely as well as by decreased supervision or monitoring of employees and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potential for increased employee distractions. Remote work arrangements could also negatively impact certain controls, such as our financial reporting systems, internal control over financial reporting and disclosure controls and procedures, and controls designed to detect or prevent misconduct. If we do face a reduction in productivity, data privacy or cybersecurity failures or breaches, or issues with our controls, we may incur additional costs to address such issues and our financial condition and results may be adversely impacted.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be subject to legal claims from customers, employees and other third parties as a result of the response to COVID-19, including contractual breach claims and personal injury claims.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Interruptions caused by the pandemic and our, our customers’ and various governmental bodies’ responses to the pandemic could adversely impact our ability to comply with various legal and contractual obligations, including service level agreements and performance standards in our revenue agreements, restoration obligations in our leases, and obligations to perform or use services in pre-approved locations, whether as a result of an inability to staff personnel for certain services in appropriate locations or as a result of compliance with various imposed regulations. Some of our agreements may not contain force majeure clauses or similar provisions that would sufficiently excuse any non-performance due to the pandemic. Accordingly, counterparties to these contracts may assert that we have breached these contracts and caused damages. Even if our agreements contain force majeure clauses or similar provisions, our customers may dispute that such provisions are applicable to excuse our failures to perform. In such cases, we could face additional costs, penalties, fee reductions, an exercise of termination rights, legal claims and liabilities.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we could face legal claims from employees, contractors, vendors, borrowers or other individuals who claim to have been exposed to and contracted the COVID-19 virus as a result of our failure to comply with legal or hygiene requirements related to COVID-19 in the provision of our services. We could face exposure to fines, regulatory or legal actions if we fail to timely or effectively implement or comply with sanitary, health, employment or other measures mandated by applicable governmental or health authorities, but we could also face exposure to fines or regulatory or legal actions from employees, vendors, governmental authorities or others related to our efforts to comply with such measures.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face claims under contracts or claims from employees, contractors, vendors, borrowers, authorities or others our insurance coverage may not be applicable to, or sufficient to cover, all claims, costs, and damages we incur, which would result in us bearing these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and its ramifications could further aggravate, accelerate, or precipitate any of the risk factors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earn a significant portion of our revenue in connection with providing services to two customers.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portion of our revenue is earned from providing services to Ocwen and NRZ. If either party substantially reduces the scope or volume of services acquired from us, or otherwise ceases using us as a vendor, it would negatively impact our business. For example, we could experience a reduction in scope or volume of business as a direct or indirect result of the existence or outcome of regulatory matters impacting one or more of these clients or a change in the servicing relationship between these clients. In addition, providing services to these customers affords us the opportunity to provide certain services to third parties and the loss of these customers would also result in the loss of these additional revenue streams. For example, we may have the opportunity to earn commissions or fees from, or we may be able to provide on-line auction services, title insurance and escrow services, or other services to, buyers on certain real estate transactions, and the loss of these customers would also prevent us from offering these additional services related to the underlying transaction.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concentration exposes us to concentrated credit risk, as a significant portion of our accounts receivable may be from one or both of these customers.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characteristics of the portfolios of properties on which we provide services for either of these customers were to significantly change, for example to become more rural or lower value, this could impact the type and volume of services that we provide, increase our costs of doing business, or reduce the value of commissions or fees we earn.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concentration or relationships with these two customers may be viewed as a risk or otherwise negatively by other customers or potential customers, impeding our efforts to retain customers or obtain new customers.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that reduce or limit the use of online default real estate auctions or otherwise reduce the volume or rate of success of such auctions can negatively impact our auction marketplace, real estate brokerage and related default services.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Governmental, GSE, servicer or investor actions or action by others that restrict online real estate auctions (foreclosure and REO), or direct the use of auction providers other than us, could negatively impact demand for our auction marketplace, real estate brokerage and related services, and negatively impact our ability to meet certain contractual performance metrics, including those related to aging of assets, time on market and sale price compared to valuation. If we fail to satisfy applicable performance metrics or perform in a manner satisfactory to our customers, such customers may reduce the services they acquire from us or otherwise terminate us as a provider.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entered into a Brokerage Agreement with NRZ’s licensed brokerage subsidiary. If the agreement is terminated, expires, is breached or if there is a significant reduction in the volume of services that we provide pursuant to such agreement, our business and results of operations could be adversely affected.</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August 28, 2017, Altisource, through its licensed subsidiaries, entered into the Brokerage Agreement with NRZ which extends through August 2025. Under this agreement and related amendments, Altisource is the exclusive provider of brokerage services for REO associated with the certain MSRs through August 2025, irrespective of the subservicer, as long as NRZ owns such MSRs. 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 NRZ could decide to not renew or extend the term of the Brokerage Agreement upon its termination in August 2025, in which case NRZ may elect to use a brokerage service provider other than the Altisource subsidiaries for some or all of its REO. If any one of these termination events occurs and the Brokerage Agreement is terminated or if the Brokerage Agreement is not renewed or extended Altisource’s business and results of operations could be adversely affected.</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NRZ operational changes, breach of the Brokerage Agreement or other actions that reduce the number of properties converting to REO status could: (i) reduce the volume of services that we provide on the applicable MSRs pursuant to our agreements with Ocwen, and (ii) reduce the volume of services that we provide pursuant to the Brokerage Agreement.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Technology disruptions, failures, defects or inadequacies, delays or difficulties in implementing software or hardware changes, acts of vandalism or the introduction of harmful code could damage our business operations and increase our costs.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rely on critical technology to provide certain of our services. We rely on our proprietary technology in our Hubzu real estate marketing, Equator</w:t>
      </w:r>
      <w:r>
        <w:rPr>
          <w:rFonts w:ascii="Arial" w:cs="Arial" w:eastAsia="Arial" w:hAnsi="Arial"/>
          <w:sz w:val="22"/>
          <w:szCs w:val="22"/>
          <w:color w:val="auto"/>
          <w:vertAlign w:val="superscript"/>
        </w:rPr>
        <w:t>®</w:t>
      </w:r>
      <w:r>
        <w:rPr>
          <w:rFonts w:ascii="Arial" w:cs="Arial" w:eastAsia="Arial" w:hAnsi="Arial"/>
          <w:sz w:val="17"/>
          <w:szCs w:val="17"/>
          <w:color w:val="auto"/>
        </w:rPr>
        <w:t>, Equator.com, Trelix</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Connect, Vendorly</w:t>
      </w:r>
      <w:r>
        <w:rPr>
          <w:rFonts w:ascii="Arial" w:cs="Arial" w:eastAsia="Arial" w:hAnsi="Arial"/>
          <w:sz w:val="22"/>
          <w:szCs w:val="22"/>
          <w:color w:val="auto"/>
          <w:vertAlign w:val="superscript"/>
        </w:rPr>
        <w:t>®</w:t>
      </w:r>
      <w:r>
        <w:rPr>
          <w:rFonts w:ascii="Arial" w:cs="Arial" w:eastAsia="Arial" w:hAnsi="Arial"/>
          <w:sz w:val="17"/>
          <w:szCs w:val="17"/>
          <w:color w:val="auto"/>
        </w:rPr>
        <w:t>, RentRange</w:t>
      </w:r>
      <w:r>
        <w:rPr>
          <w:rFonts w:ascii="Arial" w:cs="Arial" w:eastAsia="Arial" w:hAnsi="Arial"/>
          <w:sz w:val="22"/>
          <w:szCs w:val="22"/>
          <w:color w:val="auto"/>
          <w:vertAlign w:val="superscript"/>
        </w:rPr>
        <w:t>®</w:t>
      </w:r>
      <w:r>
        <w:rPr>
          <w:rFonts w:ascii="Arial" w:cs="Arial" w:eastAsia="Arial" w:hAnsi="Arial"/>
          <w:sz w:val="17"/>
          <w:szCs w:val="17"/>
          <w:color w:val="auto"/>
        </w:rPr>
        <w:t>, REALSynergy</w:t>
      </w:r>
      <w:r>
        <w:rPr>
          <w:rFonts w:ascii="Arial" w:cs="Arial" w:eastAsia="Arial" w:hAnsi="Arial"/>
          <w:sz w:val="22"/>
          <w:szCs w:val="22"/>
          <w:color w:val="auto"/>
          <w:vertAlign w:val="superscript"/>
        </w:rPr>
        <w:t>®</w:t>
      </w:r>
      <w:r>
        <w:rPr>
          <w:rFonts w:ascii="Arial" w:cs="Arial" w:eastAsia="Arial" w:hAnsi="Arial"/>
          <w:sz w:val="17"/>
          <w:szCs w:val="17"/>
          <w:color w:val="auto"/>
        </w:rPr>
        <w:t>, Lenders One Loan Automation and other platforms. We leverage third party technology to provide certain of our services, including using third party order management and billing technology in our default businesses, and using third party technology to access data or take actions, such as governmental filings, and externally hosted and managed data centers and operating environments. Disruptions, failures, defects or inadequacies in our technology or third party technology or related services we utilize, delays or errors in developing of our technology, or acts of vandalism, misuse or malicious use of our solutions, system attacks or the introduction of malicious code in technology we utilize, may interrupt or delay our ability to provide products or services to our customers, impact our ability to satisfy performance requirements, or cause the loss, corruption or disclosure of data. We may be a particular target for network hackers or others with malicious intent due to our storage and processing of consumer information as part of providing our services or as a result of operating public-facing technology platforms, including, for example, our Hubzu marketing platform. Any sustained and repeated disruptions in these services may have an adverse impact on our and our customers’ business and results of operations and, in the case of acts of vandalism or introduction of harmful code, could necessitate improvements to our physical and cybersecurity practices that may require an investment of money, time and resources.</w:t>
      </w:r>
    </w:p>
    <w:p>
      <w:pPr>
        <w:spacing w:after="0" w:line="1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Many of our services and processes require effective interoperation with internal and external technology platforms and services, and failures in such interoperation could have a negative impact on our operations and the operations of our customers.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customers may require changes and improvements to the systems we provide to them to manage the volume and complexity, laws or regulations of their businesses, or to interoperate with other systems, which changes and improvements may be unfeasible, unsuccessful, costly or time-consuming to implement or may create disruptions in our provision of services to customers. Our customers may refuse to agree to modifications to technology or infrastructure that we provide to them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interoperate with the technology or infrastructure we provide to them that we may believe are desirable to improve the reliability, performance, efficiency and/or cost in delivering. Additionally, the improper implementation or use of Altisource technology, such as Equator, by customers could adversely impact the operation of that technology, and potentially cause harm to our reputation, loss of customers, negative publicity or exposure to liability claims or government investigations or actions.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use services, products, data and infrastructure provided by third parties to maintain and grow our businesses.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certain third parties to provide services, products and solutions including certain data, infrastructure, technology, systems and functionality including a third party hosted and managed data center and operating environment (collectively, “Inputs”) critical to our services, including our Hubzu real estate marketing, Field Services, Equator, Trelix Connect, Vendorly, RentRange and other solutions. The failure of such third parties to provide or make available the Inputs in accordance with applicable requirements could negatively impact our ability to provide our services or perform transactions and to meet our obligations. In addition, these third parties could cease providing or reduce the availability, type, details or other aspects of the Inputs, and change the pricing, performance or functionality of the Inputs. If such Inputs become unavailable or too expensive and we are unable to obtain suitable alternatives and efficiently and effectively integrate these alternatives into our service offerings or infrastructure, we could experience service disruptions, increased costs and reduced quality of our services.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Company’s databases contain our proprietary information, the proprietary information of third parties and personal information of our customers, consumers, vendors and employees. Our failure to comply with applicable information management requirements or best practices or the legal rights of individuals about whom we collect or process personal information, or an unauthorized disclosure of information, could subject us to adverse publicity, investigations, fines, costly government enforcement actions or private litigation and expenses.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our business we collect, store, process, transfer and dispose in tangible and electronic forms customer, consumer, vendor and employee personal information (“PI”). We and our vendors rely on processes that are intended to provide necessary notices regarding the collection, storage, processing and destruction of PI, and to permit subjects to exercise their legal rights concerning their PI in our possession. If those processes are not sufficient or experience an error, we or our vendors may fail to comply with applicable requirements concerning PI. In addition, we rely on the security of our facilities, networks, databases, systems and processes and, in certain circumstances, third parties, such as vendors, to protect PI. If our controls and those of our customers or vendors are not effective, are outdated or do not exist, or if we fail to detect or respond to attacks or intrusions, unauthorized parties may gain access to our networks or databases or information, or those of our customers or vendors with which we interconnect or share information, and they may be able to steal, publish, delete, or modify PI. In addition, employees may intentionally or inadvertently cause data or security breaches that result in unauthorized release of such PI. Further, our efforts to delete or destroy PI may not be consistent with our disclosed policies or may not be successful, resulting in the theft or unintentional disclosure of PI, including when disposing of media on which PI may be stored. In such circumstances, our business could be harmed and we could be liable to our customers, employees or vendors, or to regulators, consumers or other parties, as well as be subject to notification requirements or regulatory or other actions for breaching applicable laws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insurance underwriting loss limitation methods we use could fail.</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Altisource, through its subsidiary Association of Certified Mortgage Originators Risk Retention Group, Inc., provides certified loan insurance to its customers. Altisource reduces a portion of its risk of insurance loss through third party reinsurance. The incidence and severity of claims against insurance policies are inherently unpredictable. Although we attempt to manage our exposure to insurance underwriting risk through the use of disciplined underwriting controls and the purchase of third party reinsurance, we maintain first loss exposure and the frequency and severity of claims could be greater than contemplated in our pricing and risk management methods and our controls and mitigation efforts may not be effective or sufficient.</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counterparty risk when purchasing reinsurance from third 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Under certain material agreements to which we are currently a party or into which we may enter in the future, the formation by shareholders of Altisource of a “group” with ownership of Altisource capital stock exceeding a defined percentage may give rise to a termination event or an event of default.</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certain of our material agreements a change of control would be deemed to occur if, among other things, a “group” (as that term is used in Sections 13(d) and 14(d) of the Exchange Act) is formed by shareholders holding beneficial ownership of a defined percentage of the combined voting power or economic interest of our capital stock. The Brokerage Agreement with NRZ’s licensed brokerage subsidiary contains a similar provision, and we may enter into material agreements in the future that contain similar provisions. The formation of a “group” could occur without the involvement of or input by us, and we are not in a position to prevent such an event from occurring. Such a change of control could constitute a termination event or an event of default under these agreements.</w:t>
      </w:r>
    </w:p>
    <w:p>
      <w:pPr>
        <w:spacing w:after="0" w:line="1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rely on third party vendors for many aspects of our business. If our vendor oversight activities are ineffective, we may fail to meet customer or regulatory requirements. We may face difficulties sourcing required vendors or managing our relationships with third party vendors.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rely on third party vendors to provide goods and services in relation to many aspects of our operations, including certain providers of web-based services or software as services. Our dependence on these vendors makes our operations vulnerable to the unavailability of such third parties, the pricing and quality of services and products offered by such third parties, solvency of those third parties and such third parties’ failure to perform adequately under our agreements with them. In addition, where a vendor provides services or products that we are required to provide under a contract with a customer, we are generally responsible for such performance and could be held accountable by the customer for any failure of performance by our vendors or related defects. If our vendor sourcing efforts are not effective or if we are otherwise not able to secure an appropriate supply and quality of vendors, services or supplies, or if vendors are prohibited or prevented from performing the services or providing the products for which we contract, including as the result of restrictions imposed by state or local governments or health departments, we may be unable to provide services or compliant services. If our vendor oversight activities are ineffective or if a vendor fails to provide the services or products that we require or expect, or fails to meet contractual requirements, such as service levels or compliance with applicable laws, the failure could negatively impact our business by adversely affecting our ability to serve our customers or subjecting us to litigation and regulatory risk for ineffective vendor oversight. Furthermore, the failure to obtain services or products at anticipated pricing could impact our cost structure and the prices of services we provide and we may not be able to increase our fees to cover the additional costs.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third party vendors, we may lose customers or may no longer be granted referrals for certain services or could be subject to adverse regulatory action.</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make extensive use of contractors in certain of our lines of business. If we are required to reclassify contractors as employees, we may incur fines and penalties and additional costs and taxes.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significant number of contractors provide services in our operations for whom we do not pay or withhold any federal, state or local employment tax or provide employee benefits. These contractors may be retained by us or retained by vendors providing services to us. There are a number of tests used in determining whether an individual is an employee or a contractor. There can be no assurance that legislative, judicial or regulatory (including tax) authorities will not introduce proposals or assert interpretations of existing rules and regulations that would change, or at least challenge, the classification of our contractors. The United States Internal Revenue Service or other United States federal or state authorities or similar authorities of a foreign government may determine that we or our vendors have misclassified our contractors for employment tax or other purposes and, as a result, seek additional taxes from us, require us to pay certain compensation or benefits to wrongly classified employees, or attempt to impose fines or penalties. In addition, contractors or contractors or employees of our vendors may assert claims that they are our employees and seek to recover compensation, benefits, damages and penalties from us. If we are required to pay employer taxes, pay backup withholding compensation, benefits, damages or penalties with respect to prior periods with respect to or on behalf of our contractors or contractors or employees of our vendors, our operating costs will increase.</w:t>
      </w:r>
    </w:p>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could have conflicts of interest with Ocwen, NRZ, Deer Park Road Management Company L.P., or affiliates of the foregoing, and/or certain of our shareholders, members of management, employees and members of our Board of Directors, which may be resolved in a manner adverse to us.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significant business relationships with and provide services to Ocwen and to NRZ, a $20 million revolving line of credit with a fund managed by Deer Park Road Management Company L.P (“Deer Park”) and business relationships with certain companies, in which William C. Erbey has invested. Deer Park and William C. Erbey have disclosed that they own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equity interest in Altisource representing approximately 24% and 38%, respectively, of Altisource’s outstanding common stock as of February 2, 2022. Certain members of our management and independent members of our Board of Directors (or entities affiliated with such Board of Directors members) have direct or beneficial equity interests in Ocwen or in NRZ, including in one instance, equity interests in Ocwen (estimated to be slightly less than 9%) and Altisource (approximately 24%) as well as debt of both of these parties, equity interests in NRZ (less than 1%) and a management position at and equity interest in Deer Park. Such interests and relationships could create, or appear to create, potential conflicts of interest with respect to matters potentially or actually involving or affecting us and Ocwen, NRZ, Deer Park, William C. Erbey or their affiliates. There can be no assurance that we will implement measures that will enable us to manage such potential conflicts. There can be no assurance that any current or future measures that may be implemented to manage potential conflicts will be effective or that we will be able to manage or resolve all potential conflicts with Ocwen, NRZ, Deer Park, William C. Erbey or their affiliates and, even if we do, that the resolution will be no less favorable to us than if we were dealing with another third party that has none of the connections we have with Ocwen, NRZ, William C. Erbey or Deer Park. There can be no guarantee that we will be able to continue to implement appropriate measures to manage these potential conflicts of interest.</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success depends on the relevant industry experience and relationships of certain members of our Board of Directors, executive officers and other key personnel.</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or play a substantial role in our relationship with certain customers. In particular, we are dependent on the services of members of our Board of Directors and key executives at our corporate headquarters and personnel at each of our lines of business and support groups. In addition, certain members of our Board of Directors, executive officers or other key employees have relationships with certain customers or vendors that facilitate our business and operations. The loss of the services of any of these members of our Board of Directors, executives or key personnel could have an adverse effect on our business and results of operations or relationships with certain customers or vendors.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maintain our substance and leadership as a Luxembourg company, we seek to convene Board meetings in Luxembourg several times each year and our executive management is largely based in Luxembourg. The travel required by our directors, and current restrictions on and requirements for such travel, to Luxembourg may serve as an impediment to attract and retain directors and director candidates. Our Luxembourg location can also make it difficult to attract and retain executive officers and other senior leadership and to achieve diversity in such roles.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difficulties to attract, motivate and retain skilled employees.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labor intensive and places significant importance on our ability to recruit, engage, train and retain skilled employees. Additionally, demand for qualified professionals with experience in certain businesses or technologies may exceed available supply. Our ability to recruit and train employees is critical to achieving our growth objective. Further, some of our business operations require recruiting and retaining employees with certain professional licenses, particularly in the United States. In 2021, we saw an increase in demand for professionals licensed to work in our originations, real estate brokerage and auction, and default business, and significant turnover in those areas. So far in 2022, we face inflationary wage pressures which may continue for an extended period. We may continue to encounter significant challenges in attracting and retaining employees as needed to satisfy demand or growth expectations for our services, or to be able to limit compensation related costs to make operations economically viable. We may not be able to attract and retain skilled employees. We may face an increase in wages or other costs of attracting, training or retaining skilled employees. In addition, attrition of current employees may negatively impact our ability to provide services of a quality or volume that satisfy applicable contractual obligations or that support our planned growth or expansion of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presence of our operations in multiple countries subjects us to risks endemic to those countries.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employees and operations outside of the United States in countries such as Luxembourg, India and Uruguay. The occurrence of natural disasters, epidemics or other health emergencies, or political or economic instability impacting these countries could interfere with work performed by these labor sources or could result in us having to replace or reduce these labor sources.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practice of utilizing labor based in foreign countries has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and, as a result, some of our customers may require us to use labor based in the United States or cease doing business with Altisource. In addition, some of our customers may require us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 labor based in the United States for other reasons. To the extent that we are required to use labor based in the United States, we may not be able to pass on the increased costs of higher-priced United States-based labor to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realize sales represented by our awarded business or sales pipeline.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significantly expanded the scope of services that we provide to our existing customer base and expanded our customer portfolio with the addition of new customers. As part of our business and financial planning, we make assumptions about the quantity and timing of services that each of these customers will order from us. In many instances, however, our customers may not be obligated to acquire our services or may only be obligated to acquire our services to the extent the customer can make use of such services. Our volume of sales may not materialize to the extent our customers elect to use providers of services other than us, or if economic or industry conditions exist such that our customers do not require the assumed quantity of services. For example, economic conditions and restrictions instituted by governmental authorities, GSEs, servicers or investors may negatively impact the quantity or timing of customer demand for our services despite the existence of an agreement. Our customers may use more than one provider for given services resulting in such customers varying over time the quantity or mix of services acquired from us versus other providers. Even in cases where our customer contracts require minimum purchases by a customer, we may be unable or we may determine that it is inadvisable for us to seek to enforce or collect upon the contractual minimums.</w:t>
      </w:r>
    </w:p>
    <w:p>
      <w:pPr>
        <w:spacing w:after="0" w:line="13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may fail to adapt our services to changes in technology or in the marketplace related to mortgage servicing or originations, changing requirements of governmental authorities, GSEs and customers. Customers may seek to reduce reliance upon or the number of service providers.</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markets for our services are characterized by constant technological and other changes, our customers’ and competitors’ frequent introduction of new services, and evolving industry standards and government regulations. We are currently in the process of, and from time to time will be, developing and introducing new services and technologies and improvements to existing services and technologies. Our future success will be significantly affected by our ability to complete our current efforts and in the future enhance, our services and technologies, and to develop and introduce new services that address the increasingly sophisticated needs of our customers and their customers, as well as our ability to reduce costs by relying on cloud architecture and other infrastructure advancements. These efforts may include implementing new real estate auction and marketing capabilities, as well as technological and other modifications to increase efficiency and flexibility in supplying our default-related and originations services. These initiatives carry the risks associated with any new service development effort, including cost overruns, delays in delivery and performance effectiveness. There can be no assurance that we will be successful in developing, marketing, selling and implementing new and improved services. In addition, we may experience difficulties that could delay or prevent the successful development, introduction and marketing of these services. Our services and their enhancements may also not adequately meet the demands of the marketplace or governmental authorities and achieve market acceptance.</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Customers of our default-related services and origination services may seek to reduce the number of service providers employed through vendor consolidation, insourcing (providing the services itself) or by other means. Such changes could reduce the demand for our services or control over the prices we are able to charge for our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to accelerate growth initiatives involve potential risks.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Historically, our strategy has included the acquisition of complementary businesses from time to time. In the future, we may consider acquisitions of or merger with other businesses that we believe could complement our business, offer us greater access in our current markets or offer us greater access and expertise in other asset types and markets that are related to ours but we do not currently serve. Our ability to pursue additional acquisitions in the future is dependent on our access to sufficient capital (equity and/or debt) to fund the acquisition and subsequent integration. Because of the obligations to maintain a minimum cash threshold in the Cooperative Brokerage Agreement and restrictions in our senior secured term loan agreement, we may not be able to secure adequate capital as needed on terms that are acceptable to us, or at all.</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we acquire new businesses, we may face a number of integration risks, including a loss of focus on our daily operations, the need for additional management, constraints on operating resources, constraints on financial resources from integration and system conversion costs and the inability to maintain key pre-acquisition relationships with customers, suppliers and employees. We may have particular integration risks as we are a Luxembourg-domiciled company, resulting in numerous changes that may need to be made immediately or promptly following closing of such an acquisition. In addition, any acquisition may result in the incurrence of additional amortization expense of related intangible assets, which could reduce our profitability.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Failure to properly and timely integrate any acquired business may result in our inability to realize the expected value from the acquisition, which can lead us to generate less revenue and/or earnings than anticipated, and/or sell or otherwise dispose of the acquired business at a loss.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economic and market conditions that reduce residential real estate sales or values or mortgage originations could negatively impact demand for our services.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Economic or market fluctuations such as a decrease in sales of residential properties or an increase in sales transaction timelines could reduce the demand for certain of our services related to marketing and real estate sale transactions, including services ancillary to such transactions, such as closing services and title insurance services. Typically, the volume of residential property sales decline and transaction timelines increase as residential mortgage interest rates increase, financing options and availability for borrowers decline or consumer confidence falls. A reduction in the volume of real estate transactions or the sales price of real estate could negatively impact our residential real estate brokerage and auction businesses which have commission fees that are generally set as a percentage based on the property sale price. Demand for services from other businesses, such as mortgage origination, valuation, title and closing, may also decline as a result of a reduction in real estate transaction volumes. Home price appreciation typically increases equity in the borrowers’ homes providing borrowers with more options to avoid foreclosure and, therefore, reducing foreclosure auction and REO referrals and ancillary services such as closing and title insurance services.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Economic or market fluctuations that reduce the volume or value of residential mortgage originations or re-financings could decrease the demand for our mortgage origination and mortgage insurance related services, including those provided to members of the Lenders One mortgage cooperative. An increase in interest rates for residential mortgages or a decline in financing available for borrowers as a result of an inflationary environment or government action responding to the same could result in a decrease in such demand. Increasing housing prices could reduce the number of sale transactions resulting in a decrease in new mortgage originations.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reduction in residential mortgage delinquencies, defaults or foreclosures in the United States can negatively affect demand for certain of our services.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provide certain services to residential mortgage servicers and subservicers, as well as government sponsored entities, federal agencies and others, to protect, preserve, manage and potentially dispose of properties securing residential mortgage loans, when such loans become delinquent, default, undergo foreclosure or become a REO asset. Rates of residential mortgage delinquencies, defaults and foreclosures can be negatively impacted by numerous factors, including strengthening economic conditions, increasing housing values, decreasing residential mortgage interest rates, a reduction in the number of residential mortgages outstanding or a reduction in home ownership levels or by governmental action. National servicing standards, federal and state government scrutiny and regulation, requirements specifying loan loss mitigation, modification and foreclosure procedures, rules instituted by governmental authorities, GSEs, servicers or investors preventing actions related to loan delinquencies and foreclosures, including moratoriums on foreclosures and mortgage payment forbearance plans may also reduce the number of mortgage loans entering the foreclosure process or suspend pending foreclosure and eviction actions. Such conditions could negatively impact demand for our default services. Reductions in the rates of residential mortgage delinquencies, defaults, foreclosures and REO would likely reduce demand for our services related to inspecting, maintaining, valuing, marketing and selling such assets.</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faced with an extended period of decline in demand for and revenue from certain of our services as a result of economic conditions or due to government, GSE, servicer or investor restrictions related to loan delinquencies and foreclosures, including moratoriums on foreclosures and mortgage payment forbearance plans, we may be unable to sufficiently adjust our cost structure to avoid losses in our operations that provide such impacted services or to maintain our ability to offer those services in the future. The expiration dates of certain requirements that impact demand for our services may be indefinite or extended in the future making it difficult to predict when such requirements may end. In response to such conditions, we may be required to modify or suspend such operations which could negatively impact our ability to timely respond to an increase in demand for such services or to provide such services in the future, or which could cause us to incur significant expense to restart or scale such services in response to an increase in demand.</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Developments that impact residential foreclosures or the supply or sale of REO could negatively affect demand for certain of our default services and negatively impact our ability to meet certain contractual performance metrics.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Reduction in residential foreclosures or the supply or sales of REO in the United States could reduce the demand for and volume of certain of our services, including foreclosure auction, REO asset management, REO property inspection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preservation, real estate brokerage, real estate auction and marketing services, as well as sales of REO, especially in cases where more desirable properties are sold at foreclosure auctions and do not convert to REO. For example, we anticipate that the continuing impact of foreclosure and eviction moratoriums and residential mortgage loss mitigation requirements will extend the period of reduced foreclosure sales and supply of foreclosure auctions and REO we receive from our customers through the middle of 2023 compared to historical levels. The reduced supply of REO or sales of REO could also impact our ability to meet certain contractually required service metrics, especially those metrics tied to satisfying certain conversion percentage requirements as the size of the applicable population declines and the population of REO that remains is often the most difficult to sell. Reduced volumes may make it more difficult to provide services in an economic manner, undermine beneficial efficiencies, and increase the risks and costs of securing vendors to provide required services and products on a smaller scale.</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not be able to effectively manage rapid or unanticipated increases in foreclosures or the supply or sale of REO which could negatively impact our ability to satisfy service level metrics that are tied to conversion rates or other percentage requirements. For example, if a service metric specifies that a certain percentage of the total population of REO is to be sold within a defined period of time, a rapid increase in the total REO population may increase the risk of failing to meet the defined percentage metric during the period required to prepare the newly added REO to be marketed.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Service metrics which may be impacted include those related to REO conversion rates, aging of REO, time on market and sale price compared to valuation. If we fail to satisfy applicable performance metrics or perform in a manner satisfactory to our customers, such customers may reduce the services they acquire from us or otherwise terminate us as a service provider.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Our Indebtedness and Capital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If we are unable to generate sufficient cash flow or access the capital markets or our borrowing capacity is reduced, our liquidity and competitive position may be negatively affected.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extended period of reduced demand for all or certain of our default-related services could negatively impact our cash flow such that we may need to use unrestricted cash on hand to satisfy our obligations, which would reduce our cash balance negatively impacting our liquidity. If the limitations on foreclosures and evictions, and the forbearance plans, instituted by governmental authorities, GSEs, servicers or investors in response to the COVID-19 pandemic are reimposed, this could lengthen the period of reduced demand for our default-related services, negatively impacting our liquidity.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liquidity could be adversely affected by any inability to access the capital markets, volatility in the capital markets, unforeseen outflows of cash, funding for contingencies and increased regulatory liquidity requirements.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borrow money could be limited, or our cost of borrowing could increase, due to volatility in the capital markets, worsening terms on which credit is available or limitations in our senior secured term loan agreements. In addition, reduced revenue or cash flow, or volatility in the markets which we support, could negatively impact our ability to borrow or our ability to continue to satisfy the covenants and terms of our senior secured term loan agreements. If we were to have a default under our loan agreements, we would not be able borrow additional funds under our existing agreements and our lenders could seek to enforce the remedies available to them under our loan agreements. A reduction in our ability to borrow funds to support our operations could also reduce our ability to pursue our business strategy to diversify and grow our customer base.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primary source of liquidity is cash flows from operations and unrestricted cash. Our level of debt makes us sensitive to the effects of our declining financial performance and interest rate increases; our level of debt and provisions in our senior secured term loan agreements and credit facility could limit our ability to react to changes in the economy or our industry.</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senior secured term loan makes us more vulnerable to changes in our results of operations because a portion of our cash flows from operations is dedicated to servicing our debt and is not available for other purposes. Our senior secured term loan is secured by virtually all of our assets and from time to time may trade at a substantial discount to face value. We are also subject to a credit agreement dated June 22, 2021 providing us with a revolving credit facility. This credit facility is secured by a lien on all equity in Altisource Business Solutions Private Limited (“ABSPL”), our main India subsidiary. The ABSPL equity was the sole remaining significant Altisource asset that was not subject to a security interest under the senior secured term loan agreements. Amounts borrowed pursuant to the credit facility also reduced the additional borrowing (outside of the revolver) permitted under our senior secured term loan agreements without lender approval. Our ability to raise additional debt is therefore largely limited and in many circumstances would be subject to lender approval and could require modification of certain loan agreements. Additionally, increases in interest rates above 1% would negatively impact our cash flows as the interest rate on our senior secured term loan is variable. The provisions of our senior secured term loan agreements could have other negative consequences to us including the following:</w:t>
      </w:r>
    </w:p>
    <w:p>
      <w:pPr>
        <w:spacing w:after="0" w:line="131"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borrow money for our working capital, capital expenditures and debt service requirements or other general corporate purposes;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use a portion of our consolidated excess cash flow, as specified in the senior secured term loan agreements, to repay debt in the event our net debt less marketable securities to earnings before interest, taxes, depreciation and amortization (“EBITDA”) ratio, as specified in the senior secured term loan agreements, exceed certain thresholds;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make payments on our indebtedness depends, in part, on our ability to generate cash in the future. If we do not generate sufficient cash flows and do not have sufficient cash on hand to meet our debt service and working capital requirements, we may need to seek additional financing, raise equity or sell assets, and our ability to take these actions may be limited by the terms of our senior secured term loan and the market. This may make it more difficult for us to obtain financing on terms that are acceptable to us, or at all. Without any such financing, we could be forced to sell assets under unfavorable circumstances to make up for any shortfall in our payment obligations. If necessary, we may not be able to sell assets quickly enough or for sufficient amounts to enable us to meet our obligations. Failure to meet our debt service requirements could result in an event of default under our senior secured term loan agreement which, if not cured or waived, could result in the holders of the defaulted debt causing all outstanding amounts with respect to that debt to be immediately due and payable and potentially permitting lenders to execute applicable security interests, impacting our future operations or ability to engage in other favorable business activities. An event of default under the senior secured term loan agreement would also constitute an event of default under our credit facility.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senior secured term loan agreement contains covenants that may limit our flexibility in planning for, or reacting to changes in, our business and our industry, including limitations on incurring additional indebtedness, making investments, adding new product lines, disposing or selling of assets, granting liens and merging or consolidating with other companies. Complying with these covenants may impair our ability to finance our future operations or capital needs or to engage in other favorable business activities.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failure to comply with the covenants or terms contained in our senior secured term loan agreements or our credit facility, including as a result of events beyond our control, could result in an event of default.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senior secured term loan agreements require us to comply with various operational, reporting and other covenants or terms including, among other things, limiting us from engaging in certain types of transactions. If we experience an event of default under our senior secured term loan agreements that is not cured or waived, it could result in a going concern uncertainty, which in turn could provide certain of our customers the ability to terminate our agreements, and allow the holders of the defaulted debt to cause all amounts outstanding with respect to that debt to be immediately due and payable or choose to execute on applicable security interests. Our assets or cash flows may not be sufficient to fully repay borrowings under our outstanding senior secured term loan if accelerated upon an event of default and we may not be able to refinance or restructure the payments on the senior secured term loan.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revolving credit facility requires us to comply with certain covenants or terms. If we experience an event of default under our credit facility that is not cured or waived, it could result in a going concern uncertainty, which in turn could result in a default to our senior secured term loan agreements or provide certain of our customers the ability to terminate our agreements.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We may be unable to repay the balance of our senior secured term loan upon maturity in April 2024, particularly if cash from operations fails to significantly improve, assets are not readily available for sale or we are unable to timely refinance on favorable terms or at all.</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senior secured term loan agreements require us to repay the outstanding balance due in April 2024 ($247.2 million, based on scheduled repayments through the maturity date). If our cash from operations fails to significantly improve, there can be no assurance that our cash balances and other assets readily available for sale would be sufficient to fully repay borrowings under our outstanding senior secured term loan upon maturity in April 2024 or that we will be able to refinance the remaining portion of the debt sufficiently prior to the due date or on terms acceptable to us. If we were to default on the senior secured term loan, our lenders could take action adverse to our interests under the terms of the loan agreement, including seeking to take possession of the applicable collateral. Under such circumstances, if we are not able to agree upon a resolution with our lenders, we might seek applicable legal protections including under bankruptcy law, which in turn could provide certain of our customers the ability to terminate our agreements. If we refinance the loan under less favorable terms, we may be required to accept a higher interest rate and debt-related costs, as well as additional restrictions and covenants which constrain our ability to finance and operate our business.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failure to maintain the net debt less marketable securities to EBITDA ratio contained in our senior secured term loan agreements could result in required payments to the lenders of a percentage of our excess cash flows.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senior secured term loan agreements require us to distribute to our lenders 50% of our consolidated excess cash flows, as specified in the senior secured term loan agreements, if our net debt less marketable securities to EBITDA ratio, as defined in the senior secured term loan agreements, exceeds 3.50 to 1.00, and 25% of our consolidated excess cash flows if our net debt less marketable securities to EBITDA ratio is 3.50 to 1.00 or less, but greater than 3.00 to 1.00. If we were required to distribute a portion of our excess cash flows to our lenders, we may be limited in our ability to support our business, grow our business through acquisitions or investments in technology and we may be limited in our ability to repurchase our common stock, pay dividends or take other potentially advantageous actions. There can be no assurance that we will maintain net debt less marketable securities to EBITDA ratio at levels that will not require us to distribute a portion of our excess cash flows to lenders.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a significant net operating loss recognized by one of our Luxembourg subsidiaries, Altisource S.à r.l. We may not be able to fully utilize this deferred tax asset before the net operating loss expires.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a merger of two of the Company’s wholly-owned subsidiaries in December 2017, which was recognized at fair value, a net operating loss of $1.3 billion with a 17 year life was generated, creating a deferred tax asset of $342.6 million. During 2019, the Company recognized a full valuation allowance with respect to this deferred tax asset. If Altisource S.à r.l. is unable to generate sufficient pretax income by 2034, the Company may not be able to fully utilize this deferred tax asset. In addition, changes in our structure or operations could prevent us from fully realizing the benefit of such deferred tax asset.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prior investments we have made, we significant goodwill and intangible assets recorded in our financial statements. 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In the event that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escrow funds we hold at financial institutions could be lost and not recoverable.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our cash and cash equivalents at various financial institutions, including customer deposits in escrow accounts pending completion of certain real estate activities. These cash balances expose us to purposeful misappropriation of cash by employees or others and unintentional mistakes resulting in a loss of cash which may not be recoverable.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that are held in escrow accounts for limited periods of time are not included in the accompanying consolidated balance sheets. We may become liable for funds owed to third parties as a result of purposeful misappropriation of cash by employees or others, unintentional mistakes or the failure of one or more of these financial institutions. There is no guarantee we would recover the funds deposited, whether through Federal Deposit Insurance Corporation coverage, private insurance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operations in India, Luxembourg and Uruguay which may result in us being party to non-United States dollar denominated transactions or incurring obligations in currencies other than the United States dollar, including, for example, payroll, taxes, facilities-related expenses. Weakness of the United States dollar in relation to these applicable currencies (e.g., Euro, Indian rupee, Uruguayan peso) may increase our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Luxembourg Organization and Ownership of Our Shares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are a Luxembourg company. The rights of shareholders under Luxembourg law may differ in certain respects from the rights afforded to shareholders of companies organized under laws in other jurisdictions. It may also be difficult to obtain and enforce judgments against us or our directors and executive officers.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 public limited liability company organized under the laws of, and headquartered in, Luxembourg. As a result, Luxembourg law and our articles of incorporation govern the rights of shareholders. The rights of shareholders 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Luxembourg law may differ from the rights of shareholders of companies incorporated in other jurisdictions. A significant portion of our assets are owned outside of the United States. It may be difficult for our investors to obtain and enforce, in the United States, judgments obtained in United States courts against us or our directors based on the civil liability provisions of the United States securities laws or to enforce, in Luxembourg, judgments obtained in other jurisdictions including the United States.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challenge of the Luxembourg tax regime or of its interpretation by the Luxembourg tax authorities, or its application of us or our business could negative impact us.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received and historically operated under a tax ruling from the Luxembourg tax authorities, which would have expired in 2019 unless extended or renewed. In connection with an internal reorganization by the Company during 2017, we no longer operate under this tax ruling. The European Commission (“EC”) has initiated investigations into several EU member states, including Luxembourg, to determine whether these EU member states have provided tax advantages to companies pursuant to tax rulings or otherwise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business and the business of our customers are subject to extensive scrutiny and legal requirements. We, or our services, may fail or be perceived as failing to comply with applicable legal requirements.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and the business of our customers are subject to extensive scrutiny and regulation by federal, state and local governmental authorities including the FTC, the CFPB, the SEC, HUD and state and local agencies, including those which license or oversee certain of our auction, real estate brokerage, mortgage services, trustee services, residential mortgage origination services and insurance services, as well as collection and use of personal data.. We also must comply with a number of federal, state and local consumer protection laws including, among others, the laws and regulations listed in the Government Regulation section of Item 1 of Part I, “Business” above. We are also subject to various foreign laws and regulations based on our operations or the location of our affiliates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or may not be predictable or consistent with our interpretations or expectations. The creation of new regulatory authorities or changes in the regulatory authorities overseeing applicable laws and regulations may also result in changing interpretation or enforcement of such laws or regulations.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governmental authorities impose new or more restrictive requirements or enhanced oversight related to our services or operations, we may be required to increase or decrease our prices, modify our contracts or course of dealing and/or we may incur significant additional costs to comply with such requirements. Additionally, we may be unable to adapt our services or operations to conform to the new laws and regulations.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Responding to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inquiries or determinations of failures to comply with applicable requirements could increase our costs and expose us to sanctions which could include limitations on our ability to provide services, or otherwise reduce demand for our services. Furthermore, even if we believe we comply with applicable laws and regulations, we may choose to settle such allegations in order to avoid the potentially significant costs of defending such allegations and to further avoid the risk of increased damages if we ultimately were to receive an unfavorable outcome, but such settlements may also result in further claims or create issues for existing and potential customers. Such settlements and additional actions could increase costs, place limitations on our services, and result in a reduction in demand.</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be subject to costly and time-consuming regulatory or legal proceedings that claim legal violations or wrongful conduct, including claims for violations of consumer protection laws, laws concerning PI or third party intellectual property rights. These proceedings may involve regulators, customers, our customers’ clients, vendors, competitors, third parties or other large groups of plaintiffs and, if resulting in findings of violations, could result in substantial damages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indemnification obligations. Additionally, we may be forced to settle some claims and change our existing practices, services processes or technologies that are currently revenue generating. Certain regulations to which we are subject provide for potentially significant penalties such that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however, such settlements may also result in further claims or create issues for existing and potential customers. Such proceedings and settlement could increase our costs and expose us to sanctions, including limitations on our ability to provide services, or otherwise reduce demand for our services.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are subject to licensing and regulation as a provider of certain services. If we fail to maintain our licenses or if our licenses are suspended or terminated, we may not be able to provide certain of our services. In addition, the lack of certain licenses in one or more jurisdictions could cause us to breach applicable contracts.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required to have and maintain licenses as a provider of certain product and services including, among others, services as a residential mortgage origination underwriter, valuation provider, appraisal management company, asset manager, property manager, title insurance agent, insurance broker and underwriter, real estate broker, auctioneer, foreclosure trustee and credit report provider in a number of jurisdictions. Our employees and subsidiaries may be required to be licensed by various state or regulatory commissions or bodies for the particular type of product or service provided and to participate in regular continuing education programs. If one or more of our licenses are lost, revoked, expire or limited, or if we fail to maintain or otherwise surrender one or more such license, we may be prohibited from doing business in certain markets. Further, certain of our agreements require that we possess and maintain certain licenses. The failure to hold such licenses may result in us breaching certain agreements, which could cause us to be subject to claims for damages, termination of applicable agreements or unable to obtain inputs required for certain of our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violation by our customers of applicable legal requirements in the selection or use of our services could generate legal liability for us.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services are provided at the direction and pursuant to the identified requirements of our customers, including property preservation, inspection, foreclosure and eviction services that are triggered by information provided by our customers. The failure of our customers to properly identify or account for regulatory requirements applicable to the use of our services, in selecting appropriate services for the intended purposes, or in specifying how services are rendered could expose us to significant penalties, fines, litigation, settlements, costs and consent orders.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Certain of our customers are subject to governmental oversight, regulations, orders, judgments or settlements which may impose certain obligations and limitations on their use of our services.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Participants in the industries in which we operate are subject to a high level of oversight and regulation. The failure of our services to meet applicable legal requirements could subject us to civil and criminal liability, loss of licensure, damage to our reputation, significant penalties, fines, settlements, adverse publicity, litigation, including class action lawsuits or administrative enforcement actions, costs and consent orders against us or our customers that may curtail or restrict our business as it is currently conducted. Such failures could also cause customers to reduce or cease using our services.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customers are subject to vendor oversight requirements. As such, we are subject to oversight by our customers. If we do not meet the standards established by or imposed upon our customers, regulators allege that products or services provided by Altisource fail to meet applicable legal requirements, or if any other oversight procedures result in a negative outcome for Altisource, we may lose customers, may no longer be granted referrals for certain services, or may have to conform our business to address these standards.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 or our inability to utilize tax credits available to us.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subsidiaries provide services in the United States and several other countries. Those jurisdictions are subject to changing tax environments, which may result in higher operating expenses 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application of operating or other losses, and intercompany transactions and loans, among others, could impact us. We may not be able to raise our prices to customers or pass-through such taxes to our customers or vendors in response to changes, which could adversely affect our results of operations. If we fail to accurately anticipate or apply tax laws and regulations to our operations, we could be subject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liabilities and penalties. We may be unable to take advantage of operating losses or other tax credits to the full extent available or at all due to changes in tax regulations or our results of operations.</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Our principal leased offices in other countries as of December 31, 2021 include three offices in the United States and one office each in India and Uruguay.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do not own any office facilities. We consider these facilities to be suitable and currently adequate for the management and operations of our businesses.</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are also subject to extensive regulation which may result in regulatory proceedings or actions against us. For further information,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 and Note 24 to the consolidated financial statements.</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ind w:left="920" w:hanging="971"/>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holders of record of our common stock as of February 25, 2022 was 449. We believe the number of beneficial shareholders is substantially greater than the number of holders as a large portion of our common stock is held through brokerage firms.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our senior secured term loan agreement, as amended, also limit our ability to pay dividends.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2021, approximately 2.4 million shares of common stock remain available for repurchase under the program. There were no purchases of shares of common stock during the years ended December 31, 2021 and 2020. Luxembourg law limits share repurchases to the balance of Altisource Portfolio Solutions S.A. (unconsolidated parent company) retained earnings, less the value of shares repurchased. As of December 31, 2021, we can repurchase up to approximately $80 million of our common stock under Luxembourg law. Our senior secured term loan agreement also limits the amount we can spend on share repurchases, which limit was approximately $437 million as of December 31, 2021, and may prevent repurchases in certain circumstances, including if our leverage ratio exceeds 3.50 to 1.00.</w:t>
      </w:r>
    </w:p>
    <w:p>
      <w:pPr>
        <w:spacing w:after="0" w:line="1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below,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beginning on page 31, provides an analysis of our consolidated results of operations for the two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36, provides an analysis of our cash flows for the two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also discuss restrictions on cash movements, future commitments and capital resources.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Critical Accounting Policies, Estimates and Recent Accounting Pronouncements. </w:t>
      </w:r>
      <w:r>
        <w:rPr>
          <w:rFonts w:ascii="Arial" w:cs="Arial" w:eastAsia="Arial" w:hAnsi="Arial"/>
          <w:sz w:val="17"/>
          <w:szCs w:val="17"/>
          <w:color w:val="auto"/>
        </w:rPr>
        <w:t>This section, beginning on page 39, identifies those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This section, beginning on page 41, provides a discussion of customer concentration.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shareholders.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our offerings that support residential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in the event delinquency rates remain elevated following the expiration of the foreclosure moratoriums and forbearance plans, or customers and prospects consolidate to larger, full-service providers or outsource services that have historically been performed in-house.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also provide services to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consolidate to larger, full-service providers or outsource services that have historically been performed in-house.</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earlier stage business consists of Pointillist, a majority owned subsidiary of Altisource. We developed the Pointillist business through our consumer analytics capabilities. We believe the Pointillist business is a potentially disruptive SaaS-based platform which provides unique customer journey analytics at scale and enables customers to engage through our intelligent platform. During 2019, we created Pointillist as a separate legal entity to position it for accelerated growth and outside investment and contributed the Pointillist business and $8.5 million to it. On May 27, 2021, Pointillist issued $1.3 million in principal of convertible notes to related parties with a maturity date of January 1, 2023. The notes bore interest at a rate of 7% per annum. The principal and unpaid accrued interest then outstanding under the notes (1) would automatically convert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On October 6, 2021, the shareholders of Pointillist, entered into a definitive Stock Purchase Agreement to sell all of the equity interests in Pointillist to Genesys for $150.0 million. The Purchase Price consisted of (1) an up-front payment of $144.5 million, subject to certain adjustments, (2) $0.5 million deposited into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with the balance to be paid to the sellers thereafter. The transaction closed on December 1, 2021 and the notes were converted to Pointillist equity in connection with the transaction. On a fully diluted basis, we owned approximately 69% of the equity of Pointillist. After working capital and other applicable adjustments, we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We recognized a pre-tax and after-tax gain of $88.9 million from the sale.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response to the COVID-19 pandemic, various governmental entities and servicers implemented unprecedented foreclosure and eviction moratoriums, forbearance programs and loss mitigation measures to help mitigate the impact to borrowers and renters. As a result of these measures and other related actions, industry-wide foreclosure initiations were 89% and 67% lower for the years ended December 31, 2021 and 2020, compared to the same period in 2019, respectively (with such foreclosure initiations representing 3%, 38% and 96% of seriously delinquent loans as of the beginning of the year in 2021, 2020 and 2019, respectively). The decline in foreclosure initiations resulted in significantly lower REO referrals to Altisource and negatively impacted virtually all of Altisource’s default related services performed on delinquent loans, loans in foreclosure and REO.</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same time, beginning in the first half of 2020 the Federal Reserve lowered the target for the federal funds rate to 0% to 0.25% and bought billions of dollars of mortgage backed securities on the secondary market to reduce interest rates. As a result of the lower interest rate environment, mortgage originations were 77% and 82% higher for the years ended December 31, 2021 and 2020 compared to 2019, respectively (according to the Mortgage Bankers Association) driving higher demand for origination related services.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cannot predict the duration of the pandemic and future governmental measures. The Federal government’s foreclosure and eviction moratoriums expired at the end of July 2021. The CFPB’s rules on temporary loss mitigation measures essentially prohibited foreclosure initiations until January 1, 2022 other than a few exceptions, including for those loans that were 120 days or more delinquent prior to the pandemic. Based on these events, we believe the demand for our Default business will grow in 2022 after the expiration of the CFPB’s temporary loss mitigation rules, and stabilize during 2023 when we anticipate foreclosures commenced after the expiration of the foreclosure moratoriums, forbearance plans and temporary loss mitigation rules become REO and are sold. We further anticipate that despite the forecasted decline in origination volumes in 2022 compared to 2021, our origination business will continue to grow from new customer wins, and cross selling existing and new offerings to customers.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2021, to address lower revenue, Altisource worked to (1) reduce our cost structure, (2) maintain the infrastructure to deliver default related services for our customer base and support the anticipated increase in demand following the expiration of the moratoriums and forbearance plans, (3) accelerate the growth of our originations businesses, and (4) generate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2021, approximately 2.4 million shares of common stock remain available for repurchase under the program. There were no purchases of shares of common stock during the years ended December 31, 2021 and 2020. Luxembourg law limits share repurchases to the balance of Altisource Portfolio Solutions S.A. (unconsolidated parent company) retained earnings, less the value of shares repurchased. As of December 31, 2021, we can repurchase up to approximately $80 million of our common stock under Luxembourg law. Our senior secured term loan agreement also limits the amount we can spend on share repurchases, which limit was approximately $437 million as of December 31, 2021, and may prevent repurchases in certain circumstances, including if our leverage ratio exceeds 3.50 to 1.00.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Ocwen was our largest customer, accounting for 31% of our total revenue. Additionally, 5% of our revenue for the year ended December 31, 2021 was earned on the loan portfolios serviced by Ocwen, when a party other than Ocwen or the MSR owner selected Altisource as the service provider.</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2,300 of its foreclosure auction inventory on Government Loans to us and increased our percentage of field services referrals on its Government Loans.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including Ocwen’s sub-servicing arrangement with NRZ expiring without renewal,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89"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financial performance in its default businesses was negatively impacted by the COVID-19 pandemic for the year ended December 31, 2021. Governmental, and in some instances servicer, measures to provide support to borrowers, including foreclosure and eviction moratoriums, forbearance programs, and loss mitigation measures, reduced referral volumes and inflows of REO. COVID-19 pandemic related governmental restrictions and changing vendor and consumer behavior also impacted financial performance. These impacts were partially offset by stronger performance from the Company’s origination businesses that benefited from lower interest rates, customer wins and new offerings for the year ended December 31, 2021 compared to 2020. Across the Company’s three core businesses, service revenue from customers other than Ocwen, NRZ and Front Yard Residential Corporation (“RESI”) for the year ended December 31, 2021 decreased by 5% compared to 2020. Compared to the year ended December 31, 2020, the decrease is primarily from a 64% decline in our default business, partially offset by a 11% growth in our origination businesses. Service revenue from our default and other business was $107.2 million and $290.9 million for the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ended December 31, 2021 and 2020, respectively, and service revenue from our origination business was $58.0 million and $52.3 million for the years ended December 31, 2021 and 2020, respectively.</w:t>
      </w:r>
    </w:p>
    <w:p>
      <w:pPr>
        <w:spacing w:after="0" w:line="1" w:lineRule="exact"/>
        <w:rPr>
          <w:sz w:val="20"/>
          <w:szCs w:val="20"/>
          <w:color w:val="auto"/>
        </w:rPr>
      </w:pPr>
    </w:p>
    <w:p>
      <w:pPr>
        <w:jc w:val="both"/>
        <w:ind w:left="6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October 6, 2021, the shareholders of Pointillist, a majority owned subsidiary of Altisource, entered into a definitive Stock Purchase Agreement to sell all of the equity interests in Pointillist to Genesys for $150.0 million. The Purchase Price consisted of (1) an up-front payment of $144.5 million, subject to certain adjustments, (2) $0.5 million deposited into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with the balance to be paid to the sellers thereafter. The transaction closed on December 1, 2021. On a fully diluted basis, Altisource owned approximately 69% of the equity of Pointillist.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We recognized a pre-tax and after-tax gain of $88.9 million from the sale. For the year ended December 31, 2021 and 2020, service revenue from Pointillist was $4.8 million and $2.2 million, respectively.</w:t>
      </w:r>
    </w:p>
    <w:p>
      <w:pPr>
        <w:spacing w:after="0" w:line="1"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Altisource used approximately $20.0 million of the proceeds from the sale of its equity interest in Pointillist to repay the outstanding balance on its revolving line of credit. This revolving line of credit remains available to Altisource according to its terms.</w:t>
      </w:r>
    </w:p>
    <w:p>
      <w:pPr>
        <w:jc w:val="both"/>
        <w:ind w:left="6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2" w:lineRule="exact"/>
        <w:rPr>
          <w:rFonts w:ascii="Arial" w:cs="Arial" w:eastAsia="Arial" w:hAnsi="Arial"/>
          <w:sz w:val="17"/>
          <w:szCs w:val="17"/>
          <w:color w:val="auto"/>
        </w:rPr>
      </w:pP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year ended December 31, 2020 we recognized an unrealized gain of $4.0 million from the change in fair value on our investment in RESI in other income (expense), net in the consolidated statements of operations and comprehensive income (loss) from a change in the market value of RESI common shares (no comparative amount for the year ended December 31, 2021). In 2020, the Company sold all of its remaining 3.5 million shares of RESI for net proceeds of $46.6 million. As required by our senior secured term loan agreement, the Company used the net proceeds to repay a portion of its senior secured term loan.</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August 2018, Altisource initiated Project Catalyst, a project intended to optimize its operations and reduce costs to better align its cost structure with its anticipated revenues and improve its operating margins (finalized in 2020). During the year ended December 31, 2020, Altisource incurred $12.0 million of severance costs, professional services fees, facility consolidation costs, technology costs and business wind down costs related to the reorganization plan (no comparative amount for the year ended December 31, 2021).</w:t>
      </w:r>
    </w:p>
    <w:p>
      <w:pPr>
        <w:jc w:val="both"/>
        <w:ind w:left="6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On July 1, 2020, the Company received net proceeds of $3.3 million representing TSI’s final installment payment less certain amounts owed to TSI.</w:t>
      </w:r>
    </w:p>
    <w:p>
      <w:pPr>
        <w:jc w:val="both"/>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an income tax provision of $3.2 million for the year ended December 31, 2021. The income tax provision for the year ended December 31, 2021 was driven by no income tax provision on the gain on sale of Pointillist, income tax on transfer pricing income from India, no tax benefit on the pretax loss from our Luxembourg operating company and Pointillist, uncertain tax position and tax on unrepatriated earnings in India.</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an income tax provision of $8.6 million for the year ended December 31, 2020. The income tax provision on losses before income taxes and non-controlling interests for the year ended December 31, 2020 was primarily driven by income in our US and other foreign operations from transfer pricing on services provided to our Luxembourg operating company, no tax benefit on the pretax losses from our Luxembourg operating company for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year ended December 31, 2020 and tax expense on unrepatriated earnings in India, partially offset by lower transfer pricing rates due to the COVID-19 pandemic.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results of operations for the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 Increase (decrease)</w:t>
            </w:r>
          </w:p>
        </w:tc>
        <w:tc>
          <w:tcPr>
            <w:tcW w:w="360" w:type="dxa"/>
            <w:vAlign w:val="bottom"/>
          </w:tcPr>
          <w:p>
            <w:pPr>
              <w:spacing w:after="0"/>
              <w:rPr>
                <w:sz w:val="18"/>
                <w:szCs w:val="18"/>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99"/>
        </w:trPr>
        <w:tc>
          <w:tcPr>
            <w:tcW w:w="6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170,613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347,313</w:t>
            </w: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6,555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16,285</w:t>
            </w: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1,285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1,949</w:t>
            </w: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178,453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365,547</w:t>
            </w: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171,366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305,194</w:t>
            </w:r>
          </w:p>
        </w:tc>
      </w:tr>
      <w:tr>
        <w:trPr>
          <w:trHeight w:val="22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7,087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60,353</w:t>
            </w: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67,049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92,736</w:t>
            </w:r>
          </w:p>
        </w:tc>
      </w:tr>
      <w:tr>
        <w:trPr>
          <w:trHeight w:val="230"/>
        </w:trPr>
        <w:tc>
          <w:tcPr>
            <w:tcW w:w="6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 on sale of businesses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(88,930)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5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11,972</w:t>
            </w:r>
          </w:p>
        </w:tc>
      </w:tr>
      <w:tr>
        <w:trPr>
          <w:trHeight w:val="223"/>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28,968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(44,355)</w:t>
            </w: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(14,547)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(17,730)</w:t>
            </w:r>
          </w:p>
        </w:tc>
      </w:tr>
      <w:tr>
        <w:trPr>
          <w:trHeight w:val="230"/>
        </w:trPr>
        <w:tc>
          <w:tcPr>
            <w:tcW w:w="6540" w:type="dxa"/>
            <w:vAlign w:val="bottom"/>
            <w:gridSpan w:val="2"/>
          </w:tcPr>
          <w:p>
            <w:pPr>
              <w:ind w:left="100"/>
              <w:spacing w:after="0"/>
              <w:rPr>
                <w:sz w:val="20"/>
                <w:szCs w:val="20"/>
                <w:color w:val="auto"/>
              </w:rPr>
            </w:pPr>
            <w:r>
              <w:rPr>
                <w:rFonts w:ascii="Arial" w:cs="Arial" w:eastAsia="Arial" w:hAnsi="Arial"/>
                <w:sz w:val="18"/>
                <w:szCs w:val="18"/>
                <w:color w:val="auto"/>
              </w:rPr>
              <w:t>Unrealized gain on investment in equity securities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4,004</w:t>
            </w:r>
          </w:p>
        </w:tc>
      </w:tr>
      <w:tr>
        <w:trPr>
          <w:trHeight w:val="229"/>
        </w:trPr>
        <w:tc>
          <w:tcPr>
            <w:tcW w:w="6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864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375</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(13,683)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(13,351)</w:t>
            </w:r>
          </w:p>
        </w:tc>
      </w:tr>
      <w:tr>
        <w:trPr>
          <w:trHeight w:val="216"/>
        </w:trPr>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 and non-controlling interests</w:t>
            </w: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15,285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(57,706)</w:t>
            </w: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(3,232)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(8,609)</w:t>
            </w:r>
          </w:p>
        </w:tc>
      </w:tr>
      <w:tr>
        <w:trPr>
          <w:trHeight w:val="196"/>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12,053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(66,315)</w:t>
            </w:r>
          </w:p>
        </w:tc>
      </w:tr>
      <w:tr>
        <w:trPr>
          <w:trHeight w:val="230"/>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(241)</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(841)</w:t>
            </w:r>
          </w:p>
        </w:tc>
      </w:tr>
      <w:tr>
        <w:trPr>
          <w:trHeight w:val="196"/>
        </w:trPr>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Altisource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11,812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(67,156)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operations/service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Earnings (loss) per share: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5"/>
        </w:trPr>
        <w:tc>
          <w:tcPr>
            <w:tcW w:w="6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0.75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(4.31)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0.74</w:t>
            </w:r>
          </w:p>
        </w:tc>
        <w:tc>
          <w:tcPr>
            <w:tcW w:w="15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1"/>
              <w:spacing w:after="0" w:line="203" w:lineRule="exact"/>
              <w:rPr>
                <w:sz w:val="20"/>
                <w:szCs w:val="20"/>
                <w:color w:val="auto"/>
              </w:rPr>
            </w:pPr>
            <w:r>
              <w:rPr>
                <w:rFonts w:ascii="Arial" w:cs="Arial" w:eastAsia="Arial" w:hAnsi="Arial"/>
                <w:sz w:val="18"/>
                <w:szCs w:val="18"/>
                <w:color w:val="auto"/>
              </w:rPr>
              <w:t>(4.31)</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5"/>
        </w:trPr>
        <w:tc>
          <w:tcPr>
            <w:tcW w:w="6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15,839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15,598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5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16,063</w:t>
            </w:r>
          </w:p>
        </w:tc>
        <w:tc>
          <w:tcPr>
            <w:tcW w:w="15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15,598</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by line of business consists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Pr>
          <w:p>
            <w:pPr>
              <w:spacing w:after="0"/>
              <w:rPr>
                <w:sz w:val="18"/>
                <w:szCs w:val="18"/>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45,576</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3"/>
              </w:rPr>
              <w:t>(71)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157,100</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3"/>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82,189</w:t>
            </w:r>
          </w:p>
        </w:tc>
        <w:tc>
          <w:tcPr>
            <w:tcW w:w="0" w:type="dxa"/>
            <w:vAlign w:val="bottom"/>
          </w:tcPr>
          <w:p>
            <w:pPr>
              <w:spacing w:after="0"/>
              <w:rPr>
                <w:sz w:val="1"/>
                <w:szCs w:val="1"/>
                <w:color w:val="auto"/>
              </w:rPr>
            </w:pPr>
          </w:p>
        </w:tc>
      </w:tr>
      <w:tr>
        <w:trPr>
          <w:trHeight w:val="230"/>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83,627</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3"/>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103,906</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Earlier Stage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3"/>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3"/>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140"/>
              <w:spacing w:after="0"/>
              <w:rPr>
                <w:sz w:val="20"/>
                <w:szCs w:val="20"/>
                <w:color w:val="auto"/>
              </w:rPr>
            </w:pPr>
            <w:r>
              <w:rPr>
                <w:rFonts w:ascii="Arial" w:cs="Arial" w:eastAsia="Arial" w:hAnsi="Arial"/>
                <w:sz w:val="18"/>
                <w:szCs w:val="18"/>
                <w:color w:val="auto"/>
              </w:rPr>
              <w:t>Field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3"/>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3"/>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reimbursable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3"/>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Mortgage and Real Estate Solutions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3"/>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178,453</w:t>
            </w: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365,547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2021 service revenue of $170.6 million was 51% lower than 2020 primarily from COVID-19 pandemic related foreclosure and eviction moratoriums and borrower forbearance plans, and an MSR investor’s 2020 instructions to Ocwen to transition field services, title and valuation referrals historically provided to Altisource to the MSR investor’s captive vendors. The decrease for the year ended December 31, 2021 was partially offset by an increase in revenue from our origination business of 11%, from higher origination related volumes driven by a lower interest rate environment, customer wins and new offerings.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reimbursable expense revenue of $6.6 million for the year ended December 31, 2021, a 60% decrease compared to the year ended December 31, 2020. The decreases in reimbursable expense revenue for the year ended December 31, 2021 was consistent with the decline in service revenue discussed above.</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and Gross Profit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and depreciation and amortization of operating assets.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94,365</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66,386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146,322</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16,285</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171,366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305,194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recognized cost of revenue of $171.4 million for the year ended December 31, 2021, a 44% decrease compared to the year ended December 31, 2020. The decrease in outside fees and services was primarily driven by lower service revenue in the Field Services, Marketplace and Mortgage and Real Estate Solutions businesses, discussed in the revenue section above. Compensation and benefits decreased primarily due to cash cost savings measures taken in 2020 in response to the COVID-19 related decrease in service revenue and reduction in revenue from Ocwen discussed in the revenue section above. The Company also continued to reduce employee costs in the year ended December 31, 2021 as a result of the extension of the expiration of foreclosure moratoriums and forbearance plans. In addition, depreciation and amortization was lower from the completion of the depreciation periods of certain premises and equipment and the reduction in capital expenditures. The decrease in reimbursable expenses was consistent with the changes in reimbursable expense revenue discussed in the revenue section above.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decreased to $7.1 million, representing 4% of service revenue, for the year ended December 31, 2021 compared to $60.4 million, representing 17% of service revenue, for the year ended December 31, 2020. Gross profit as a percentage of service revenue in 2021 decreased compared to 2020, primarily due to revenue mix with lower revenue from the higher margin Marketplace businesses and lower gross profit margin in the Field Services business. These decreases were partially offset by our COVID-19 cash cost savings measures.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9,332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19,363</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11,444</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for the year ended December 31, 2021 of $67.0 million decreased by 28% compared to the year ended December 31, 2020. The decrease was primarily driven by lower compensation and benefits, occupancy related costs and amortization of intangible assets. Compensation and benefits decreased primarily due to cash cost savings measures taken in 2020 and 2021 in response to the COVID-19 related decrease in service revenue and reduction in revenue from Ocwen discussed in the revenue section above. The decreases in occupancy related costs primarily resulted from facility consolidation initiatives. The decrease in amortization of intangible assets was driven by the completion of the amortization period of certain intangible assets during 2021 and 2020. In addition, the decrease in marketing costs were primarily driven by COVID-19 cost savings measures and the decline in revenue.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include the gain on sale of businesses and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(income) consist of the following for the years ended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r>
      <w:tr>
        <w:trPr>
          <w:trHeight w:val="196"/>
        </w:trPr>
        <w:tc>
          <w:tcPr>
            <w:tcW w:w="6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Other operating (income) expenses,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(88,930)</w:t>
            </w:r>
          </w:p>
        </w:tc>
        <w:tc>
          <w:tcPr>
            <w:tcW w:w="100" w:type="dxa"/>
            <w:vAlign w:val="bottom"/>
          </w:tcPr>
          <w:p>
            <w:pPr>
              <w:spacing w:after="0"/>
              <w:rPr>
                <w:sz w:val="19"/>
                <w:szCs w:val="19"/>
                <w:color w:val="auto"/>
              </w:rPr>
            </w:pPr>
          </w:p>
        </w:tc>
        <w:tc>
          <w:tcPr>
            <w:tcW w:w="1540" w:type="dxa"/>
            <w:vAlign w:val="bottom"/>
            <w:gridSpan w:val="2"/>
          </w:tcPr>
          <w:p>
            <w:pPr>
              <w:ind w:left="1080"/>
              <w:spacing w:after="0"/>
              <w:rPr>
                <w:sz w:val="20"/>
                <w:szCs w:val="20"/>
                <w:color w:val="auto"/>
              </w:rPr>
            </w:pPr>
            <w:r>
              <w:rPr>
                <w:rFonts w:ascii="Arial" w:cs="Arial" w:eastAsia="Arial" w:hAnsi="Arial"/>
                <w:sz w:val="18"/>
                <w:szCs w:val="18"/>
                <w:color w:val="auto"/>
              </w:rPr>
              <w:t>N/M</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 2021, Altisource sold its equity interest in Pointillist (see subsection Strategy and Core Businesses in MD&amp;A Overview for more details).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We recognized a pre-tax and after-tax gain of $88.9 million from the sale.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year ended December 31, 2020 we incurred $12.0 million (no comparative amount for the year ended December 31, 2021), of severance costs, professional services fees, facility consolidation costs, technology costs and business wind down costs related to the reorganization plan.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increased to $29.0 million, representing 17% of service revenue, for the year ended December 31, 2021 compared to a loss from operations of $(44.4) million, representing (13)% of service revenue, for the year ended December 31, 2020. Income from operations as a percentage of service revenue increased for the year ended December 31, 2021 compared to the year ended December 31, 2020, primarily as a result of the gain on sale of business recognized during the year ended December 31, 2021, lower SG&amp;A expenses and restructuring charges, partially offset by lower gross profit margins,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(expense), net principally includes interest expense, unrealized gain (loss) on our investment in RESI common shares and other non-operating gains and losses.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net was $(13.7) million for the year ended December 31, 2021 compared to $(13.4) million for the year ended December 31, 2020. The increase in other expense for the year ended December 31, 2021 was primarily driven by a $4.0 million unrealized gain on our investment in RESI common shares in 2020 (no comparative amount in 2021). The increase in other expense was partially offset by lower interest expense during the year ended December 31, 2021. Interest expense decreased primarily due to lower average outstanding balances of the senior secured term loan as a result of repayments during 2020 and lower interest rates. For the year ended December 31, 2021, the interest rate of the senior secured term loan was 5.0% compared to 5.3% for the year ended December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an income tax provision of $3.2 million and $8.6 million for the years ended December 31, 2021 and 2020, respectively.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income tax provision for the year ended December 31, 2021 was driven by no income tax provision on the gain on sale of Pointillist, income tax on transfer pricing income from India, no tax benefit on the pretax loss from our Luxembourg operating company and Pointillist, uncertain tax position and tax on unrepatriated earnings in India.</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income tax provision on losses before income taxes and non-controlling interests for the year ended December 31, 2020 was primarily driven by income in our US and other foreign operations from transfer pricing on services provided to our Luxembourg operating company, no tax benefit on the pretax losses from our Luxembourg operating company for the year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ended December 31, 2020 and tax expense on unrepatriated earnings in India, partially offset by lower transfer pricing rates due to the COVID-19 pandemic.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 of liquidity has historically been cash flow from operations, cash proceeds from sales of businesses and cash on hand. However, due to the COVID-19 pandemic and an MSR investor’s instructions to Ocwen to transition field services, valuation and title services to the investor's captive service providers, revenue has declined significantly. The lower revenue, partially offset by cost savings initiatives, resulted in negative operating cash flow from operations for the year ended December 31, 2021. To increase our liquidity we entered into a $20 million revolving credit facility during the second quarter of 2021. In addition, Altisource’s December 1, 2021 sale of its equity interest in Pointillist increased our liquidity. The Pointillist sale generated approximately $106.0 million in cash, with $102.2 million received at closing, approximately $0.3 million deposited into the Working Capital Escrow and approximately $3.5 million deposited into the Indemnification Escrow. Finally, we believe the anticipated 2022 growth in our origination and default businesses along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3, 2018, Altisource Portfolio Solutions S.A. and its wholly-owned subsidiary, Altisource S.à r.l. entered into a credit agreement (the “Credit Agreement”) pursuant to which Altisource borrowed $412.0 million in the form of Term B Loans and obtained a $15.0 million revolving credit facility. The Term B Loans mature in April 2024. We terminated the revolving credit facility on December 1, 2021. As of December 31, 2021, the principal balance of the Term B Loans was $247.2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mandatory repayments of the Term B Loans due until maturity in April 2024, except as otherwise described herein and in the Credit Agreement.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interest rate on the Term B Loans as of December 31, 2021 was 5.00%, representing the sum of (i) the greater of (x) the Adjusted Eurodollar Rate for a three month interest period and (y) 1.00% plus (ii) 4.00%.</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STS is an investment fund managed by Deer Park Road Management Company, LP. Deer Park Road Management Company, LP owns approximately 24% of Altisource’s common stock as of December 31,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amounts borrowed pursuant to the Credit Facility will amortize over the three-year term as follows: on June 22, 2022, the difference between the then outstanding balance above $15.0 million and $15.0 million, will be due and payable by Altisource; on June 22, 2023, the difference between the then outstanding balance above $10.0 million and $10.0 million, will be due and payable by Altisource; and on June 22, 2024, the then outstanding balance of the loan will be due and payable by Altisource.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there was no outstanding debt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 Increase (decrease)</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2"/>
              </w:rPr>
              <w:t>(22,401)</w:t>
            </w:r>
          </w:p>
        </w:tc>
      </w:tr>
      <w:tr>
        <w:trPr>
          <w:trHeight w:val="23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flows provided by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102,762</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73"/>
              <w:spacing w:after="0"/>
              <w:rPr>
                <w:sz w:val="20"/>
                <w:szCs w:val="20"/>
                <w:color w:val="auto"/>
              </w:rPr>
            </w:pPr>
            <w:r>
              <w:rPr>
                <w:rFonts w:ascii="Arial" w:cs="Arial" w:eastAsia="Arial" w:hAnsi="Arial"/>
                <w:sz w:val="18"/>
                <w:szCs w:val="18"/>
                <w:color w:val="auto"/>
                <w:w w:val="87"/>
              </w:rPr>
              <w:t>47,224</w:t>
            </w: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2"/>
              </w:rPr>
              <w:t>(49,310)</w:t>
            </w: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40,053</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53"/>
              <w:spacing w:after="0"/>
              <w:rPr>
                <w:sz w:val="20"/>
                <w:szCs w:val="20"/>
                <w:color w:val="auto"/>
              </w:rPr>
            </w:pPr>
            <w:r>
              <w:rPr>
                <w:rFonts w:ascii="Arial" w:cs="Arial" w:eastAsia="Arial" w:hAnsi="Arial"/>
                <w:sz w:val="18"/>
                <w:szCs w:val="18"/>
                <w:color w:val="auto"/>
                <w:w w:val="92"/>
              </w:rPr>
              <w:t>(24,487)</w:t>
            </w: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87"/>
              </w:rPr>
              <w:t>86,583</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102,149</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87"/>
              </w:rPr>
              <w:t>62,096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income. For the year ended December 31, 2021, cash flows used in operating activities were $(60.4) million, or approximately $(0.35) for every dollar of service revenue, compared to cash flows used in operating activities of $(22.4) million, or approximately $(0.06) for every dollar of service revenue, for the year ended December 31, 2020. During the year ended December 31, 2021, the increase in cash used in operating activities was primarily driven by a $10.6 million increase in net loss excluding the gain on sale of business and a $26.3 million decrease in non-cash depreciation, amortization of intangibles, stock based compensation and deferred income tax expenses. The increase in net loss excluding the gain on sale of business was primarily due to lower gross profit during the year ended December 31, 2021 from lower service revenue driven by the COVID-19 pandemic and the loss of certain services relating to one of Ocwen’s subservicing customers, partially offset by decreases in expenses as a result of COVID-19 cash cost savings measures, the Project Catalyst cost reduction initiatives and lower SG&amp;A expenses. Operating cash flows can be negatively impacted because of the nature of some of our services and the mix of services provided. Certain services are performed immediately following or shortly after the referral,</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flows from investing activities generally include additions to premises and equipment, acquisitions and sales of businesses, and sales of equity securities. Cash flows provided by investing activities were $102.8 million and $47.2 million for the years ended December 31, 2021 and 2020, respectively. The change in cash provided by investing activities was primarily driven by $104.1 million in proceeds from the sale of businesses for the year ended December 31, 2021, including $101.1 million from the sale of equity in Pointillist and $3.0 million in connection with the second installment from the August 2018 sale of the rental property management business to RESI, compared to $3.3 million in proceeds from the sale of the Financial Services Business for 2020. We used $1.4 million and $2.7 million for the years ended December 31, 2021 and 2020, respectively, for additions to premises and equipment primarily related to investments in the development of certain software applications and facility improvements. In addition, we sold 3.5 million shares of RESI stock for net proceeds of $46.6 million during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financing activities primarily included payments of tax withholdings on issuance of restricted share units and restricted shares, distributions to non-controlling interests, debt repayments and for the year ended December 31, 2021, included proceeds from issuance of debt and debt issuance costs. Cash flows used in financing activities were $(2.3) million and $(49.3) million for the years ended December 31, 2021 and 2020, respectively. During the years ended December 31, 2021 and 2020, we used $(20.0) million and $(46.6) million, respectively, for repayments of debt from proceeds from the sale of equity in Pointillist and from proceeds from the sale of RESI common shares as discussed in the cash flows from investing activities section above. We distributed $(2.0) million and $(1.1) million, to non-controlling interests for the years ended December 31, 2021 and 2020, respectively. In addition, we made payments of $(1.0) million and $(1.6) million for the years ended December 31, 2021 and 2020, respectively, to satisfy employee tax withholding obligations on the issuance of restricted shares. These payments were made to tax authorities, at the employees’ direction, to satisfy the employees’ tax obligations rather than issuing a portion of vested restricted shares to employees. During the year ended December 31, 2021, we received proceeds from the issuance of debt of $20.0 million and used $(0.5) million in debt issuance costs in connection with borrowings under the Credit Facility, and received proceeds from the Pointillist convertible notes payable to related parties of $1.2 million (no comparable amounts for the year ended December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Liquidity Requirements after December 31, 2021</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significant future short-term liquidity obligations primarily pertain to interest expense under the Credit Agreement (see Liquidity section above), lease payments and distributions to Lenders One members. During the next 12 months, we expect to pay $12.4 million of interest expense (assuming no further principal repayments and the December 31, 2021 interest rate) under the Credit Agreement and make lease payments of $3.1 million.</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our existing cash and cash equivalents balances and available borrowings under the Credit Facility, net of our anticipated cash flows used in operations, will be sufficient to meet our liquidity needs, including required interest and lease payments, for the next 12 months.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Liquidity Requirements after December 31, 2021</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significant future long-term liquidity obligations primarily pertain to long-term debt repayments, interest expense under the Credit Agreement (see Liquidity section above) and operating lease payments on certain of our premises and equipment. The outstanding balance of our Credit Agreement of $247.2 million is due on April 1, 2024. During 2023 and 2024, we expect to pay $15.5 million of interest expense under the Credit Agreement (estimated future interest payments based on the interest rate as of December 31, 2021 and the April 1, 2024 maturity date). During 2023 and 2024, we expect to make lease payments of $3.7 million. During 2025 and 2026 we expect to make lease payments of $1.7 million. For further information, see Note 13 and Note 24 to the consolidated financial statements.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fund long-term liquidity requirements with a combination of existing cash balances, cash generated by operating activities and proceeds from the refinancing of our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$27.5 million and $20.0 million as of December 31, 2021 and 2020,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Descriptions of our principal revenue generating activities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right="2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SaaS platform, we recognize revenue over the period during which we perform the services.</w:t>
      </w:r>
    </w:p>
    <w:p>
      <w:pPr>
        <w:jc w:val="both"/>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reimbursable expenses related to our property preservation and inspection services, we recognize revenue when the service is provided and recognize an equal amount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3" w:lineRule="exact"/>
        <w:rPr>
          <w:sz w:val="20"/>
          <w:szCs w:val="20"/>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we retain on the sale) as we perform services as an agent without assuming the risks and rewards of ownership of the asset and the commission earned on the sale is a fixed percentage or amount.</w:t>
      </w:r>
    </w:p>
    <w:p>
      <w:pPr>
        <w:spacing w:after="0" w:line="2"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SaaS based technology to manage REO, short sales, foreclosure, bankruptcy and eviction processes, we recognize revenue over the estimated average number of months the REO are on the platform. We generally recognize revenue for professional services over the contract period.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title insurance services on real estate closings, we recognize revenue on a gross basis as we assume the responsibilities of the searches conducted and we are the primary obligor in the arrangement. Underwriting fees related to the issuance of the title policy are recognized separately as outside fees and services.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reimbursable expenses related to our title and foreclosure trustee services businesses, we recognize revenue when the service is provided and recognize an equal amount in cost of revenue. These amounts are recognized on a gross basis, principally because generally we have control over selection of vendors and the vendor relationships are with us, rather than with our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our customer journey analytics platform (sold on December 1, 2021), we recognized revenue primarily based on subscription fees. We recognized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estimate the fair value of the reporting units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estimated weighted average cost of capital. The market comparisons include an analysis of revenue and earnings multiples of guideline public companies compared to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record income taxes in accordance with Financial Accounting Standards Board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the consolidated financial statements for a discussion of the recent adoption of a new accounting pronouncements and the future adoption of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2021 and 2020, we recognized revenue from Ocwen of $55.6 million and $197.8 million, respectively. Revenue from Ocwen as a percentage of consolidated revenue was 31% and 54% for the years ended December 31, 2021 and 2020, respectively.</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2021 and 2020, we recognized $9.5 million and $23.8 million, respectively, of such revenue. These amounts are not included in deriving revenue from Ocwen and revenue from Ocwen as a percentage of revenue discussed above.</w:t>
      </w:r>
    </w:p>
    <w:p>
      <w:pPr>
        <w:spacing w:after="0" w:line="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2021 we entered into an Agreement with Ocwen pursuant to which the terms of certain services agreements between us and Ocwen were extended from August 2025 through August 2030 and the scope of solutions we provide to Ocwen was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expanded to include, among other things, the opportunity for the Company to provide first and second chance foreclosure auctions on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2,300 of its foreclosure auction inventory on Government Loans to us and increased our percentage of field services referrals on its Government Loans.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accounts receivable from Ocwen totaled $3.0 million, $2.8 million of which was billed and $0.2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accounts receivable from Ocwen totaled $5.9 million, $5.1 million of which was billed and $0.8 million of which was unbilled.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NRZ</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Altisource, through its licensed subsidiaries, entered into a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and 2020, we recognized revenue from NRZ of $3.1 million and $8.6 million, respectively, under the Brokerage Agreement. For the years ended December 31, 2021 and 2020, we recognized additional revenue of $13.6 million and $35.1 million, respectively, relating to the Subject MSRs when a party other than NRZ selects Altisource as the service provider.</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2021, the interest rate charged on the Term B Loan was 5.00%. The interest rate is calculated based on the Adjusted Eurodollar Rate for a three month interest period (as defined in the senior secured term loan agreement) with a minimum floor of 1.00% plus 4.00%.</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principal amount outstanding and the Adjusted Eurodollar Rate as of December 31, 2021, a one percentage point increase in the Eurodollar rate above the minimum floor would increase our annual interest expense by approximately $2.5 million. There would be no decrease in our annual interest expense if there was a one percentage point decrease in the Eurodollar Rate, as a result of the 1.00% minimum floor.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2021, a one percentage point increase or decrease in value of the Indian rupee in relation to the United States dollar would increase or decrease our annual expenses by approximately $0.3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337"/>
        </w:trPr>
        <w:tc>
          <w:tcPr>
            <w:tcW w:w="1024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E32E1"/>
              </w:rPr>
              <w:t>(PCAOB</w:t>
            </w:r>
            <w:r>
              <w:rPr>
                <w:rFonts w:ascii="Arial" w:cs="Arial" w:eastAsia="Arial" w:hAnsi="Arial"/>
                <w:sz w:val="18"/>
                <w:szCs w:val="18"/>
                <w:color w:val="0000FF"/>
              </w:rPr>
              <w:t xml:space="preserve"> </w:t>
            </w:r>
            <w:r>
              <w:rPr>
                <w:rFonts w:ascii="Arial" w:cs="Arial" w:eastAsia="Arial" w:hAnsi="Arial"/>
                <w:sz w:val="18"/>
                <w:szCs w:val="18"/>
                <w:color w:val="0E32E1"/>
              </w:rPr>
              <w:t>ID 199)</w:t>
            </w:r>
          </w:p>
        </w:tc>
        <w:tc>
          <w:tcPr>
            <w:tcW w:w="98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940" w:type="dxa"/>
            <w:vAlign w:val="bottom"/>
            <w:shd w:val="clear" w:color="auto" w:fill="0E32E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4660" w:type="dxa"/>
            <w:vAlign w:val="bottom"/>
            <w:gridSpan w:val="3"/>
          </w:tcPr>
          <w:p>
            <w:pPr>
              <w:spacing w:after="0"/>
              <w:rPr>
                <w:rFonts w:ascii="Arial" w:cs="Arial" w:eastAsia="Arial" w:hAnsi="Arial"/>
                <w:sz w:val="18"/>
                <w:szCs w:val="18"/>
                <w:color w:val="0000FF"/>
                <w:w w:val="88"/>
              </w:rPr>
            </w:pPr>
            <w:hyperlink w:anchor="page48">
              <w:r>
                <w:rPr>
                  <w:rFonts w:ascii="Arial" w:cs="Arial" w:eastAsia="Arial" w:hAnsi="Arial"/>
                  <w:sz w:val="18"/>
                  <w:szCs w:val="18"/>
                  <w:color w:val="0000FF"/>
                  <w:w w:val="88"/>
                </w:rPr>
                <w:t>Consolidated Balance Sheets as of December 31, 2021 and 2020</w:t>
              </w:r>
            </w:hyperlink>
          </w:p>
        </w:tc>
        <w:tc>
          <w:tcPr>
            <w:tcW w:w="5580" w:type="dxa"/>
            <w:vAlign w:val="bottom"/>
            <w:gridSpan w:val="5"/>
          </w:tcPr>
          <w:p>
            <w:pPr>
              <w:spacing w:after="0"/>
              <w:rPr>
                <w:sz w:val="24"/>
                <w:szCs w:val="24"/>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49</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8980" w:type="dxa"/>
            <w:vAlign w:val="bottom"/>
            <w:gridSpan w:val="7"/>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Consolidated Statements of Operations and Comprehensive Income (Loss) for the years ended December 31, 2021 and 2020</w:t>
              </w:r>
            </w:hyperlink>
          </w:p>
        </w:tc>
        <w:tc>
          <w:tcPr>
            <w:tcW w:w="1260" w:type="dxa"/>
            <w:vAlign w:val="bottom"/>
          </w:tcPr>
          <w:p>
            <w:pPr>
              <w:spacing w:after="0"/>
              <w:rPr>
                <w:sz w:val="24"/>
                <w:szCs w:val="24"/>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6100" w:type="dxa"/>
            <w:vAlign w:val="bottom"/>
            <w:gridSpan w:val="5"/>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Consolidated Statements of Equity for the years ended December 31, 2021 and 2020</w:t>
              </w:r>
            </w:hyperlink>
          </w:p>
        </w:tc>
        <w:tc>
          <w:tcPr>
            <w:tcW w:w="288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10240" w:type="dxa"/>
            <w:vAlign w:val="bottom"/>
            <w:gridSpan w:val="8"/>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Cash Flows for the years ended December 31, 2021 and 2020</w:t>
              </w:r>
            </w:hyperlink>
          </w:p>
        </w:tc>
        <w:tc>
          <w:tcPr>
            <w:tcW w:w="980" w:type="dxa"/>
            <w:vAlign w:val="bottom"/>
            <w:gridSpan w:val="3"/>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52</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3160" w:type="dxa"/>
            <w:vAlign w:val="bottom"/>
          </w:tcPr>
          <w:p>
            <w:pP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Notes to Consolidated Financial Statements</w:t>
              </w:r>
            </w:hyperlink>
          </w:p>
        </w:tc>
        <w:tc>
          <w:tcPr>
            <w:tcW w:w="3300" w:type="dxa"/>
            <w:vAlign w:val="bottom"/>
            <w:gridSpan w:val="5"/>
          </w:tcPr>
          <w:p>
            <w:pPr>
              <w:spacing w:after="0"/>
              <w:rPr>
                <w:sz w:val="24"/>
                <w:szCs w:val="24"/>
                <w:color w:val="auto"/>
              </w:rPr>
            </w:pPr>
          </w:p>
        </w:tc>
        <w:tc>
          <w:tcPr>
            <w:tcW w:w="3780" w:type="dxa"/>
            <w:vAlign w:val="bottom"/>
            <w:gridSpan w:val="2"/>
          </w:tcPr>
          <w:p>
            <w:pPr>
              <w:spacing w:after="0"/>
              <w:rPr>
                <w:sz w:val="24"/>
                <w:szCs w:val="24"/>
                <w:color w:val="auto"/>
              </w:rPr>
            </w:pPr>
          </w:p>
        </w:tc>
        <w:tc>
          <w:tcPr>
            <w:tcW w:w="980" w:type="dxa"/>
            <w:vAlign w:val="bottom"/>
            <w:gridSpan w:val="3"/>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53</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2021 and 2020, and the related consolidated statements of operations and comprehensive income (loss), equity, and cash flows for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two years in the period ended December 31, 2021, in conformity with accounting principles generally accepted in the United States of America (“U.S. GAAP”).</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6"/>
          <w:szCs w:val="16"/>
          <w:i w:val="1"/>
          <w:iCs w:val="1"/>
          <w:color w:val="auto"/>
        </w:rPr>
        <w:t>2013 Internal Control - Integrated Framework</w:t>
      </w:r>
      <w:r>
        <w:rPr>
          <w:rFonts w:ascii="Arial" w:cs="Arial" w:eastAsia="Arial" w:hAnsi="Arial"/>
          <w:sz w:val="16"/>
          <w:szCs w:val="16"/>
          <w:color w:val="auto"/>
        </w:rPr>
        <w:t xml:space="preserve"> issued by the Committee of Sponsoring Organizations of the Treadway Commission and our report dated March March 3, 2022 expressed an unqualified opinion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Concentration of Revenue and Uncertainties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discussed in Note 3 to the financial statements, Ocwen Financial Corporation (together with its subsidiaries, “Ocwen”) is the Company’s largest customer. Ocwen purchases certain mortgage services from the Company under the terms of services agreements with terms extending through August 2030. Ocwen has disclosed that New Residential Investment Corp. (“NRZ”) is its largest client. In July 2017 and January 2018, Ocwen and NRZ entered into a series of agreements pursuant to which the parties agreed, among other things, to undertake certain actions to facilitate the transfer from Ocwen to NRZ of Ocwen’s legal title to certain mortgage servicing rights (“MSRs”) and under which Ocwen will subservice mortgage loans underlying these MSRs for an initial term of five years, subject to early termination rights. As discussed in Note 24 to the financial statements, NRZ can terminate its sub-servicing agreement with Ocwen in exchange for the payment of a termination fee. During the second quarter of 2020, Ocwen informed the Company that an MSR investor instructed Ocwen to use a field services provider other than the Company on properties associated with certain MSRs. Ocwen also communicated to the Company in the fourth quarter of 2020 that the same investor instructed Ocwen to use a provider for default valuations and certain default title services other than the Company on properties associated with certain MSRs and commenced moving these referrals to other providers in the fourth quarter of 2020. Ocwen has disclosed that it is subject to a number of regulatory matters and may become subject to future adverse regulatory or other actions. The existence or outcome of Ocwen regulatory matters or the termination of the NRZ sub-servicing agreement with Ocwen may have significant adverse effects on Ocwen’s business and/or the Company’s continuing relationship with Ocwen. Note 24 also discusses potential events that could further significantly reduce the Company’s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(i) relate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described further in Note 2 and Note 21 to the financial statements, the Company is subject to income taxes in Luxembourg, as well as the United States and a number of other foreign jurisdictions. The application of tax laws to the Company’s operations can be complex and subject to different interpretations by the taxpayer and respective governmental taxing authorities. Significant judgment is required in the application of tax laws to each of the different jurisdictions to determine the consolidated income tax expense. The application of different tax laws also requires judgment in evaluating tax positions, uncertainties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and complexities in determining the recoverability of deferred tax assets in both domestic and foreign jurisdictions. We identified the evaluation of the accounting for income taxes as a critical audit matter.</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principal considerations for our determination that auditing income taxes is a critical audit matter included: (i) the specialized expertise and experience necessary in evaluating the completeness and accuracy of the foreign tax provisions primarily due to the Company’s presence in numerous foreign jurisdictions with varying complexity in tax laws and regulations; (ii) the subjective auditor judgment involved in evaluating the transfer pricing methodology and existence of uncertain tax positions; (iii) the complex auditor judgment involved in evaluating the valuation of the Company’s identified uncertain tax positions; and (iv) the complex auditor judgment involved in evaluating the various forms of available positive and negative evidence regarding the recoverability of deferred tax assets, specifically due to the Company’s multinational presence.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66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Testing the design and operating effectiveness of certain internal controls over the Company’s income tax reporting process, including controls related to the identification and application of tax laws in different jurisdictions, the recoverability of deferred tax assets, and the identification and evaluation of significant assumptions used in determining the assessment of uncertain tax positions in foreign locations;</w:t>
      </w:r>
    </w:p>
    <w:p>
      <w:pPr>
        <w:spacing w:after="0" w:line="57"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 understanding of the Company’s overall legal entity structure by reading and evaluating the Company’s organizational charts and associated documentation, including legal documents;</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Testing the income tax provision in each significant taxable jurisdiction, including performing procedures designed to test the completeness and accuracy of the statutory rates used and permanent and temporary differences identified by obtaining an understanding of the tax laws applicable in the respective jurisdiction and evaluating communications with tax advisors and governmental taxing authorities, accounting records, tax returns, and other evidential documentation, including assessing the completeness and accuracy of the underlying data used by the Company in its calculations;</w:t>
      </w:r>
    </w:p>
    <w:p>
      <w:pPr>
        <w:spacing w:after="0" w:line="79"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Evaluating and testing the appropriateness of the methods and assumptions used in developing the Company’s estimate of the recoverability of its deferred tax assets and the identification and assessment of the valuation of uncertain tax positions in each of its taxable jurisdictions, including the determination of whether the methods were consistent with the requirements of U.S. GAAP, whether the data was appropriately used, and whether the significant assumptions were reasonable and appropriately applied within the methods.</w:t>
      </w:r>
    </w:p>
    <w:p>
      <w:pPr>
        <w:spacing w:after="0" w:line="6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involved domestic and international tax professionals with specialized skills and knowledge who assisted in (1) obtaining an understanding of the tax laws in each respective jurisdiction; (2) assessing tax positions and transfer pricing studies; and (3) evaluating the Company’s interpretation of tax law and its assessment and measurement of certain tax uncertainties and expected outcomes by interpreting tax laws and evaluating and reading advice obtained from the Company’s external specialists as well as correspondence with governmental taxing authorities.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Disposal of Business - Fair Value of the Single Reporting Unit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Note 4 to the financial statements, the Company and other shareholders of Pointillist, Inc. (“Pointillist”) entered into a definitive Stock Purchase Agreement to sell all of the equity interests in Pointillist to Genesys Cloud Services, Inc. (the “Transaction”). The Company received approximately $106.0 million from the sale. During 2021, as a result of this Transaction, the Company performed a relative fair value analysis, resulting in the allocation of approximately $17.9 million of goodwill attributable to the operations of Pointillist used to determine the gain on disposal.</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the auditing of the reporting unit operations retained in performing the relative fair value analysis used to determine the goodwill associated with the sale of Pointillist as a critical audit matter. The principal consideration for this determination was the degree of auditor judgment necessary in evaluating the significant assumptions used by the Company in developing the estimate of the fair value of the Company’s remaining single reporting unit using the discounted cash flow and guideline public company approach.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an understanding of management’s process for developing the estimated fair value of the Company’s operations after the Transaction.</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the effectiveness of certain internal controls over the Company’s process for estimating the fair value, including controls related to the identification of the appropriate valuation models and determination of significant assumptions used in determining the fair value estimate under the income and market approach.</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the appropriateness of the valuation methods used in developing the fair value estimate using the discounted cash flow and guideline public company approaches, including the determination of whether the methods were consistent with best practices for estimating fair value in financial reporting and requirements of U.S. GAAP, whether the inputs and assumptions were appropriately used, the significant inputs and assumptions were appropriately applied within each method, and evaluating the weighting of each method in determining the overall conclusion of fair value.</w:t>
      </w:r>
    </w:p>
    <w:p>
      <w:pPr>
        <w:spacing w:after="0" w:line="79"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Testing the data used in developing the fair value estimate under the discounted cash flow and guideline public company approach, including procedures to determine whether the data was complete and accurate, sufficiently precise, and whether the changes in the sources of data from the prior year were reasonable. • Identifying and evaluating the significant assumptions used in developing the fair value of the reporting unit retained under the discounted cash flow and guideline public company approach, including evaluating whether:</w:t>
      </w:r>
    </w:p>
    <w:p>
      <w:pPr>
        <w:spacing w:after="0" w:line="63" w:lineRule="exact"/>
        <w:rPr>
          <w:rFonts w:ascii="Arial" w:cs="Arial" w:eastAsia="Arial" w:hAnsi="Arial"/>
          <w:sz w:val="17"/>
          <w:szCs w:val="17"/>
          <w:color w:val="auto"/>
        </w:rPr>
      </w:pPr>
    </w:p>
    <w:p>
      <w:pPr>
        <w:jc w:val="both"/>
        <w:ind w:left="1300" w:hanging="320"/>
        <w:spacing w:after="0" w:line="263" w:lineRule="auto"/>
        <w:tabs>
          <w:tab w:leader="none" w:pos="12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projected future cash flows, including the long term revenue growth rates and gross margin assumptions, used by management were reasonable considering current and past performance, consistency with the external market and industry data, and consistency with evidence obtained from procedures performed in other areas of the audit;</w:t>
      </w:r>
    </w:p>
    <w:p>
      <w:pPr>
        <w:spacing w:after="0" w:line="75" w:lineRule="exact"/>
        <w:rPr>
          <w:rFonts w:ascii="Arial" w:cs="Arial" w:eastAsia="Arial" w:hAnsi="Arial"/>
          <w:sz w:val="18"/>
          <w:szCs w:val="18"/>
          <w:color w:val="auto"/>
        </w:rPr>
      </w:pPr>
    </w:p>
    <w:p>
      <w:pPr>
        <w:ind w:left="1300" w:hanging="320"/>
        <w:spacing w:after="0" w:line="277" w:lineRule="auto"/>
        <w:tabs>
          <w:tab w:leader="none" w:pos="12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discount rate was reasonable by comparing it to a weighted average cost of capital that was independently developed using publicly available market data for comparable entities and discount rates used in previous impairment analyses;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Relevant market multiples of comparable publicly-traded companies with similar characteristics were selected by management.</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audit effort involved the use of valuation professionals with specialized skill and knowledge to assist in the evaluation of the Company’s valuation models and the application of the methods and assumptions used in developing the discounted cash flow and guideline public company approach, including the discount rate and applicable market multiples.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Altisource Portfolio Solutions S.A.: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Altisource Portfolio Solutions S.A. and subsidiaries’ (the “Company”) internal control over financial reporting as of December 31, 2021, based on criteria established in </w:t>
      </w:r>
      <w:r>
        <w:rPr>
          <w:rFonts w:ascii="Arial" w:cs="Arial" w:eastAsia="Arial" w:hAnsi="Arial"/>
          <w:sz w:val="17"/>
          <w:szCs w:val="17"/>
          <w:i w:val="1"/>
          <w:iCs w:val="1"/>
          <w:color w:val="auto"/>
        </w:rPr>
        <w:t>2013 Internal Control - 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2</w:t>
      </w:r>
      <w:r>
        <w:rPr>
          <w:rFonts w:ascii="Arial" w:cs="Arial" w:eastAsia="Arial" w:hAnsi="Arial"/>
          <w:sz w:val="17"/>
          <w:szCs w:val="17"/>
          <w:i w:val="1"/>
          <w:iCs w:val="1"/>
          <w:color w:val="auto"/>
        </w:rPr>
        <w:t>013 Internal Control - Integrated Framework</w:t>
      </w:r>
      <w:r>
        <w:rPr>
          <w:rFonts w:ascii="Arial" w:cs="Arial" w:eastAsia="Arial" w:hAnsi="Arial"/>
          <w:sz w:val="17"/>
          <w:szCs w:val="17"/>
          <w:color w:val="auto"/>
        </w:rPr>
        <w:t xml:space="preserve"> issued by the COSO.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and related consolidated statements of operations and comprehensive income (loss), consolidated statement of equity and consolidated statement of cash flows as of December 31, 2021 and 2020 and for the two years in the period ended December 31, 2021 of the Company, and our report dated March 3, 2022, expressed an unqualified opinion on those consolidated financial statements and included an emphasis of matter paragraph regarding concentration of revenue and uncertainties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138,004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100,155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55,960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73,849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260"/>
              <w:spacing w:after="0"/>
              <w:rPr>
                <w:sz w:val="20"/>
                <w:szCs w:val="20"/>
                <w:color w:val="auto"/>
              </w:rPr>
            </w:pPr>
            <w:r>
              <w:rPr>
                <w:rFonts w:ascii="Arial" w:cs="Arial" w:eastAsia="Arial" w:hAnsi="Arial"/>
                <w:sz w:val="16"/>
                <w:szCs w:val="16"/>
                <w:color w:val="auto"/>
              </w:rPr>
              <w:t>LIABILITIES AND EQUITY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71,545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243,637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contingencies and regulatory matters (Note 24)</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Equity (deficit):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15,911 outstanding as of</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2021; 15,664 outstanding as of December 31, 2020)</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4"/>
              </w:rPr>
              <w:t>Treasury stock, at cost (9,502 shares as of December 31, 2021 and 9,749 shares as of December 31, 2020)</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(441,034)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Altisource deficit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(83,765)</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deficit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(82,556)</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deficit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257,808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265,685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 xml:space="preserve">ALTISOURCE PORTFOLIO SOLUTIONS S.A. Consolidated Statements of Operations and Comprehensive Income (Loss) </w:t>
      </w:r>
      <w:r>
        <w:rPr>
          <w:rFonts w:ascii="Arial" w:cs="Arial" w:eastAsia="Arial" w:hAnsi="Arial"/>
          <w:sz w:val="18"/>
          <w:szCs w:val="18"/>
          <w:b w:val="1"/>
          <w:bCs w:val="1"/>
          <w:i w:val="1"/>
          <w:iCs w:val="1"/>
          <w:color w:val="auto"/>
        </w:rPr>
        <w:t>(in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w w:val="98"/>
              </w:rPr>
              <w:t>For the years ended December 31,</w:t>
            </w:r>
          </w:p>
        </w:tc>
      </w:tr>
      <w:tr>
        <w:trPr>
          <w:trHeight w:val="187"/>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97"/>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365,547</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305,194</w:t>
            </w:r>
          </w:p>
        </w:tc>
      </w:tr>
      <w:tr>
        <w:trPr>
          <w:trHeight w:val="196"/>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60,353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 (income):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92,736</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11,972</w:t>
            </w:r>
          </w:p>
        </w:tc>
      </w:tr>
      <w:tr>
        <w:trPr>
          <w:trHeight w:val="196"/>
        </w:trPr>
        <w:tc>
          <w:tcPr>
            <w:tcW w:w="8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(44,355)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(17,730)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investment in equity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income (expense),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w:t>
            </w:r>
          </w:p>
        </w:tc>
      </w:tr>
      <w:tr>
        <w:trPr>
          <w:trHeight w:val="216"/>
        </w:trPr>
        <w:tc>
          <w:tcPr>
            <w:tcW w:w="8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r>
      <w:tr>
        <w:trPr>
          <w:trHeight w:val="196"/>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(66,315)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196"/>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Altisource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Comprehensive income (loss), net of tax</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(66,315)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196"/>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Altisource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Altisource Equity (Deficit)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Additional paid-</w:t>
            </w:r>
          </w:p>
        </w:tc>
        <w:tc>
          <w:tcPr>
            <w:tcW w:w="180" w:type="dxa"/>
            <w:vAlign w:val="bottom"/>
          </w:tcPr>
          <w:p>
            <w:pPr>
              <w:spacing w:after="0"/>
              <w:rPr>
                <w:sz w:val="11"/>
                <w:szCs w:val="11"/>
                <w:color w:val="auto"/>
              </w:rPr>
            </w:pPr>
          </w:p>
        </w:tc>
        <w:tc>
          <w:tcPr>
            <w:tcW w:w="10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Non-controlling</w:t>
            </w:r>
          </w:p>
        </w:tc>
        <w:tc>
          <w:tcPr>
            <w:tcW w:w="260" w:type="dxa"/>
            <w:vAlign w:val="bottom"/>
          </w:tcPr>
          <w:p>
            <w:pPr>
              <w:spacing w:after="0"/>
              <w:rPr>
                <w:sz w:val="11"/>
                <w:szCs w:val="11"/>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at cost</w:t>
            </w:r>
          </w:p>
        </w:tc>
        <w:tc>
          <w:tcPr>
            <w:tcW w:w="20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32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25,413</w:t>
            </w:r>
          </w:p>
        </w:tc>
        <w:tc>
          <w:tcPr>
            <w:tcW w:w="32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(21,357)</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(66,315)</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w w:val="96"/>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7,804</w:t>
            </w: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4"/>
              </w:rPr>
              <w:t>Issuance of restricted share units and restricted</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6"/>
                <w:szCs w:val="16"/>
                <w:color w:val="auto"/>
              </w:rPr>
              <w:t>shares</w:t>
            </w:r>
          </w:p>
        </w:tc>
        <w:tc>
          <w:tcPr>
            <w:tcW w:w="9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Treasury shares withheld for the payment of tax</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w w:val="97"/>
              </w:rPr>
              <w:t>on restricted share unit and restricted share</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issuances and stock option exercises</w:t>
            </w:r>
          </w:p>
        </w:tc>
        <w:tc>
          <w:tcPr>
            <w:tcW w:w="92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12,053</w:t>
            </w: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rPr>
              <w:t>Non-controlling interests eliminated on</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6"/>
                <w:szCs w:val="16"/>
                <w:color w:val="auto"/>
              </w:rPr>
              <w:t>deconsolidation (Note 2)</w:t>
            </w:r>
          </w:p>
        </w:tc>
        <w:tc>
          <w:tcPr>
            <w:tcW w:w="9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Distributions to non-controlling interest holders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2,825</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Issuance of restricted share units and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92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20"/>
              <w:spacing w:after="0" w:line="166" w:lineRule="exact"/>
              <w:rPr>
                <w:sz w:val="20"/>
                <w:szCs w:val="20"/>
                <w:color w:val="auto"/>
              </w:rPr>
            </w:pPr>
            <w:r>
              <w:rPr>
                <w:rFonts w:ascii="Arial" w:cs="Arial" w:eastAsia="Arial" w:hAnsi="Arial"/>
                <w:sz w:val="16"/>
                <w:szCs w:val="16"/>
                <w:color w:val="auto"/>
                <w:w w:val="94"/>
              </w:rPr>
              <w:t>Treasury shares withheld for the payment of tax</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line="162" w:lineRule="exact"/>
              <w:rPr>
                <w:sz w:val="20"/>
                <w:szCs w:val="20"/>
                <w:color w:val="auto"/>
              </w:rPr>
            </w:pPr>
            <w:r>
              <w:rPr>
                <w:rFonts w:ascii="Arial" w:cs="Arial" w:eastAsia="Arial" w:hAnsi="Arial"/>
                <w:sz w:val="16"/>
                <w:szCs w:val="16"/>
                <w:color w:val="auto"/>
                <w:w w:val="97"/>
              </w:rPr>
              <w:t>on restricted share unit and restricted share</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3220" w:type="dxa"/>
            <w:vAlign w:val="bottom"/>
          </w:tcPr>
          <w:p>
            <w:pPr>
              <w:ind w:left="180"/>
              <w:spacing w:after="0"/>
              <w:rPr>
                <w:sz w:val="20"/>
                <w:szCs w:val="20"/>
                <w:color w:val="auto"/>
              </w:rPr>
            </w:pPr>
            <w:r>
              <w:rPr>
                <w:rFonts w:ascii="Arial" w:cs="Arial" w:eastAsia="Arial" w:hAnsi="Arial"/>
                <w:sz w:val="16"/>
                <w:szCs w:val="16"/>
                <w:color w:val="auto"/>
              </w:rPr>
              <w:t>issuances and stock option exercises</w:t>
            </w:r>
          </w:p>
        </w:tc>
        <w:tc>
          <w:tcPr>
            <w:tcW w:w="9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6"/>
                <w:szCs w:val="16"/>
                <w:color w:val="auto"/>
              </w:rPr>
              <w:t>Balance, December 31, 2021</w:t>
            </w:r>
          </w:p>
        </w:tc>
        <w:tc>
          <w:tcPr>
            <w:tcW w:w="820" w:type="dxa"/>
            <w:vAlign w:val="bottom"/>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25,413</w:t>
            </w:r>
          </w:p>
        </w:tc>
        <w:tc>
          <w:tcPr>
            <w:tcW w:w="32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144,298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186,592</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(426,445)</w:t>
            </w:r>
          </w:p>
        </w:tc>
        <w:tc>
          <w:tcPr>
            <w:tcW w:w="10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(68,870)</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w w:val="98"/>
              </w:rPr>
              <w:t>For the years ended December 31,</w:t>
            </w:r>
          </w:p>
        </w:tc>
      </w:tr>
      <w:tr>
        <w:trPr>
          <w:trHeight w:val="187"/>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89"/>
        </w:trPr>
        <w:tc>
          <w:tcPr>
            <w:tcW w:w="8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12,053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(66,315)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14,890</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right-of-use assets under operating leases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14,720</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 on investment in equity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(4,004)</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7,804</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Amortization of debt discount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5,033</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fixed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Gain on sale of businesses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non-cash items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14,973</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(4,140)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(10,338)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and non-current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(22,401)</w:t>
            </w:r>
          </w:p>
        </w:tc>
      </w:tr>
      <w:tr>
        <w:trPr>
          <w:trHeight w:val="78"/>
        </w:trPr>
        <w:tc>
          <w:tcPr>
            <w:tcW w:w="8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Additions to premises and equipment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(2,705)</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received from sale of equity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46,622</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businesses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3,307</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47,224</w:t>
            </w:r>
          </w:p>
        </w:tc>
      </w:tr>
      <w:tr>
        <w:trPr>
          <w:trHeight w:val="78"/>
        </w:trPr>
        <w:tc>
          <w:tcPr>
            <w:tcW w:w="8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long-term debt and revolving credit facility</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(46,622)</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convertible debt payable to related parties (Note 2)</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(1,101)</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tax withholding on issuance of restricted share units and restricted shares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0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(49,310)</w:t>
            </w:r>
          </w:p>
        </w:tc>
      </w:tr>
      <w:tr>
        <w:trPr>
          <w:trHeight w:val="78"/>
        </w:trPr>
        <w:tc>
          <w:tcPr>
            <w:tcW w:w="82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(24,487)</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86,583</w:t>
            </w:r>
          </w:p>
        </w:tc>
      </w:tr>
      <w:tr>
        <w:trPr>
          <w:trHeight w:val="78"/>
        </w:trPr>
        <w:tc>
          <w:tcPr>
            <w:tcW w:w="8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62,096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8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12,532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15,697</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r>
      <w:tr>
        <w:trPr>
          <w:trHeight w:val="213"/>
        </w:trPr>
        <w:tc>
          <w:tcPr>
            <w:tcW w:w="8260" w:type="dxa"/>
            <w:vAlign w:val="bottom"/>
          </w:tcPr>
          <w:p>
            <w:pPr>
              <w:ind w:left="140"/>
              <w:spacing w:after="0"/>
              <w:rPr>
                <w:sz w:val="20"/>
                <w:szCs w:val="20"/>
                <w:color w:val="auto"/>
              </w:rPr>
            </w:pPr>
            <w:r>
              <w:rPr>
                <w:rFonts w:ascii="Arial" w:cs="Arial" w:eastAsia="Arial" w:hAnsi="Arial"/>
                <w:sz w:val="16"/>
                <w:szCs w:val="16"/>
                <w:color w:val="auto"/>
              </w:rPr>
              <w:t>Acquisition of right-of-use assets with operating lease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9"/>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Reduction of right-of-use assets from operating lease modifications or reassessments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w:t>
            </w:r>
          </w:p>
        </w:tc>
      </w:tr>
      <w:tr>
        <w:trPr>
          <w:trHeight w:val="95"/>
        </w:trPr>
        <w:tc>
          <w:tcPr>
            <w:tcW w:w="8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60" w:type="dxa"/>
            <w:vAlign w:val="bottom"/>
          </w:tcPr>
          <w:p>
            <w:pPr>
              <w:ind w:left="140"/>
              <w:spacing w:after="0"/>
              <w:rPr>
                <w:sz w:val="20"/>
                <w:szCs w:val="20"/>
                <w:color w:val="auto"/>
              </w:rPr>
            </w:pPr>
            <w:r>
              <w:rPr>
                <w:rFonts w:ascii="Arial" w:cs="Arial" w:eastAsia="Arial" w:hAnsi="Arial"/>
                <w:sz w:val="16"/>
                <w:szCs w:val="16"/>
                <w:color w:val="auto"/>
              </w:rPr>
              <w:t>Net (decrease) increase in payables for purchases of premises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with one reportable segment (total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are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and accounts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include the accounts of the Company, its wholly-owned subsidiaries and those entities in which we have a variable interest and are the primary beneficiary.</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2021, Lenders One had total assets of $2.2 million and total liabilities of $1.4 million. As of December 31, 2020, Lenders One had total assets of $2.3 million and total liabilities of $0.1 million.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On May 27, 2021, Pointillist issued $1.3 million in principal of convertible notes to related parties with a maturity date of January 1, 2023. The notes bore interest at a rate of 7% per annum. The principal and unpaid accrued interest then outstanding under the notes (1) would automatically convert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On December 1, 2021, the notes were converted to Pointillist equity and Altisource and other shareholders of Pointillist sold all of the equity interests in Pointillist (See Note 4 for additional information). Prior to the sale, Pointillist was owned by Altisource and management of Pointillist, with management of Pointillist owning a non-controlling interest representing 12.1% of the outstanding equity of Pointillist. Through December 1, 2021 Pointillist is presented in the accompanying consolidated financial statements on a consolidated basis and the portion of Pointillist owned by Pointillist management is reported as non-controlling interests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classify all highly liquid instruments with an original maturity of three months or less at the time of purchase as cash equivalents.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Accounts receivable are presented net of an allowance for expected credit losses.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The carrying value of accounts receivable, net, approximates fair value.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Premises and Equipment, Net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90"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5 years</w:t>
            </w:r>
          </w:p>
        </w:tc>
      </w:tr>
      <w:tr>
        <w:trPr>
          <w:trHeight w:val="229"/>
        </w:trPr>
        <w:tc>
          <w:tcPr>
            <w:tcW w:w="2340" w:type="dxa"/>
            <w:vAlign w:val="bottom"/>
          </w:tcPr>
          <w:p>
            <w:pPr>
              <w:spacing w:after="0"/>
              <w:rPr>
                <w:sz w:val="20"/>
                <w:szCs w:val="20"/>
                <w:color w:val="auto"/>
              </w:rPr>
            </w:pPr>
            <w:r>
              <w:rPr>
                <w:rFonts w:ascii="Arial" w:cs="Arial" w:eastAsia="Arial" w:hAnsi="Arial"/>
                <w:sz w:val="18"/>
                <w:szCs w:val="18"/>
                <w:color w:val="auto"/>
              </w:rPr>
              <w:t>Office equipment</w:t>
            </w:r>
          </w:p>
        </w:tc>
        <w:tc>
          <w:tcPr>
            <w:tcW w:w="6120" w:type="dxa"/>
            <w:vAlign w:val="bottom"/>
          </w:tcPr>
          <w:p>
            <w:pPr>
              <w:ind w:left="500"/>
              <w:spacing w:after="0"/>
              <w:rPr>
                <w:sz w:val="20"/>
                <w:szCs w:val="20"/>
                <w:color w:val="auto"/>
              </w:rPr>
            </w:pPr>
            <w:r>
              <w:rPr>
                <w:rFonts w:ascii="Arial" w:cs="Arial" w:eastAsia="Arial" w:hAnsi="Arial"/>
                <w:sz w:val="18"/>
                <w:szCs w:val="18"/>
                <w:color w:val="auto"/>
              </w:rPr>
              <w:t>5 years</w:t>
            </w:r>
          </w:p>
        </w:tc>
      </w:tr>
      <w:tr>
        <w:trPr>
          <w:trHeight w:val="22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3-5 years</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Computer software</w:t>
            </w:r>
          </w:p>
        </w:tc>
        <w:tc>
          <w:tcPr>
            <w:tcW w:w="6120" w:type="dxa"/>
            <w:vAlign w:val="bottom"/>
          </w:tcPr>
          <w:p>
            <w:pPr>
              <w:ind w:left="500"/>
              <w:spacing w:after="0"/>
              <w:rPr>
                <w:sz w:val="20"/>
                <w:szCs w:val="20"/>
                <w:color w:val="auto"/>
              </w:rPr>
            </w:pPr>
            <w:r>
              <w:rPr>
                <w:rFonts w:ascii="Arial" w:cs="Arial" w:eastAsia="Arial" w:hAnsi="Arial"/>
                <w:sz w:val="18"/>
                <w:szCs w:val="18"/>
                <w:color w:val="auto"/>
              </w:rPr>
              <w:t>3-7 years</w:t>
            </w:r>
          </w:p>
        </w:tc>
      </w:tr>
      <w:tr>
        <w:trPr>
          <w:trHeight w:val="22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Shorter of useful life, 10 years or the term of the lease</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Computer software includes the fair value of software acquired in business combinations, capitalized software development costs and purchased software. Capitalized software development and purchased software are recorded at cost and amortized using the straight-line method over their estimated useful lives. Software acquired in business combinations is recorded at fair value and amortized using the straight-line method over its estimated useful life.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account for acquisitions using the purchase method of accounting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their fair value as of the acquisition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would then test goodwill for impairment by comparing the fair value of the reporting unit with its carrying amount. If the fair value is determined to be less than its carrying amount, we recognize an impairment charge for the amount by which the carrying amount exceeds the reporting unit’s fair value; however, the loss recognized should not exceed the total amount of goodwill allocated to that reporting unit.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weighted average cost of capital. The market comparisons include an analysis of revenue and earnings multiples of guideline public companies compared to the Company.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All transaction gains and losses from the measurement of monetary balance sheet items denominated in non-United States dollar currencies are reflected in the consolidated statements of operations and comprehensive income (loss) as income or expenses, as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401(k) Plan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employees currently participate in a defined contribution 401(k) plan under which we may make matching contributions equal to a discretionary percentage determined by us. We recorded expenses of $0.5 million and $0.6 million for the years ended December 31, 2021 and 2020, respectively, related to our discretionary contributions.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recognized, we record either a contract asset (unbilled accounts receivable) or a contract liability (deferred revenue or other current liabilities), as appropriate. Descriptions of our principal revenue generating activities are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Field Services</w:t>
      </w:r>
    </w:p>
    <w:p>
      <w:pPr>
        <w:spacing w:after="0" w:line="63" w:lineRule="exact"/>
        <w:rPr>
          <w:sz w:val="20"/>
          <w:szCs w:val="20"/>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property preservation and inspection services and payment management technologies, we recognize transactional revenue when the service is provided.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vendor management transactions and our vendor management oversight software-as-a-service (“SaaS”) platform, we recognize revenue over the period during which we perform the services.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Reimbursable expenses revenue related to our property preservation and inspection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63" w:lineRule="exact"/>
        <w:rPr>
          <w:sz w:val="20"/>
          <w:szCs w:val="20"/>
          <w:color w:val="auto"/>
        </w:rPr>
      </w:pPr>
    </w:p>
    <w:p>
      <w:pPr>
        <w:jc w:val="both"/>
        <w:ind w:left="660" w:right="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real estate auction platform, real estate auction and real estate brokerage services, we recognize revenue on a net basis (i.e., the commission on the sale) as we perform services as an agent without assuming the risks and rewards of ownership of the asset and the commission earned on the sale is a fixed percentage or amount.</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SaaS based technology to manage real estate owned (“REO”), short sales, foreclosure, bankruptcy and eviction processes, we recognize revenue over the estimated average number of months the REO are on the platform. We generally recognize revenue for professional services over the contract period.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Reimbursable expenses revenue related to our real estate sales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and Real Estate Solutions</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majority of the services we provide, we recognize transactional revenue when the service is provided.</w:t>
      </w:r>
    </w:p>
    <w:p>
      <w:pPr>
        <w:spacing w:after="0" w:line="6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loan disbursement processing services, we recognize revenue over the period during which we perform the processing services with full recognition upon completion of the disbursements. For foreclosure trustee services, we recognize revenue over the period during which we perform the related services, with full recognition upon completion and/or recording the related foreclosure deed. We use judgment to determine the period over which we recognize revenue for certain of these services.</w:t>
      </w:r>
    </w:p>
    <w:p>
      <w:pPr>
        <w:spacing w:after="0" w:line="2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Reimbursable expenses revenue related to our title and foreclosure trustee services businesses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Earlier Stage Business</w:t>
      </w:r>
    </w:p>
    <w:p>
      <w:pPr>
        <w:spacing w:after="0" w:line="63" w:lineRule="exact"/>
        <w:rPr>
          <w:sz w:val="20"/>
          <w:szCs w:val="20"/>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our customer journey analytics platform (sold on December 1, 2021), we recognized revenue primarily based on subscription fees. We recognized revenue associated with implementation services and maintenance services ratably over the contract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63"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loan servicing technologies, we recognized revenue based on the number of loans on the system. We generally recognized revenue from professional services over the contract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Share-based compensation is accounted for under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record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compute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2019, the Financial Accounting Standards Board (“FASB”) issued Accounting Standards Update (“ASU”) No. 2019-12, Income Taxes (Topic 740): Simplifying the Accounting for Income Taxes. This standard is part of the FASB’s initiative to reduce complexity in accounting standards by instituting several simplifying provisions and removing several exceptions pertaining to income tax accounting. This standard is effective for annual periods beginning after December 15, 2020, including interim periods within that reporting period. The Company adopted this standard effective January 1, 2021 and has applied it prospectively. Adoption of this new standard did not have any impact on the Company’s consolidated financial statements.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FASB issued ASU No. 2020-06, Debt - Debt with Conversion and Other Options (Topic 470) and Derivatives and Hedging - Contracts in Entity’s Own Equity (Topic 815). This standard simplifies the accounting for certain financial instruments with characteristics of liability and equity, particularly convertible debt instruments. This standard is effective for annual periods beginning after December 15, 2021, including interim periods within that reporting period. Early adoption is permitted for annual periods beginning after December 15, 2020. The Company early adopted this standard effective January 1, 2021 and has applied it prospectively. Adoption of this new standard did not have a material impact on the Company’s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FASB issued ASU No. 2020-04, Reference Rate Reform on Financial Reporting and in January 2021, the FASB issued ASU No. 2021-01, Reference Rate Reform (Topic 848): Scope. This standard applies only to contracts, 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Ocwen was our largest customer, accounting for 31%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years ended December 31, 2021 and 2020, we recognized revenue from Ocwen of $55.6 million and $197.8 million, respectively. Revenue from Ocwen as a percentage of consolidated revenue was 31% and 54% for the years ended December 31, 2021 and 2020, respectively.</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earn additional revenue related to the portfolios serviced and subserviced by Ocwen when a party other than Ocwen or the MSR owner selects Altisource as the service provider. For the years ended December 31, 2021 and 2020, we recognized $9.5 million and $23.8 million, respectively, of such revenue. These amounts are not included in deriving revenue from Ocwen and revenue from Ocwen as a percentage of revenue discussed above.</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New Residential Investment Corp. (individually, together with one or more of its subsidiaries or one or more of its subsidiaries individually,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(the “Agreement”)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Federal Housing Administration (“FHA”) loans and field services on Ocwen’s FHA, Veterans Affairs and United States Department of Agriculture loans (collectively,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2,300 of its foreclosure auction inventory on Government Loans to us and increased our percentage of field services referrals on its Government Loans.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accounts receivable from Ocwen totaled $3.0 million, $2.8 million of which was billed and $0.2 million of which was unbilled.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2020, accounts receivable from Ocwen totaled $5.9 million, $5.1 million of which was billed and $0.8 million of which was unbilled.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NRZ is a real estate investment trust that invests in and manages investments primarily related to residential real estate, including MSRs and excess MSRs.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unpaid principal balance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certain of its MSRs (the “Subject MSRs”) and under which Ocwen will subservice mortgage loans underlying the MSRs for an initial term of five years, subject to early termination rights.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28, 2017, Altisource, through its licensed subsidiaries, entered into a Cooperative Brokerage Agreement, as amended, and related letter agreement (collectively, the “Brokerage Agreement”) with NRZ which extends through August 2025. Under this agreement and related amendments, Altisource remains the exclusive provider of brokerage services for REO associated with the Subject MSRs, irrespective of the subservicer, subject to certain limitations. NRZ’s brokerage subsidiary receives a cooperative brokerage commission on the sale of REO properties from these portfolios subject to certain exceptions.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Brokerage Agreement may be terminated by NRZ upon the occurrence of certain specified events. Termination events include, but are not limited to, a breach of the terms of the Brokerage Agreement (including, without limitation, the failure to meet performance standards and non-compliance with law in a material respect), the failure to maintain licenses which failure materially prevents performance of the contract, regulatory allegations of non-compliance resulting in an adversarial proceeding against NRZ, voluntary or involuntary bankruptcy, appointment of a receiver, disclosure in a Form 10-K or Form 10-Q that there is significant uncertainty about Altisource’s ability to continue as a going concern, failure to maintain a specified level of cash and an unapproved change of control.</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2021 and 2020, we recognized revenue from NRZ of $3.1 million and $8.6 million, respectively, under the Brokerage Agreement. For the years ended December 31, 2021 and 2020, we recognized additional revenue of $13.6 million and $35.1 million, respectively, relating to the Subject MSRs when a party other than NRZ selects Altisource as the service provider.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Pointillist Business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6, 2021 Altisource and other shareholders of Pointillist entered into a definitive Stock Purchase Agreement (as amended, the “SPA”) to sell all of the equity interests in Pointillist to Genesys Cloud Services, Inc. (“Genesys”) for $150.0 million (the “Purchase Price”) (the “Transaction”). The Purchase Price consisted of (1) an up-front payment of $144.5 million, subject to certain adjustments, (2) $0.5 million deposited into an escrow account to be used to satisfy potential deficits between estimated closing date working capital and actual closing date working capital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(the “Indemnification Escrow”), with the balance to be paid to the sellers thereafter. The Transaction closed on December 1, 2021. On a fully diluted basis, Altisource owned approximately 69% of the equity of Pointillist.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The present value of the amounts in escrow is included in other current assets in the accompanying consolidated balance sheets at a discounted value of $3.6 million as of December 31, 2021 (no comparative amount as of December 31, 2020). Altisource recognized a pre-tax and after-tax gain of approximately $88.9 million from the sale.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Business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2019, Altisource sold its Financial Services business, consisting of its post-charge-off consumer debt and mortgage charge-off collection services and customer relationship management services (the “Financial Services Business”) to Transworld Systems Inc. (“TSI”) for $44.0 million consisting of an up-front payment of $40.0 million, subject to a working capital adjustment (finalized during 2019) and transaction costs upon closing of the sale, and an additional $4.0 million payment on the one year anniversary of the sale closing. On July 1, 2020, the Company received net proceeds of $3.3 million representing TSI’s final installment payment less certain amounts owed to TSI.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in August 2018 and the second installment of $3.0 million was received in January 2021. The present value of the second installment is included in other assets in the accompanying consolidated balance sheets at a discounted value of $2.5 million as of December 31, 2020 (no comparative amount as of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 IN EQUITY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2016, we purchased 4.1 million shares of RESI common stock. This investment is reflected in the accompanying consolidated balance sheets at fair value and changes in fair value are included in other income (expense), net in the accompanying consolidated statements of operations and comprehensive income (loss). As of December 31, 2021 and December 31, 2020, we held no shares of RESI common stock. During the year ended December 31, 2020 we recognized an unrealized gain from the change in fair value of $4.0 million in the consolidated statements of operations and comprehensive income (loss) (no comparative amount for the year ended December 31, 2021).</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unrealized gain for year ended December 31, 2020 included $4.1 million of net gains recognized on RESI shares sold during the period (no comparative amount for the year ended December 31, 2021). During the year ended December 31, 2020 we earned dividends of $0.5 million related to this investment (no comparative amount for the year ended December 31, 2021).</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2020, the Company sold all of its remaining 3.5 million shares for net proceeds of $46.6 million. As required by our senior secured term loan agreement, the Company used the net proceeds to repay a portion of its senior secured term loan.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19,703</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8,291</w:t>
            </w: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 for expected credit losses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Balance at Beginning of</w:t>
            </w: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18"/>
                <w:szCs w:val="18"/>
                <w:b w:val="1"/>
                <w:bCs w:val="1"/>
                <w:color w:val="auto"/>
                <w:vertAlign w:val="superscript"/>
              </w:rPr>
              <w:t>(1)</w:t>
            </w:r>
          </w:p>
        </w:tc>
        <w:tc>
          <w:tcPr>
            <w:tcW w:w="40" w:type="dxa"/>
            <w:vAlign w:val="bottom"/>
          </w:tcPr>
          <w:p>
            <w:pPr>
              <w:spacing w:after="0"/>
              <w:rPr>
                <w:sz w:val="10"/>
                <w:szCs w:val="10"/>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Balance at End of Period</w:t>
            </w:r>
          </w:p>
        </w:tc>
        <w:tc>
          <w:tcPr>
            <w:tcW w:w="0" w:type="dxa"/>
            <w:vAlign w:val="bottom"/>
          </w:tcPr>
          <w:p>
            <w:pPr>
              <w:spacing w:after="0"/>
              <w:rPr>
                <w:sz w:val="1"/>
                <w:szCs w:val="1"/>
                <w:color w:val="auto"/>
              </w:rPr>
            </w:pPr>
          </w:p>
        </w:tc>
      </w:tr>
      <w:tr>
        <w:trPr>
          <w:trHeight w:val="189"/>
        </w:trPr>
        <w:tc>
          <w:tcPr>
            <w:tcW w:w="4380" w:type="dxa"/>
            <w:vAlign w:val="bottom"/>
            <w:gridSpan w:val="2"/>
            <w:vMerge w:val="continue"/>
          </w:tcPr>
          <w:p>
            <w:pPr>
              <w:spacing w:after="0"/>
              <w:rPr>
                <w:sz w:val="16"/>
                <w:szCs w:val="16"/>
                <w:color w:val="auto"/>
              </w:rPr>
            </w:pPr>
          </w:p>
        </w:tc>
        <w:tc>
          <w:tcPr>
            <w:tcW w:w="1120" w:type="dxa"/>
            <w:vAlign w:val="bottom"/>
          </w:tcPr>
          <w:p>
            <w:pPr>
              <w:jc w:val="center"/>
              <w:ind w:left="442"/>
              <w:spacing w:after="0"/>
              <w:rPr>
                <w:sz w:val="20"/>
                <w:szCs w:val="20"/>
                <w:color w:val="auto"/>
              </w:rPr>
            </w:pPr>
            <w:r>
              <w:rPr>
                <w:rFonts w:ascii="Arial" w:cs="Arial" w:eastAsia="Arial" w:hAnsi="Arial"/>
                <w:sz w:val="14"/>
                <w:szCs w:val="14"/>
                <w:b w:val="1"/>
                <w:bCs w:val="1"/>
                <w:color w:val="auto"/>
                <w:w w:val="91"/>
              </w:rPr>
              <w:t>Period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12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28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120" w:type="dxa"/>
            <w:vAlign w:val="bottom"/>
            <w:gridSpan w:val="5"/>
          </w:tcPr>
          <w:p>
            <w:pPr>
              <w:spacing w:after="0"/>
              <w:rPr>
                <w:sz w:val="20"/>
                <w:szCs w:val="20"/>
                <w:color w:val="auto"/>
              </w:rPr>
            </w:pPr>
            <w:r>
              <w:rPr>
                <w:rFonts w:ascii="Arial" w:cs="Arial" w:eastAsia="Arial" w:hAnsi="Arial"/>
                <w:sz w:val="23"/>
                <w:szCs w:val="23"/>
                <w:color w:val="auto"/>
                <w:w w:val="92"/>
                <w:vertAlign w:val="superscript"/>
              </w:rPr>
              <w:t>(1)</w:t>
            </w:r>
            <w:r>
              <w:rPr>
                <w:rFonts w:ascii="Arial" w:cs="Arial" w:eastAsia="Arial" w:hAnsi="Arial"/>
                <w:sz w:val="18"/>
                <w:szCs w:val="18"/>
                <w:color w:val="auto"/>
                <w:w w:val="92"/>
              </w:rPr>
              <w:t xml:space="preserve">   Amounts written off as uncollectible or transferred to other accounts or utilized.</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w w:val="98"/>
              </w:rPr>
              <w:t>NOTE 7 — PREPAID EXPENSES AND OTHER CURRENT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gridSpan w:val="6"/>
          </w:tcPr>
          <w:p>
            <w:pPr>
              <w:spacing w:after="0"/>
              <w:rPr>
                <w:sz w:val="20"/>
                <w:szCs w:val="20"/>
                <w:color w:val="auto"/>
              </w:rPr>
            </w:pPr>
            <w:r>
              <w:rPr>
                <w:rFonts w:ascii="Arial" w:cs="Arial" w:eastAsia="Arial" w:hAnsi="Arial"/>
                <w:sz w:val="18"/>
                <w:szCs w:val="18"/>
                <w:color w:val="auto"/>
                <w:w w:val="90"/>
              </w:rPr>
              <w:t>Prepaid expenses and other current assets consist of the following as of December 31: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2,865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agreements, current portion</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current assets</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8,879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21,864</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1"/>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 PREMISES AND EQUIPMENT, NET</w:t>
            </w: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3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500" w:type="dxa"/>
            <w:vAlign w:val="bottom"/>
            <w:gridSpan w:val="3"/>
          </w:tcPr>
          <w:p>
            <w:pPr>
              <w:spacing w:after="0"/>
              <w:rPr>
                <w:sz w:val="20"/>
                <w:szCs w:val="20"/>
                <w:color w:val="auto"/>
              </w:rPr>
            </w:pPr>
            <w:r>
              <w:rPr>
                <w:rFonts w:ascii="Arial" w:cs="Arial" w:eastAsia="Arial" w:hAnsi="Arial"/>
                <w:sz w:val="17"/>
                <w:szCs w:val="17"/>
                <w:color w:val="auto"/>
                <w:w w:val="98"/>
              </w:rPr>
              <w:t>Premises and equipment, net consists of the following as of December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50,452</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52,837</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14,792</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61,631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(54,758)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(63,434)</w:t>
            </w: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6,873</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amounted to $4.6 million and $14.9 million for the years ended December 31, 2021 and 2020, respectively, and is included in cost of revenue for operating assets and in selling, general and administrative expenses for non-operating assets in the consolidated statements of operations and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 of the following, by country, as of December 31:</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2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5,530</w:t>
            </w:r>
          </w:p>
        </w:tc>
      </w:tr>
      <w:tr>
        <w:trPr>
          <w:trHeight w:val="23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29"/>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Uruguay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196"/>
        </w:trPr>
        <w:tc>
          <w:tcPr>
            <w:tcW w:w="8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r>
      <w:tr>
        <w:trPr>
          <w:trHeight w:val="21"/>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ind w:right="4620"/>
        <w:spacing w:after="0" w:line="394" w:lineRule="auto"/>
        <w:rPr>
          <w:sz w:val="20"/>
          <w:szCs w:val="20"/>
          <w:color w:val="auto"/>
        </w:rPr>
      </w:pPr>
      <w:r>
        <w:rPr>
          <w:rFonts w:ascii="Arial" w:cs="Arial" w:eastAsia="Arial" w:hAnsi="Arial"/>
          <w:sz w:val="17"/>
          <w:szCs w:val="17"/>
          <w:b w:val="1"/>
          <w:bCs w:val="1"/>
          <w:color w:val="auto"/>
        </w:rPr>
        <w:t xml:space="preserve">NOTE 9 — RIGHT-OF-USE ASSETS UNDER OPERATING LEASES, NET </w:t>
      </w:r>
      <w:r>
        <w:rPr>
          <w:rFonts w:ascii="Arial" w:cs="Arial" w:eastAsia="Arial" w:hAnsi="Arial"/>
          <w:sz w:val="17"/>
          <w:szCs w:val="17"/>
          <w:color w:val="auto"/>
        </w:rPr>
        <w:t>Right-of-use assets under operating leases, net consists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31,932</w:t>
            </w: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(13,719)</w:t>
            </w:r>
          </w:p>
        </w:tc>
      </w:tr>
      <w:tr>
        <w:trPr>
          <w:trHeight w:val="237"/>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18,213</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operating leases was $7.9 million and $10.2 million for the years ended December 31, 2021 and 2020, respectively, and is included in cost of revenue for operating assets and in selling, general and administrative expenses for non-operating assets in the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during the years ended December 31, 2021 and 2020 are summarized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9"/>
        </w:trPr>
        <w:tc>
          <w:tcPr>
            <w:tcW w:w="9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2020 and December 31, 2020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73,849</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Write-off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2"/>
              </w:rPr>
              <w:t>(17,889)</w:t>
            </w:r>
          </w:p>
        </w:tc>
        <w:tc>
          <w:tcPr>
            <w:tcW w:w="0" w:type="dxa"/>
            <w:vAlign w:val="bottom"/>
          </w:tcPr>
          <w:p>
            <w:pPr>
              <w:spacing w:after="0"/>
              <w:rPr>
                <w:sz w:val="1"/>
                <w:szCs w:val="1"/>
                <w:color w:val="auto"/>
              </w:rPr>
            </w:pPr>
          </w:p>
        </w:tc>
      </w:tr>
      <w:tr>
        <w:trPr>
          <w:trHeight w:val="250"/>
        </w:trPr>
        <w:tc>
          <w:tcPr>
            <w:tcW w:w="9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375"/>
              <w:spacing w:after="0"/>
              <w:rPr>
                <w:sz w:val="20"/>
                <w:szCs w:val="20"/>
                <w:color w:val="auto"/>
              </w:rPr>
            </w:pPr>
            <w:r>
              <w:rPr>
                <w:rFonts w:ascii="Arial" w:cs="Arial" w:eastAsia="Arial" w:hAnsi="Arial"/>
                <w:sz w:val="18"/>
                <w:szCs w:val="18"/>
                <w:color w:val="auto"/>
                <w:w w:val="87"/>
              </w:rPr>
              <w:t>55,960</w:t>
            </w: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9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60" w:hanging="252"/>
        <w:spacing w:after="0" w:line="234" w:lineRule="auto"/>
        <w:tabs>
          <w:tab w:leader="none" w:pos="283"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During 2021, the Company sold its equity interest in Pointillist (See Note 4 for additional information) which had $17.9 million of goodwill attributed to it. The amount of goodwill attributable to Pointillist was based on the relative fair values of Pointillist and the Company excluding Pointillist. Pointillist was determined to be a business within the Company’s existing reporting unit.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estimated</w:t>
            </w:r>
          </w:p>
        </w:tc>
        <w:tc>
          <w:tcPr>
            <w:tcW w:w="280" w:type="dxa"/>
            <w:vAlign w:val="bottom"/>
          </w:tcPr>
          <w:p>
            <w:pPr>
              <w:spacing w:after="0"/>
              <w:rPr>
                <w:sz w:val="11"/>
                <w:szCs w:val="11"/>
                <w:color w:val="auto"/>
              </w:rPr>
            </w:pPr>
          </w:p>
        </w:tc>
        <w:tc>
          <w:tcPr>
            <w:tcW w:w="22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1"/>
                <w:szCs w:val="11"/>
                <w:color w:val="auto"/>
              </w:rPr>
            </w:pPr>
          </w:p>
        </w:tc>
        <w:tc>
          <w:tcPr>
            <w:tcW w:w="228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Accumulated amortization</w:t>
            </w:r>
          </w:p>
        </w:tc>
        <w:tc>
          <w:tcPr>
            <w:tcW w:w="280" w:type="dxa"/>
            <w:vAlign w:val="bottom"/>
          </w:tcPr>
          <w:p>
            <w:pPr>
              <w:spacing w:after="0"/>
              <w:rPr>
                <w:sz w:val="11"/>
                <w:szCs w:val="11"/>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Net book value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 xml:space="preserve">useful life </w:t>
            </w:r>
            <w:r>
              <w:rPr>
                <w:rFonts w:ascii="Arial" w:cs="Arial" w:eastAsia="Arial" w:hAnsi="Arial"/>
                <w:sz w:val="11"/>
                <w:szCs w:val="11"/>
                <w:b w:val="1"/>
                <w:bCs w:val="1"/>
                <w:i w:val="1"/>
                <w:iCs w:val="1"/>
                <w:color w:val="auto"/>
              </w:rPr>
              <w:t>(in</w:t>
            </w:r>
          </w:p>
        </w:tc>
        <w:tc>
          <w:tcPr>
            <w:tcW w:w="280" w:type="dxa"/>
            <w:vAlign w:val="bottom"/>
          </w:tcPr>
          <w:p>
            <w:pPr>
              <w:spacing w:after="0"/>
              <w:rPr>
                <w:sz w:val="8"/>
                <w:szCs w:val="8"/>
                <w:color w:val="auto"/>
              </w:rPr>
            </w:pPr>
          </w:p>
        </w:tc>
        <w:tc>
          <w:tcPr>
            <w:tcW w:w="226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7"/>
              </w:rPr>
              <w:t>years)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9"/>
        </w:trPr>
        <w:tc>
          <w:tcPr>
            <w:tcW w:w="2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 lived intangible assets: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w w:val="90"/>
              </w:rPr>
              <w:t>Customer related intangible assets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214,973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(194,594)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(187,923)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Trademarks and trade names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46,326</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 lived intangible assets was $9.5 million and $14.7 million for the years ended December 31, 2021 and 2020, respectively</w:t>
      </w:r>
      <w:r>
        <w:rPr>
          <w:rFonts w:ascii="Arial" w:cs="Arial" w:eastAsia="Arial" w:hAnsi="Arial"/>
          <w:sz w:val="16"/>
          <w:szCs w:val="16"/>
          <w:color w:val="auto"/>
        </w:rPr>
        <w:t>.</w:t>
      </w:r>
      <w:r>
        <w:rPr>
          <w:rFonts w:ascii="Arial" w:cs="Arial" w:eastAsia="Arial" w:hAnsi="Arial"/>
          <w:sz w:val="18"/>
          <w:szCs w:val="18"/>
          <w:color w:val="auto"/>
        </w:rPr>
        <w:t xml:space="preserve"> Forecasted annual definite lived intangible asset amortization expense for 2022 through 2026 is $5.1 million, $5.1 million, $5.1 million, $5.1 million and $4.9 million,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12 — ACCOUNTS PAYABLE, ACCRUED EXPENSES AND OTHER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24,422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56,779</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9,305</w:t>
            </w:r>
          </w:p>
        </w:tc>
        <w:tc>
          <w:tcPr>
            <w:tcW w:w="0" w:type="dxa"/>
            <w:vAlign w:val="bottom"/>
          </w:tcPr>
          <w:p>
            <w:pPr>
              <w:spacing w:after="0"/>
              <w:rPr>
                <w:sz w:val="1"/>
                <w:szCs w:val="1"/>
                <w:color w:val="auto"/>
              </w:rPr>
            </w:pPr>
          </w:p>
        </w:tc>
      </w:tr>
      <w:tr>
        <w:trPr>
          <w:trHeight w:val="21"/>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Less: Debt issuance costs,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Senior secured term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Credit Facility</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Debt issuance costs,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Credit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242,656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Altisource terminated the revolving credit facility on December 1, 2021. Altisource Portfolio Solutions S.A. and certain subsidiaries are guarantors of the Term B Loans (collectively, the “Guarantors”).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no mandatory repayments of the Term B Loans except as set forth below until the April 2024 maturity when the balance is due. During 2020, the Company sold 3.5 million RESI shares for net proceeds of $46.6 million, and used the net proceeds to repay a portion of the senior secured term loan (see Note 5). This repayment was applied to contractual amortization payments in the direct order of maturity.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December 31, 2021 was 5.00%.</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debt issuance costs were $1.6 million, net of $2.9 million of accumulated amortization. As of December 31, 2020, debt issuance costs were $2.4 million, net of $2.2 million of accumulated amortization.</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on the senior secured term loans, including amortization of debt issuance costs and the net debt discount, totaled $13.9 million and $17.7 million for the years ended December 31, 2021 and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6440" w:type="dxa"/>
            <w:vAlign w:val="bottom"/>
            <w:gridSpan w:val="3"/>
          </w:tcPr>
          <w:p>
            <w:pPr>
              <w:jc w:val="right"/>
              <w:ind w:right="2400"/>
              <w:spacing w:after="0"/>
              <w:rPr>
                <w:sz w:val="20"/>
                <w:szCs w:val="20"/>
                <w:color w:val="auto"/>
              </w:rPr>
            </w:pPr>
            <w:r>
              <w:rPr>
                <w:rFonts w:ascii="Arial" w:cs="Arial" w:eastAsia="Arial" w:hAnsi="Arial"/>
                <w:sz w:val="18"/>
                <w:szCs w:val="18"/>
                <w:b w:val="1"/>
                <w:bCs w:val="1"/>
                <w:color w:val="auto"/>
              </w:rPr>
              <w:t>ALTISOURCE PORTFOLIO SOLUTIONS S.A.</w:t>
            </w:r>
          </w:p>
        </w:tc>
        <w:tc>
          <w:tcPr>
            <w:tcW w:w="1340" w:type="dxa"/>
            <w:vAlign w:val="bottom"/>
          </w:tcPr>
          <w:p>
            <w:pPr>
              <w:spacing w:after="0"/>
              <w:rPr>
                <w:sz w:val="17"/>
                <w:szCs w:val="17"/>
                <w:color w:val="auto"/>
              </w:rPr>
            </w:pPr>
          </w:p>
        </w:tc>
      </w:tr>
      <w:tr>
        <w:trPr>
          <w:trHeight w:val="234"/>
        </w:trPr>
        <w:tc>
          <w:tcPr>
            <w:tcW w:w="3460" w:type="dxa"/>
            <w:vAlign w:val="bottom"/>
          </w:tcPr>
          <w:p>
            <w:pPr>
              <w:spacing w:after="0"/>
              <w:rPr>
                <w:sz w:val="20"/>
                <w:szCs w:val="20"/>
                <w:color w:val="auto"/>
              </w:rPr>
            </w:pPr>
          </w:p>
        </w:tc>
        <w:tc>
          <w:tcPr>
            <w:tcW w:w="6440" w:type="dxa"/>
            <w:vAlign w:val="bottom"/>
            <w:gridSpan w:val="3"/>
          </w:tcPr>
          <w:p>
            <w:pPr>
              <w:jc w:val="right"/>
              <w:ind w:right="2140"/>
              <w:spacing w:after="0"/>
              <w:rPr>
                <w:sz w:val="20"/>
                <w:szCs w:val="20"/>
                <w:color w:val="auto"/>
              </w:rPr>
            </w:pPr>
            <w:r>
              <w:rPr>
                <w:rFonts w:ascii="Arial" w:cs="Arial" w:eastAsia="Arial" w:hAnsi="Arial"/>
                <w:sz w:val="18"/>
                <w:szCs w:val="18"/>
                <w:b w:val="1"/>
                <w:bCs w:val="1"/>
                <w:color w:val="auto"/>
                <w:w w:val="88"/>
              </w:rPr>
              <w:t>Notes to Consolidated Financial Statements (</w:t>
            </w:r>
            <w:r>
              <w:rPr>
                <w:rFonts w:ascii="Arial" w:cs="Arial" w:eastAsia="Arial" w:hAnsi="Arial"/>
                <w:sz w:val="18"/>
                <w:szCs w:val="18"/>
                <w:b w:val="1"/>
                <w:bCs w:val="1"/>
                <w:i w:val="1"/>
                <w:iCs w:val="1"/>
                <w:color w:val="auto"/>
                <w:w w:val="88"/>
              </w:rPr>
              <w:t>Continued</w:t>
            </w:r>
            <w:r>
              <w:rPr>
                <w:rFonts w:ascii="Arial" w:cs="Arial" w:eastAsia="Arial" w:hAnsi="Arial"/>
                <w:sz w:val="18"/>
                <w:szCs w:val="18"/>
                <w:b w:val="1"/>
                <w:bCs w:val="1"/>
                <w:color w:val="auto"/>
                <w:w w:val="88"/>
              </w:rPr>
              <w:t>)</w:t>
            </w:r>
          </w:p>
        </w:tc>
        <w:tc>
          <w:tcPr>
            <w:tcW w:w="1340" w:type="dxa"/>
            <w:vAlign w:val="bottom"/>
          </w:tcPr>
          <w:p>
            <w:pPr>
              <w:spacing w:after="0"/>
              <w:rPr>
                <w:sz w:val="20"/>
                <w:szCs w:val="20"/>
                <w:color w:val="auto"/>
              </w:rPr>
            </w:pPr>
          </w:p>
        </w:tc>
      </w:tr>
      <w:tr>
        <w:trPr>
          <w:trHeight w:val="540"/>
        </w:trPr>
        <w:tc>
          <w:tcPr>
            <w:tcW w:w="3460" w:type="dxa"/>
            <w:vAlign w:val="bottom"/>
          </w:tcPr>
          <w:p>
            <w:pPr>
              <w:spacing w:after="0"/>
              <w:rPr>
                <w:sz w:val="20"/>
                <w:szCs w:val="20"/>
                <w:color w:val="auto"/>
              </w:rPr>
            </w:pPr>
            <w:r>
              <w:rPr>
                <w:rFonts w:ascii="Arial" w:cs="Arial" w:eastAsia="Arial" w:hAnsi="Arial"/>
                <w:sz w:val="18"/>
                <w:szCs w:val="18"/>
                <w:color w:val="auto"/>
                <w:w w:val="92"/>
              </w:rPr>
              <w:t>Maturities of our long-term debt are as follows:</w:t>
            </w:r>
          </w:p>
        </w:tc>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4"/>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Maturities</w:t>
            </w:r>
          </w:p>
        </w:tc>
      </w:tr>
      <w:tr>
        <w:trPr>
          <w:trHeight w:val="199"/>
        </w:trPr>
        <w:tc>
          <w:tcPr>
            <w:tcW w:w="34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2023</w:t>
            </w:r>
          </w:p>
        </w:tc>
        <w:tc>
          <w:tcPr>
            <w:tcW w:w="6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247,204</w:t>
            </w:r>
          </w:p>
        </w:tc>
      </w:tr>
      <w:tr>
        <w:trPr>
          <w:trHeight w:val="196"/>
        </w:trPr>
        <w:tc>
          <w:tcPr>
            <w:tcW w:w="34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9"/>
        </w:trPr>
        <w:tc>
          <w:tcPr>
            <w:tcW w:w="3460" w:type="dxa"/>
            <w:vAlign w:val="bottom"/>
            <w:shd w:val="clear" w:color="auto" w:fill="CCEEFF"/>
          </w:tcPr>
          <w:p>
            <w:pPr>
              <w:spacing w:after="0"/>
              <w:rPr>
                <w:sz w:val="21"/>
                <w:szCs w:val="21"/>
                <w:color w:val="auto"/>
              </w:rPr>
            </w:pPr>
          </w:p>
        </w:tc>
        <w:tc>
          <w:tcPr>
            <w:tcW w:w="6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December 31, 2021 and its Chief Investment Officer and managing partner is a member of Altisource’s Board of Directors.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Outstanding amounts borrowed pursuant to the Credit Facility will amortize over the three-year term as follows: on June 22, 2022, the difference between the then outstanding balance above $15.0 million and $15.0 million, on June 22, 2023, the difference between the then outstanding balance above $10.0 million and $10.0 million, and on June 22, 2024, the then outstanding balance of the loan will be due and payable by Altisource.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subsidiary Altisource.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there was no outstanding debt under the Credit Facility. Debt issuance costs were $0.4 million, net of $0.1 million of accumulated amortization.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as of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12,414</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FAIR VALUE MEASUREMENTS AND FINANCIAL INSTRUMENTS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December 31, 2021 and 2020. The following fair values are estimated using market information and what the Company believes to be appropriate valuation methodologies under GAAP:</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2021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December 31, 2020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Fair value</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7"/>
              </w:rPr>
              <w:t>Fair value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tcPr>
          <w:p>
            <w:pPr>
              <w:ind w:left="3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Short-term receivable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ind w:left="300"/>
              <w:spacing w:after="0"/>
              <w:rPr>
                <w:sz w:val="20"/>
                <w:szCs w:val="20"/>
                <w:color w:val="auto"/>
              </w:rPr>
            </w:pPr>
            <w:r>
              <w:rPr>
                <w:rFonts w:ascii="Arial" w:cs="Arial" w:eastAsia="Arial" w:hAnsi="Arial"/>
                <w:sz w:val="18"/>
                <w:szCs w:val="18"/>
                <w:color w:val="auto"/>
              </w:rPr>
              <w:t>Long-term receivable</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Senior secured term loan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sale of Pointillist in December 1, 2021, Altisource is to receive $3.5 million on the first anniversary of the sale closing and $0.3 million following the confirmation of closing date working capital (See Note 4 for additional information). We measure short-term receivables without a stated interest rate based on the present value of the future payments.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sale of the rental property management business in August 2018, Altisource was to receive $3.0 million on the earlier of a RESI change of control or on August 8, 2023. On October 19, 2020, RESI announced that it had entered into a definitive merger agreement to sell RESI. The merger closed on January 11, 2021 and the Company subsequently received the $3.0 million payment (See Note 4 for additional information). We measure long-term receivables without a stated interest rate based on the present value of the future payments.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31% of its revenue from Ocwen for the year ended December 31, 2021 (see Note 3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16 — SHAREHOLDERS’ EQUITY AND SHARE-BASED COMPENSATION Common Stock</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we had 100.0 million shares authorized, 25.4 million issued and 15.9 million shares of common stock outstanding. As of December 31, 2020, we had 100.0 million shares authorized, 25.4 million shares issued and 15.7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2009 Equity Incentive Plan (the “Plan”) provides for various types of equity awards, including stock options, stock appreciation rights, stock purchase rights, restricted shares, restricted share units and other awards, or a combination of any of the above. Under the Plan, we may grant up to 6.7 million Altisource share-based awards to officers, directors, employees and to employees of our affiliates. As of December 31, 2021, 1.2 million share-based awards were available for future grant under the Plan. Expired and forfeited awards are available for reissuance.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December 31, 2021, approximately 2.4 million shares of common stock remain available for repurchase under the program. There were no purchases of shares of common stock during the years ended December 31, 2021 and 2020. Luxembourg law limits share repurchases to the balance of Altisource Portfolio Solutions S.A. (unconsolidated parent company) retained earnings, less the value of shares repurchased. As of December 31, 2021, we can repurchase up to approximately $80 million of our common stock under Luxembourg law. Our Credit Agreement also limits the amount we can spend on share repurchases, which limit was approximately $437 million as of December 31, 2021, and may prevent repurchases in certain circumstances, including if our leverage ratio exceeds 3.50 to 1.00.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$2.8 million and $7.8 million for the years ended December 31, 2021 and 2020, respectively. As of December 31, 2021, estimated unrecognized compensation costs related to share-based awards amounted to $2.4 million, which we expect to recognize over a weighted average remaining requisite service period of approximately 1.29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181 thousand service-based options were outstanding as of December 31, 2021.</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140 thousand market-based options were outstanding as of December 31,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will vest if certain specific financial measures are achieved; typically with one-fourth</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on each anniversary of the grant date. The award of performance-based options is adjusted based on the level of achievement specified in the award agreements. If the performance criteria achieved is above threshold performance levels, participants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366 thousand performance-based options outstanding as of December 31,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granted during 2021 and 2020.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the service-based options and performance-based options are determined using the Black-Scholes option pricing model and the fair values of the market-based options were determined using a lattice (binomial) model.</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years ended December 31: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2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2"/>
              </w:rPr>
              <w:t>899,914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90"/>
              </w:rPr>
              <w:t>(212,575)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42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2"/>
              </w:rPr>
              <w:t>687,339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Exercisable as of December 31, 2021</w:t>
            </w:r>
          </w:p>
        </w:tc>
        <w:tc>
          <w:tcPr>
            <w:tcW w:w="142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92"/>
              </w:rPr>
              <w:t>525,707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Options outstanding</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 exercisable</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35"/>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Exercise price range </w:t>
            </w:r>
            <w:r>
              <w:rPr>
                <w:rFonts w:ascii="Arial" w:cs="Arial" w:eastAsia="Arial" w:hAnsi="Arial"/>
                <w:sz w:val="9"/>
                <w:szCs w:val="9"/>
                <w:b w:val="1"/>
                <w:bCs w:val="1"/>
                <w:color w:val="auto"/>
              </w:rPr>
              <w:t>(1)</w:t>
            </w:r>
          </w:p>
        </w:tc>
        <w:tc>
          <w:tcPr>
            <w:tcW w:w="13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420" w:type="dxa"/>
            <w:vAlign w:val="bottom"/>
            <w:gridSpan w:val="3"/>
            <w:vMerge w:val="continue"/>
          </w:tcPr>
          <w:p>
            <w:pPr>
              <w:spacing w:after="0"/>
              <w:rPr>
                <w:sz w:val="11"/>
                <w:szCs w:val="11"/>
                <w:color w:val="auto"/>
              </w:rPr>
            </w:pPr>
          </w:p>
        </w:tc>
        <w:tc>
          <w:tcPr>
            <w:tcW w:w="13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 xml:space="preserve">contractual life </w:t>
            </w:r>
            <w:r>
              <w:rPr>
                <w:rFonts w:ascii="Arial" w:cs="Arial" w:eastAsia="Arial" w:hAnsi="Arial"/>
                <w:sz w:val="14"/>
                <w:szCs w:val="14"/>
                <w:b w:val="1"/>
                <w:bCs w:val="1"/>
                <w:i w:val="1"/>
                <w:iCs w:val="1"/>
                <w:color w:val="auto"/>
                <w:w w:val="94"/>
              </w:rPr>
              <w:t>(in</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800" w:type="dxa"/>
            <w:vAlign w:val="bottom"/>
            <w:gridSpan w:val="3"/>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7"/>
              </w:rPr>
              <w:t>years)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exercise price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i w:val="1"/>
                <w:iCs w:val="1"/>
                <w:color w:val="auto"/>
                <w:w w:val="87"/>
              </w:rPr>
              <w:t>years)</w:t>
            </w:r>
          </w:p>
        </w:tc>
        <w:tc>
          <w:tcPr>
            <w:tcW w:w="160" w:type="dxa"/>
            <w:vAlign w:val="bottom"/>
          </w:tcPr>
          <w:p>
            <w:pPr>
              <w:spacing w:after="0"/>
              <w:rPr>
                <w:sz w:val="16"/>
                <w:szCs w:val="16"/>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197"/>
        </w:trPr>
        <w:tc>
          <w:tcPr>
            <w:tcW w:w="52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$10.01 — $20.00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123,238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$20.01 — $30.00</w:t>
            </w:r>
          </w:p>
        </w:tc>
        <w:tc>
          <w:tcPr>
            <w:tcW w:w="1300" w:type="dxa"/>
            <w:vAlign w:val="bottom"/>
          </w:tcPr>
          <w:p>
            <w:pPr>
              <w:jc w:val="right"/>
              <w:spacing w:after="0"/>
              <w:rPr>
                <w:sz w:val="20"/>
                <w:szCs w:val="20"/>
                <w:color w:val="auto"/>
              </w:rPr>
            </w:pPr>
            <w:r>
              <w:rPr>
                <w:rFonts w:ascii="Arial" w:cs="Arial" w:eastAsia="Arial" w:hAnsi="Arial"/>
                <w:sz w:val="18"/>
                <w:szCs w:val="18"/>
                <w:color w:val="auto"/>
              </w:rPr>
              <w:t>415,710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326,338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$30.01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w w:val="90"/>
              </w:rPr>
              <w:t>$60.01</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1300" w:type="dxa"/>
            <w:vAlign w:val="bottom"/>
          </w:tcPr>
          <w:p>
            <w:pPr>
              <w:jc w:val="right"/>
              <w:spacing w:after="0"/>
              <w:rPr>
                <w:sz w:val="20"/>
                <w:szCs w:val="20"/>
                <w:color w:val="auto"/>
              </w:rPr>
            </w:pPr>
            <w:r>
              <w:rPr>
                <w:rFonts w:ascii="Arial" w:cs="Arial" w:eastAsia="Arial" w:hAnsi="Arial"/>
                <w:sz w:val="18"/>
                <w:szCs w:val="18"/>
                <w:color w:val="auto"/>
              </w:rPr>
              <w:t>58,500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43,875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$80.01</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0" w:type="dxa"/>
            <w:vAlign w:val="bottom"/>
          </w:tcPr>
          <w:p>
            <w:pPr>
              <w:spacing w:after="0"/>
              <w:rPr>
                <w:sz w:val="1"/>
                <w:szCs w:val="1"/>
                <w:color w:val="auto"/>
              </w:rPr>
            </w:pPr>
          </w:p>
        </w:tc>
      </w:tr>
      <w:tr>
        <w:trPr>
          <w:trHeight w:val="230"/>
        </w:trPr>
        <w:tc>
          <w:tcPr>
            <w:tcW w:w="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0"/>
              </w:rPr>
              <w:t>$90.01</w:t>
            </w: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$100.00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96.87</w:t>
            </w: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687,339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525,707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63" w:lineRule="exact"/>
        <w:rPr>
          <w:sz w:val="20"/>
          <w:szCs w:val="20"/>
          <w:color w:val="auto"/>
        </w:rPr>
      </w:pPr>
    </w:p>
    <w:p>
      <w:pPr>
        <w:ind w:left="5540" w:right="4300" w:hanging="5532"/>
        <w:spacing w:after="0" w:line="1033" w:lineRule="auto"/>
        <w:tabs>
          <w:tab w:leader="none" w:pos="267"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These options contain market-based and performance-based components as described above.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market-based options to begin to vest:</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35"/>
        </w:trPr>
        <w:tc>
          <w:tcPr>
            <w:tcW w:w="8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Vesting price</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Ordinary performance</w:t>
            </w:r>
          </w:p>
        </w:tc>
        <w:tc>
          <w:tcPr>
            <w:tcW w:w="220" w:type="dxa"/>
            <w:vAlign w:val="bottom"/>
          </w:tcPr>
          <w:p>
            <w:pPr>
              <w:spacing w:after="0"/>
              <w:rPr>
                <w:sz w:val="11"/>
                <w:szCs w:val="11"/>
                <w:color w:val="auto"/>
              </w:rPr>
            </w:pPr>
          </w:p>
        </w:tc>
        <w:tc>
          <w:tcPr>
            <w:tcW w:w="130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rPr>
              <w:t>Extraordinary</w:t>
            </w:r>
          </w:p>
        </w:tc>
        <w:tc>
          <w:tcPr>
            <w:tcW w:w="0" w:type="dxa"/>
            <w:vAlign w:val="bottom"/>
          </w:tcPr>
          <w:p>
            <w:pPr>
              <w:spacing w:after="0"/>
              <w:rPr>
                <w:sz w:val="1"/>
                <w:szCs w:val="1"/>
                <w:color w:val="auto"/>
              </w:rPr>
            </w:pPr>
          </w:p>
        </w:tc>
      </w:tr>
      <w:tr>
        <w:trPr>
          <w:trHeight w:val="188"/>
        </w:trPr>
        <w:tc>
          <w:tcPr>
            <w:tcW w:w="8040" w:type="dxa"/>
            <w:vAlign w:val="bottom"/>
            <w:gridSpan w:val="3"/>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73"/>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97"/>
        </w:trPr>
        <w:tc>
          <w:tcPr>
            <w:tcW w:w="540" w:type="dxa"/>
            <w:vAlign w:val="bottom"/>
            <w:tcBorders>
              <w:top w:val="single" w:sz="8" w:color="auto"/>
            </w:tcBorders>
          </w:tcPr>
          <w:p>
            <w:pPr>
              <w:spacing w:after="0"/>
              <w:rPr>
                <w:sz w:val="17"/>
                <w:szCs w:val="17"/>
                <w:color w:val="auto"/>
              </w:rPr>
            </w:pPr>
          </w:p>
        </w:tc>
        <w:tc>
          <w:tcPr>
            <w:tcW w:w="7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$50.01 — $60.00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color w:val="auto"/>
                <w:w w:val="90"/>
              </w:rPr>
              <w:t>$60.01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 $70.00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29"/>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$80.01</w:t>
            </w:r>
          </w:p>
        </w:tc>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$90.00</w:t>
            </w: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color w:val="auto"/>
                <w:w w:val="90"/>
              </w:rPr>
              <w:t>$90.01</w:t>
            </w:r>
          </w:p>
        </w:tc>
        <w:tc>
          <w:tcPr>
            <w:tcW w:w="7500" w:type="dxa"/>
            <w:vAlign w:val="bottom"/>
            <w:gridSpan w:val="2"/>
          </w:tcPr>
          <w:p>
            <w:pPr>
              <w:ind w:left="20"/>
              <w:spacing w:after="0"/>
              <w:rPr>
                <w:sz w:val="20"/>
                <w:szCs w:val="20"/>
                <w:color w:val="auto"/>
              </w:rPr>
            </w:pPr>
            <w:r>
              <w:rPr>
                <w:rFonts w:ascii="Arial" w:cs="Arial" w:eastAsia="Arial" w:hAnsi="Arial"/>
                <w:sz w:val="18"/>
                <w:szCs w:val="18"/>
                <w:color w:val="auto"/>
              </w:rPr>
              <w:t>— $100.00</w:t>
            </w:r>
          </w:p>
        </w:tc>
        <w:tc>
          <w:tcPr>
            <w:tcW w:w="5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$170.01 — $180.00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3"/>
          </w:tcPr>
          <w:p>
            <w:pPr>
              <w:ind w:left="20"/>
              <w:spacing w:after="0"/>
              <w:rPr>
                <w:sz w:val="20"/>
                <w:szCs w:val="20"/>
                <w:color w:val="auto"/>
              </w:rPr>
            </w:pPr>
            <w:r>
              <w:rPr>
                <w:rFonts w:ascii="Arial" w:cs="Arial" w:eastAsia="Arial" w:hAnsi="Arial"/>
                <w:sz w:val="18"/>
                <w:szCs w:val="18"/>
                <w:color w:val="auto"/>
              </w:rPr>
              <w:t>$180.01 — $190.00</w:t>
            </w:r>
          </w:p>
        </w:tc>
        <w:tc>
          <w:tcPr>
            <w:tcW w:w="5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29"/>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Over $190.00</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share price</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comprised of restricted shares and restricted share units. The restricted shares and restricted share units are comprised of a combination of service-based awards, performance-based awards and market-based awards.</w:t>
      </w:r>
    </w:p>
    <w:p>
      <w:pPr>
        <w:spacing w:after="0" w:line="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two to four year periods with vesting in equal annual installments. A total of 249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service-based awards were outstanding as of December 31, 2021.</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187 thousand performance-based awards were outstanding as of December 31, 2021.</w:t>
      </w:r>
    </w:p>
    <w:p>
      <w:pPr>
        <w:spacing w:after="0" w:line="12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Market-Based Awards. </w:t>
      </w:r>
      <w:r>
        <w:rPr>
          <w:rFonts w:ascii="Arial" w:cs="Arial" w:eastAsia="Arial" w:hAnsi="Arial"/>
          <w:sz w:val="17"/>
          <w:szCs w:val="17"/>
          <w:color w:val="auto"/>
        </w:rPr>
        <w:t>50% of these awards generally vest if certain specific market conditions are achieved over a 30-day period and the remaining</w:t>
      </w:r>
      <w:r>
        <w:rPr>
          <w:rFonts w:ascii="Arial" w:cs="Arial" w:eastAsia="Arial" w:hAnsi="Arial"/>
          <w:sz w:val="17"/>
          <w:szCs w:val="17"/>
          <w:i w:val="1"/>
          <w:iCs w:val="1"/>
          <w:color w:val="auto"/>
        </w:rPr>
        <w:t xml:space="preserve"> </w:t>
      </w:r>
      <w:r>
        <w:rPr>
          <w:rFonts w:ascii="Arial" w:cs="Arial" w:eastAsia="Arial" w:hAnsi="Arial"/>
          <w:sz w:val="17"/>
          <w:szCs w:val="17"/>
          <w:color w:val="auto"/>
        </w:rPr>
        <w:t>50% of these awards generally vest on the one year anniversary of the initial vesting. The Company estimates the grant date fair value of these awards using a lattice (binomial) model. A total of 112 thousand market-based awards were outstanding as of December 31, 2021.</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77 thousand performance-based and market-based awards were outstanding as of December 31, 2021.</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368 thousand restricted share units (at a weighted average grant date fair value of $9.57 per share) during the year ended December 31, 2021. These grants include 29 thousand performance-based awards that include both a performance condition and a market condition, and 89 thousand performance-based awards for the year ended December 31,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ind w:left="3740"/>
              <w:spacing w:after="0"/>
              <w:rPr>
                <w:sz w:val="20"/>
                <w:szCs w:val="20"/>
                <w:color w:val="auto"/>
              </w:rPr>
            </w:pPr>
            <w:r>
              <w:rPr>
                <w:rFonts w:ascii="Arial" w:cs="Arial" w:eastAsia="Arial" w:hAnsi="Arial"/>
                <w:sz w:val="18"/>
                <w:szCs w:val="18"/>
                <w:b w:val="1"/>
                <w:bCs w:val="1"/>
                <w:color w:val="auto"/>
              </w:rPr>
              <w:t>ALTISOURCE PORTFOLIO SOLUTIONS S.A.</w:t>
            </w:r>
          </w:p>
        </w:tc>
        <w:tc>
          <w:tcPr>
            <w:tcW w:w="1640" w:type="dxa"/>
            <w:vAlign w:val="bottom"/>
          </w:tcPr>
          <w:p>
            <w:pPr>
              <w:spacing w:after="0"/>
              <w:rPr>
                <w:sz w:val="17"/>
                <w:szCs w:val="17"/>
                <w:color w:val="auto"/>
              </w:rPr>
            </w:pPr>
          </w:p>
        </w:tc>
      </w:tr>
      <w:tr>
        <w:trPr>
          <w:trHeight w:val="234"/>
        </w:trPr>
        <w:tc>
          <w:tcPr>
            <w:tcW w:w="9600" w:type="dxa"/>
            <w:vAlign w:val="bottom"/>
          </w:tcPr>
          <w:p>
            <w:pPr>
              <w:ind w:left="3480"/>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1640" w:type="dxa"/>
            <w:vAlign w:val="bottom"/>
          </w:tcPr>
          <w:p>
            <w:pPr>
              <w:spacing w:after="0"/>
              <w:rPr>
                <w:sz w:val="20"/>
                <w:szCs w:val="20"/>
                <w:color w:val="auto"/>
              </w:rPr>
            </w:pPr>
          </w:p>
        </w:tc>
      </w:tr>
      <w:tr>
        <w:trPr>
          <w:trHeight w:val="540"/>
        </w:trPr>
        <w:tc>
          <w:tcPr>
            <w:tcW w:w="9600" w:type="dxa"/>
            <w:vAlign w:val="bottom"/>
          </w:tcPr>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tc>
        <w:tc>
          <w:tcPr>
            <w:tcW w:w="1640" w:type="dxa"/>
            <w:vAlign w:val="bottom"/>
          </w:tcPr>
          <w:p>
            <w:pPr>
              <w:spacing w:after="0"/>
              <w:rPr>
                <w:sz w:val="24"/>
                <w:szCs w:val="24"/>
                <w:color w:val="auto"/>
              </w:rPr>
            </w:pPr>
          </w:p>
        </w:tc>
      </w:tr>
      <w:tr>
        <w:trPr>
          <w:trHeight w:val="256"/>
        </w:trPr>
        <w:tc>
          <w:tcPr>
            <w:tcW w:w="9600" w:type="dxa"/>
            <w:vAlign w:val="bottom"/>
          </w:tcPr>
          <w:p>
            <w:pPr>
              <w:spacing w:after="0"/>
              <w:rPr>
                <w:sz w:val="22"/>
                <w:szCs w:val="22"/>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878,521</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368,412</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(246,382)</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(374,913)</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625,638</w:t>
            </w:r>
          </w:p>
        </w:tc>
      </w:tr>
      <w:tr>
        <w:trPr>
          <w:trHeight w:val="21"/>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assumptions were used to determine the fair values for the performance-based awards that include both a performance condition and a market condition, and fair values for market-based awards as of the grant date for the years ended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18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Monte Carlo</w:t>
            </w: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6"/>
                <w:szCs w:val="16"/>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Monte Carlo</w:t>
            </w:r>
          </w:p>
        </w:tc>
        <w:tc>
          <w:tcPr>
            <w:tcW w:w="1160" w:type="dxa"/>
            <w:vAlign w:val="bottom"/>
          </w:tcPr>
          <w:p>
            <w:pPr>
              <w:jc w:val="right"/>
              <w:ind w:right="353"/>
              <w:spacing w:after="0"/>
              <w:rPr>
                <w:sz w:val="20"/>
                <w:szCs w:val="20"/>
                <w:color w:val="auto"/>
              </w:rPr>
            </w:pPr>
            <w:r>
              <w:rPr>
                <w:rFonts w:ascii="Arial" w:cs="Arial" w:eastAsia="Arial" w:hAnsi="Arial"/>
                <w:sz w:val="14"/>
                <w:szCs w:val="14"/>
                <w:b w:val="1"/>
                <w:bCs w:val="1"/>
                <w:color w:val="auto"/>
              </w:rPr>
              <w:t>Binomial</w:t>
            </w:r>
          </w:p>
        </w:tc>
      </w:tr>
      <w:tr>
        <w:trPr>
          <w:trHeight w:val="197"/>
        </w:trPr>
        <w:tc>
          <w:tcPr>
            <w:tcW w:w="516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0.09 - 0.27</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Expected stock price volatility (%)</w:t>
            </w:r>
          </w:p>
        </w:tc>
        <w:tc>
          <w:tcPr>
            <w:tcW w:w="1420" w:type="dxa"/>
            <w:vAlign w:val="bottom"/>
          </w:tcPr>
          <w:p>
            <w:pPr>
              <w:jc w:val="right"/>
              <w:spacing w:after="0"/>
              <w:rPr>
                <w:sz w:val="20"/>
                <w:szCs w:val="20"/>
                <w:color w:val="auto"/>
              </w:rPr>
            </w:pPr>
            <w:r>
              <w:rPr>
                <w:rFonts w:ascii="Arial" w:cs="Arial" w:eastAsia="Arial" w:hAnsi="Arial"/>
                <w:sz w:val="18"/>
                <w:szCs w:val="18"/>
                <w:color w:val="auto"/>
              </w:rPr>
              <w:t>39.54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80.36</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REVENUE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2). Our services are provided to customers located in the United States. The components of revenue were as follows for the years ended December 31: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170,613</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Reimbursable expenses</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178,453</w:t>
            </w:r>
          </w:p>
        </w:tc>
        <w:tc>
          <w:tcPr>
            <w:tcW w:w="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365,547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Disaggregation of Revenue</w:t>
            </w: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60" w:type="dxa"/>
            <w:vAlign w:val="bottom"/>
            <w:gridSpan w:val="3"/>
          </w:tcPr>
          <w:p>
            <w:pPr>
              <w:spacing w:after="0"/>
              <w:rPr>
                <w:sz w:val="20"/>
                <w:szCs w:val="20"/>
                <w:color w:val="auto"/>
              </w:rPr>
            </w:pPr>
            <w:r>
              <w:rPr>
                <w:rFonts w:ascii="Arial" w:cs="Arial" w:eastAsia="Arial" w:hAnsi="Arial"/>
                <w:sz w:val="18"/>
                <w:szCs w:val="18"/>
                <w:color w:val="auto"/>
              </w:rPr>
              <w:t>Disaggregation of total revenues by major source is as follows: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 recognized</w:t>
            </w:r>
          </w:p>
        </w:tc>
        <w:tc>
          <w:tcPr>
            <w:tcW w:w="14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Revenue related to</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2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Reimbursable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50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performed or assets are</w:t>
            </w:r>
          </w:p>
        </w:tc>
        <w:tc>
          <w:tcPr>
            <w:tcW w:w="140" w:type="dxa"/>
            <w:vAlign w:val="bottom"/>
          </w:tcPr>
          <w:p>
            <w:pPr>
              <w:spacing w:after="0"/>
              <w:rPr>
                <w:sz w:val="11"/>
                <w:szCs w:val="11"/>
                <w:color w:val="auto"/>
              </w:rPr>
            </w:pPr>
          </w:p>
        </w:tc>
        <w:tc>
          <w:tcPr>
            <w:tcW w:w="13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and professional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5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sold</w:t>
            </w:r>
          </w:p>
        </w:tc>
        <w:tc>
          <w:tcPr>
            <w:tcW w:w="14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services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expenses revenue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4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14,043</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4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For the year ended December 31, 2020</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332,084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17,178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365,547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739"/>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contract assets consist of unbilled accounts receivable (see Note 6). Our contract liabilities consist of current deferred revenue and other non-current liabilities as reported on the accompanying consolidated balance sheets. Revenue recognized that was included in the contract liability at the beginning of the period was $5.5 million and $4.8 million for the years ended December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COST OF REVENUE</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94,365</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146,322</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16,285</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305,194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20 — OTHER INCOME (EXPENSE),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taxes and non-controlling interests consist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 Luxembourg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Foreign - 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 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 for the years ended December 31: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Domestic - Luxembourg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U.S. 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Foreign - U.S. 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Domestic - Luxembourg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Foreign - U.S. federal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 - 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 - non-U.S.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a Uruguay free trade zone that provides an indefinite future tax benefit. The tax holiday is conditioned upon our meeting certain employment and investment thresholds. The impact of these tax holidays decreased foreign taxes by $0.1 million ($0.01 per diluted share) and $0.1 million ($0.01 per diluted share) for the years ended December 31, 2021 and 2020, respectively.</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368,824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353,358</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federal and state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Other non-U.S.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11,327</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10,351</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Non-current 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r>
      <w:tr>
        <w:trPr>
          <w:trHeight w:val="230"/>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non-U.S. deferred tax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368,824</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(372,227)</w:t>
            </w: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deferred tax liabilities,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valuation allowance is provided when it is deemed more likely than not that some portion or all of a deferred tax asset will not be realized. In determining whether a valuation allowance is needed requires an extensive analysis of positive and negative 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 likely than not or any other basis. Therefore, the Company’s valuation allowance was $389.1 million and $372.2 million for the year ending December 31, 2021 and 2020, respectively.</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2020, the Company did not recognize deferred taxes on cumulative earnings of subsidiaries other than Luxembourg and the Philippines because the Company intended for those earnings to be indefinitely reinvested. In 2020, the Company recognized income tax expense on $68 million of accumulated earnings in India that had previously been considered indefinitely reinvested and began recognizing income tax expense on earnings in India. In 2021, the Company recognized income tax expense on a $15 million dividend from the Company’s India subsidiary to its parent. The Company continues to remain indefinitely reinvested in all other non-Luxembourg earnings not previously discussed. The other non-Luxembourg earnings reinvested as of December 31, 2021 were approximately $3.7 million, which if distributed would result in no additional tax due.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a deferred tax asset of $368.8 million as of December 31, 2021 relating to Luxembourg, U.S. federal, state and foreign net operating losses compared to $353.4 million as of December 31, 2020. As of December 31, 2021 and 2020, a valuation allowance of $367.8 million and $349.8 million, respectively, has been established related to Luxembourg net operating loss (“NOL”). As of December 31, 2020 a valuation allowance of $0.8 million has been established related to state NOLs and a valuation allowance of $2.4 million has been established related to U.S. federal NOLs (no comparative amounts for the year ended December 31, 2021). The gross amount of net operating losses available for carryover to future years is approximately $1,476.8 million as of December 31, 2021 and approximately $1,415.9 million as of December 31, 2020. These losses are scheduled to expire between the years 2023 and 2041.</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had a deferred tax asset of $0.8 million and $0.9 million as of December 31, 2021 and 2020, respectively, relating to state tax credits. Some of the state tax credit carryforwards have an indefinite carryforward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taking advantage of the Coronavirus Aid, Relief, and Economic Security (“CARES”) Act signed into law on March 27, 2020 by utilizing a five year carryback of the full $14.8 million net operating loss generated in the U.S. in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effective tax rate differs from the Luxembourg statutory tax rate due to tax rate differences on foreign earnings, increases in uncertain tax positions, state taxes, remeasurement of deferred tax assets related to tax rate changes, a decrease in unrecognized tax benefits, tax exempt income primarily from the sale of Pointillist (see Note 4) and a valuation allowance against deferred tax assets the Company believes it is more likely than not will not be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Luxembourg statutory tax rate to our effective tax rate for the years ended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02"/>
        </w:trPr>
        <w:tc>
          <w:tcPr>
            <w:tcW w:w="8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tax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130.03</w:t>
            </w:r>
          </w:p>
        </w:tc>
        <w:tc>
          <w:tcPr>
            <w:tcW w:w="10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(29.79)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w:t>
            </w: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0.10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Income tax rate change</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(2.40)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rate differences on foreign earnings</w:t>
            </w:r>
          </w:p>
        </w:tc>
        <w:tc>
          <w:tcPr>
            <w:tcW w:w="1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Tax Exempt Income</w:t>
            </w: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(145.91)</w:t>
            </w:r>
          </w:p>
        </w:tc>
        <w:tc>
          <w:tcPr>
            <w:tcW w:w="10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3.04</w:t>
            </w:r>
          </w:p>
        </w:tc>
      </w:tr>
      <w:tr>
        <w:trPr>
          <w:trHeight w:val="196"/>
        </w:trPr>
        <w:tc>
          <w:tcPr>
            <w:tcW w:w="8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(2015 through 2020), India (2011 through 2021) and Luxembourg (2015 through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unrecognized tax benefits during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 of unrecognized tax benefits as of the beginning of the year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9,767</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Decreases as a result of tax positions taken in a prior period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Increases as a result of tax positions taken in a prior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Increases as a result of tax positions taken in the current period</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196"/>
        </w:trPr>
        <w:tc>
          <w:tcPr>
            <w:tcW w:w="8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Amount of unrecognized tax benefits as of the end of the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that, if recognized, would affect the effective tax rate is $14.9 million and $13.2 million as of December 31, 2021 and 2020, respectively. The Company recognizes interest, if any, related to unrecognized tax benefits as a component of income tax expense. As of December 31, 2021 and 2020, the Company had recorded accrued interest and penalties related to unrecognized tax benefits of $5.8 million and $4.6 million,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EARNINGS PER SHARE</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earnings (loss) per share is computed by dividing earnings (loss) available to common shareholders by the weighted average number of common shares outstanding for the period. Diluted earnings (loss) per share reflects the assumed conversion of all dilutive securities using the treasury stock method. Diluted net earnings (loss) per share excludes all dilutive securities because their impact would be anti-dilutive, as described below.</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(loss) per share are calculated as follows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Altisource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Dilutive effect of stock options, restricted shares and</w:t>
      </w:r>
    </w:p>
    <w:p>
      <w:pPr>
        <w:ind w:left="140"/>
        <w:spacing w:after="0"/>
        <w:rPr>
          <w:sz w:val="20"/>
          <w:szCs w:val="20"/>
          <w:color w:val="auto"/>
        </w:rPr>
      </w:pPr>
      <w:r>
        <w:rPr>
          <w:rFonts w:ascii="Arial" w:cs="Arial" w:eastAsia="Arial" w:hAnsi="Arial"/>
          <w:sz w:val="18"/>
          <w:szCs w:val="18"/>
          <w:color w:val="auto"/>
        </w:rPr>
        <w:t>restricted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(loss) per share:</w:t>
      </w:r>
    </w:p>
    <w:p>
      <w:pPr>
        <w:spacing w:after="0" w:line="20" w:lineRule="exact"/>
        <w:rPr>
          <w:sz w:val="20"/>
          <w:szCs w:val="20"/>
          <w:color w:val="auto"/>
        </w:rPr>
      </w:pPr>
      <w:r>
        <w:rPr>
          <w:sz w:val="20"/>
          <w:szCs w:val="20"/>
          <w:color w:val="auto"/>
        </w:rPr>
        <w:br w:type="column"/>
      </w:r>
    </w:p>
    <w:p>
      <w:pPr>
        <w:spacing w:after="0"/>
        <w:tabs>
          <w:tab w:leader="none" w:pos="840" w:val="left"/>
          <w:tab w:leader="none" w:pos="1520" w:val="left"/>
          <w:tab w:leader="none" w:pos="2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11,812</w:t>
        <w:tab/>
        <w:t>$</w:t>
      </w:r>
      <w:r>
        <w:rPr>
          <w:sz w:val="20"/>
          <w:szCs w:val="20"/>
          <w:color w:val="auto"/>
        </w:rPr>
        <w:tab/>
      </w:r>
      <w:r>
        <w:rPr>
          <w:rFonts w:ascii="Arial" w:cs="Arial" w:eastAsia="Arial" w:hAnsi="Arial"/>
          <w:sz w:val="16"/>
          <w:szCs w:val="16"/>
          <w:color w:val="auto"/>
        </w:rPr>
        <w:t>(67,156)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40640</wp:posOffset>
            </wp:positionV>
            <wp:extent cx="18859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46" w:lineRule="exact"/>
        <w:rPr>
          <w:sz w:val="20"/>
          <w:szCs w:val="20"/>
          <w:color w:val="auto"/>
        </w:rPr>
      </w:pPr>
    </w:p>
    <w:p>
      <w:pPr>
        <w:ind w:left="860"/>
        <w:spacing w:after="0"/>
        <w:tabs>
          <w:tab w:leader="none" w:pos="2380" w:val="left"/>
        </w:tabs>
        <w:rPr>
          <w:sz w:val="20"/>
          <w:szCs w:val="20"/>
          <w:color w:val="auto"/>
        </w:rPr>
      </w:pPr>
      <w:r>
        <w:rPr>
          <w:rFonts w:ascii="Arial" w:cs="Arial" w:eastAsia="Arial" w:hAnsi="Arial"/>
          <w:sz w:val="17"/>
          <w:szCs w:val="17"/>
          <w:color w:val="auto"/>
        </w:rPr>
        <w:t>15,839</w:t>
      </w:r>
      <w:r>
        <w:rPr>
          <w:sz w:val="20"/>
          <w:szCs w:val="20"/>
          <w:color w:val="auto"/>
        </w:rPr>
        <w:tab/>
      </w:r>
      <w:r>
        <w:rPr>
          <w:rFonts w:ascii="Arial" w:cs="Arial" w:eastAsia="Arial" w:hAnsi="Arial"/>
          <w:sz w:val="17"/>
          <w:szCs w:val="17"/>
          <w:color w:val="auto"/>
        </w:rPr>
        <w:t>15,598</w:t>
      </w:r>
    </w:p>
    <w:p>
      <w:pPr>
        <w:spacing w:after="0" w:line="210" w:lineRule="exact"/>
        <w:rPr>
          <w:sz w:val="20"/>
          <w:szCs w:val="20"/>
          <w:color w:val="auto"/>
        </w:rPr>
      </w:pPr>
    </w:p>
    <w:p>
      <w:pPr>
        <w:ind w:left="1080"/>
        <w:spacing w:after="0"/>
        <w:tabs>
          <w:tab w:leader="none" w:pos="26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left="860"/>
        <w:spacing w:after="0"/>
        <w:tabs>
          <w:tab w:leader="none" w:pos="2380" w:val="left"/>
        </w:tabs>
        <w:rPr>
          <w:sz w:val="20"/>
          <w:szCs w:val="20"/>
          <w:color w:val="auto"/>
        </w:rPr>
      </w:pPr>
      <w:r>
        <w:rPr>
          <w:rFonts w:ascii="Arial" w:cs="Arial" w:eastAsia="Arial" w:hAnsi="Arial"/>
          <w:sz w:val="17"/>
          <w:szCs w:val="17"/>
          <w:color w:val="auto"/>
        </w:rPr>
        <w:t>16,063</w:t>
      </w:r>
      <w:r>
        <w:rPr>
          <w:sz w:val="20"/>
          <w:szCs w:val="20"/>
          <w:color w:val="auto"/>
        </w:rPr>
        <w:tab/>
      </w:r>
      <w:r>
        <w:rPr>
          <w:rFonts w:ascii="Arial" w:cs="Arial" w:eastAsia="Arial" w:hAnsi="Arial"/>
          <w:sz w:val="17"/>
          <w:szCs w:val="17"/>
          <w:color w:val="auto"/>
        </w:rPr>
        <w:t>15,598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18859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7560" w:space="720"/>
            <w:col w:w="2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580" w:type="dxa"/>
            <w:vAlign w:val="bottom"/>
            <w:tcBorders>
              <w:bottom w:val="single" w:sz="8" w:color="auto"/>
            </w:tcBorders>
          </w:tcPr>
          <w:p>
            <w:pPr>
              <w:jc w:val="right"/>
              <w:ind w:right="37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w:t>
            </w:r>
          </w:p>
        </w:tc>
      </w:tr>
      <w:tr>
        <w:trPr>
          <w:trHeight w:val="21"/>
        </w:trPr>
        <w:tc>
          <w:tcPr>
            <w:tcW w:w="8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2021 and, 2020, 1.2 million and 1.6 million, respectively, stock options, restricted shares and restricted share units were excluded from the computation of earnings (loss) per share, as a result of the following: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year ended December 31, 2020, 0.2 million stock options, restricted shares and restricted share units were anti-dilutive and have been excluded from the computation of diluted earnings (loss) per share as a result of the net loss attributable to Altisource for the year ended December 31, 2020.</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years ended December 31, 2021 and 2020, 0.3 million and 0.5 million, respectively, stock options were anti-dilutive and have been excluded from the computation of diluted earnings (loss) per share because their exercise price was greater than the average market price of our common stock</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years ended December 31, 2021 and 2020, 0.9 million and 0.9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earnings (loss)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RESTRUCTURING CHARGES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initiated Project Catalyst, a project intended to optimize its operations and reduce costs to better align its cost structure with its anticipated revenues and improve its operating margins (finalized in 2020). During the year ended December 31, 2020 Altisource incurred $12.0 million of severance costs, professional services fees, facility consolidation costs, technology costs and business wind down costs related to the plan (no comparative amount for the year ended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Taxes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2018, the United States Supreme Court rendered a 5-4 majority decision in South Dakota v. Wayfair, Inc., holding that a state may require a remote seller with no physical presence in the state to collect and remit sales tax on goods and services provided to purchasers in the state, overturning existing court precedent. During the year ended December 31, 2019, the Company completed the analysis of its services for potential exposure to sales tax in various jurisdictions in the United States. The Company recognized a $(2.7) million net loss reimbursement for the year ended December 31, 2020 (no comparative amount for the year ended December 31, 2021), in selling, general and administrative expenses in the accompanying consolidated statements of operations and comprehensive income (loss). The Company began invoicing, collecting and remitting sales tax in applicable jurisdictions in 2019. Future changes in our estimated sales tax exposure could result in a material adjustment to our consolidated financial statements, which would impact our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3, during the year ended December 31, 2021, Ocwen was our largest customer, accounting for 31% of our total revenue. Additionally, 5% of our revenue for the year ended December 31, 2021 was earned on the loan portfolios serviced by Ocwen, when a party other than Ocwen or the MSRs owner selected Altisource as the service provider.</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UPB) were related to NRZ MSRs or rights to MSRs. In July 2017 and January 2018, Ocwen and NRZ entered into a series of agreements pursuant to which the parties agreed, among other things, to undertake certain actions to facilitate the transfer from Ocwen to NRZ of Ocwen’s legal title to the Subject MSRs and under which Ocwen will subservice mortgage loans underlying the MSRs for an initial term of five years. NRZ can terminate its sub-servicing agreement with Ocwen in exchange for the payment of a termination fee.</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second quarter of 2020, Ocwen informed us that an MSR investor instructed Ocwen to use a field services provider other than Altisource on properties associated with certain MSRs. Based upon the impacted portfolios and the designated service provider, Altisource believes that Ocwen received these directions from NRZ. We believe Ocwen commenced using another field services provider for these properties in July 2020 and continued to transition services during the third quarter of 2020. We believe that the transition to the replacement field service provider was largely completed as of September 30, 2020. We estimate that $0.5 million and $70.1 million of service revenue from Ocwen for the years ended December 31, 2021 and 2020, respectively, was derived from Field Services referrals from the NRZ portfolios. Ocwen also communicated to Altisource in the fourth quarter of 2020 that the same investor instructed Ocwen to use a provider for default valuations and certain default title services other than Altisource on properties associated with such certain MSRs and commenced moving these referrals to other service providers in the fourth quarter of 2020, , with the bulk of such transition occurring during 2021. We anticipate that the transition of such default valuations and title services will continue during the course of 2022. We estimate that $2.9 million and $18.2 million of service revenue from Ocwen for the years ended December 31, 2021 and 2020, respectively, was derived from default valuations and title services referrals from the NRZ portfolios. To address the reduction in revenue, Altisource undertook several measures to further reduce its cost structure, strengthen its operations and generate cash.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5, 2021 we entered into an Agreement with Ocwen pursuant to which the terms of certain services agreements between us and Ocwen were extended from August 2025 through August 2030 and the scope of solutions we provide to Ocwen was expanded to include, among other things, the opportunity for the Company to provide first and second chance foreclosure auctions on Government Loans, and title services on FHA and Veterans Affairs loans, subject to a process to confirm Altisource’s ability to meet reasonable performance requirements, which process is continuing. The Agreement established a framework for us to expand the foreclosure trustee solutions we provide to Ocwen in additional states, and, as mutually agreed upon by the parties, to deliver reverse mortgage related solutions to Ocwen, subject to negotiation of appropriate statements of work or other agreements, a process to confirm Altisource’s ability to meet reasonable performance requirements, and technical integrations, as may be applicable. The Agreement further resolved the contractual dispute between the parties related to Ocwen’s transfer to NRZ the rights to designate service providers other than Altisource, including mutual releases with respect to such dispute. The Agreement also addressed Ocwen’s rights in the event of certain change of control or sale of a business transactions by us on or after September 1, 2028. Since the date of the Agreement, Ocwen has transitioned over 2,300 of its foreclosure auction inventory on Government Loans to us and increased our percentage of field services referrals on its Government Loans.</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expected reductions in our revenue from the transition of referrals for default related services previously identified, if any of the following events occurred, Altisource’s revenue could be further significantly reduced and our results of operations could be materially adversely affected, including from the possible impairment or write-off of goodwill, intangible assets, property and equipment, other assets and accounts receivable:</w:t>
      </w:r>
    </w:p>
    <w:p>
      <w:pPr>
        <w:spacing w:after="0" w:line="1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an additional significant reduction in the volume of services they purchase from us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of its GSE or FHA servicing rights or subservicing arrangements or remaining other servicing rights or subservicing arrangements and Altisource fails to be retained as a service provider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including Ocwen’s sub-servicing arrangement with NRZ expiring without renewal,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$1.0 million and $1.4 million for the years ended December 31, 2021 and 2020, respectively. The amortization periods of right-of-use assets are generally limited by the expected lease term. Our leases generally have expected lease terms at adoption of one to six years.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as of December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2"/>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7.01 %</w:t>
            </w:r>
          </w:p>
        </w:tc>
        <w:tc>
          <w:tcPr>
            <w:tcW w:w="0" w:type="dxa"/>
            <w:vAlign w:val="bottom"/>
          </w:tcPr>
          <w:p>
            <w:pPr>
              <w:spacing w:after="0"/>
              <w:rPr>
                <w:sz w:val="1"/>
                <w:szCs w:val="1"/>
                <w:color w:val="auto"/>
              </w:rPr>
            </w:pPr>
          </w:p>
        </w:tc>
      </w:tr>
      <w:tr>
        <w:trPr>
          <w:trHeight w:val="472"/>
        </w:trPr>
        <w:tc>
          <w:tcPr>
            <w:tcW w:w="8060" w:type="dxa"/>
            <w:vAlign w:val="bottom"/>
          </w:tcPr>
          <w:p>
            <w:pPr>
              <w:spacing w:after="0"/>
              <w:rPr>
                <w:sz w:val="20"/>
                <w:szCs w:val="20"/>
                <w:color w:val="auto"/>
              </w:rPr>
            </w:pPr>
            <w:r>
              <w:rPr>
                <w:rFonts w:ascii="Arial" w:cs="Arial" w:eastAsia="Arial" w:hAnsi="Arial"/>
                <w:sz w:val="18"/>
                <w:szCs w:val="18"/>
                <w:color w:val="auto"/>
              </w:rPr>
              <w:t>Our lease activity was as follows for the years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costs: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537"/>
              <w:spacing w:after="0"/>
              <w:rPr>
                <w:sz w:val="20"/>
                <w:szCs w:val="20"/>
                <w:color w:val="auto"/>
              </w:rPr>
            </w:pPr>
            <w:r>
              <w:rPr>
                <w:rFonts w:ascii="Arial" w:cs="Arial" w:eastAsia="Arial" w:hAnsi="Arial"/>
                <w:sz w:val="18"/>
                <w:szCs w:val="18"/>
                <w:color w:val="auto"/>
                <w:w w:val="88"/>
              </w:rPr>
              <w:t>6,026</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537"/>
              <w:spacing w:after="0"/>
              <w:rPr>
                <w:sz w:val="20"/>
                <w:szCs w:val="20"/>
                <w:color w:val="auto"/>
              </w:rPr>
            </w:pPr>
            <w:r>
              <w:rPr>
                <w:rFonts w:ascii="Arial" w:cs="Arial" w:eastAsia="Arial" w:hAnsi="Arial"/>
                <w:sz w:val="18"/>
                <w:szCs w:val="18"/>
                <w:color w:val="auto"/>
                <w:w w:val="88"/>
              </w:rPr>
              <w:t>2,294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used in operating activities for amounts included in the measurement of lease liabilities</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center"/>
              <w:ind w:left="537"/>
              <w:spacing w:after="0"/>
              <w:rPr>
                <w:sz w:val="20"/>
                <w:szCs w:val="20"/>
                <w:color w:val="auto"/>
              </w:rPr>
            </w:pPr>
            <w:r>
              <w:rPr>
                <w:rFonts w:ascii="Arial" w:cs="Arial" w:eastAsia="Arial" w:hAnsi="Arial"/>
                <w:sz w:val="18"/>
                <w:szCs w:val="18"/>
                <w:color w:val="auto"/>
                <w:w w:val="88"/>
              </w:rPr>
              <w:t>9,072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w:t>
            </w:r>
          </w:p>
        </w:tc>
        <w:tc>
          <w:tcPr>
            <w:tcW w:w="0" w:type="dxa"/>
            <w:vAlign w:val="bottom"/>
          </w:tcPr>
          <w:p>
            <w:pPr>
              <w:spacing w:after="0"/>
              <w:rPr>
                <w:sz w:val="1"/>
                <w:szCs w:val="1"/>
                <w:color w:val="auto"/>
              </w:rPr>
            </w:pPr>
          </w:p>
        </w:tc>
      </w:tr>
      <w:tr>
        <w:trPr>
          <w:trHeight w:val="230"/>
        </w:trPr>
        <w:tc>
          <w:tcPr>
            <w:tcW w:w="8060" w:type="dxa"/>
            <w:vAlign w:val="bottom"/>
          </w:tcPr>
          <w:p>
            <w:pPr>
              <w:ind w:left="80"/>
              <w:spacing w:after="0"/>
              <w:rPr>
                <w:sz w:val="20"/>
                <w:szCs w:val="20"/>
                <w:color w:val="auto"/>
              </w:rPr>
            </w:pPr>
            <w:r>
              <w:rPr>
                <w:rFonts w:ascii="Arial" w:cs="Arial" w:eastAsia="Arial" w:hAnsi="Arial"/>
                <w:sz w:val="18"/>
                <w:szCs w:val="18"/>
                <w:color w:val="auto"/>
              </w:rPr>
              <w:t>Short-term (twelve months or less) lease costs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left="517"/>
              <w:spacing w:after="0"/>
              <w:rPr>
                <w:sz w:val="20"/>
                <w:szCs w:val="20"/>
                <w:color w:val="auto"/>
              </w:rPr>
            </w:pPr>
            <w:r>
              <w:rPr>
                <w:rFonts w:ascii="Arial" w:cs="Arial" w:eastAsia="Arial" w:hAnsi="Arial"/>
                <w:sz w:val="18"/>
                <w:szCs w:val="18"/>
                <w:color w:val="auto"/>
                <w:w w:val="94"/>
              </w:rPr>
              <w:t>(1,017)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458"/>
        </w:trPr>
        <w:tc>
          <w:tcPr>
            <w:tcW w:w="8060" w:type="dxa"/>
            <w:vAlign w:val="bottom"/>
          </w:tcPr>
          <w:p>
            <w:pPr>
              <w:spacing w:after="0"/>
              <w:rPr>
                <w:sz w:val="20"/>
                <w:szCs w:val="20"/>
                <w:color w:val="auto"/>
              </w:rPr>
            </w:pPr>
            <w:r>
              <w:rPr>
                <w:rFonts w:ascii="Arial" w:cs="Arial" w:eastAsia="Arial" w:hAnsi="Arial"/>
                <w:sz w:val="18"/>
                <w:szCs w:val="18"/>
                <w:color w:val="auto"/>
              </w:rPr>
              <w:t>Maturities of our lease liabilities as of December 31, 2021 are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Operating lease</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7"/>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We have executed two standby letters of credit totaling $0.6 million related to two office leases that are secured by restricted cash balances. </w:t>
      </w:r>
      <w:r>
        <w:rPr>
          <w:rFonts w:ascii="Arial" w:cs="Arial" w:eastAsia="Arial" w:hAnsi="Arial"/>
          <w:sz w:val="18"/>
          <w:szCs w:val="18"/>
          <w:b w:val="1"/>
          <w:bCs w:val="1"/>
          <w:color w:val="auto"/>
        </w:rPr>
        <w:t>Escrow Balances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consolidated balance sheets. Amounts held in escrow accounts were $27.5 million and $20.0 million as of December 31, 2021 and 2020,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2021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As a result of this assessment, management concluded that, as of December 31, 2021, our internal control over financial reporting was effective in providing reasonable assurance regarding the reliability of financial reporting and the preparation of financial statements for external purposes in accordance with generally accepted accounting principles. Mayer Hoffman McCann P.C. has independently assessed the effectiveness of our internal control over financial reporting and its report is included herein.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the Exchange Act Rules 13a-15(f) and 15d-15(f)) that occurred during the quarter ended December 31, 2021,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right="2780"/>
        <w:spacing w:after="0" w:line="470" w:lineRule="auto"/>
        <w:rPr>
          <w:sz w:val="20"/>
          <w:szCs w:val="20"/>
          <w:color w:val="auto"/>
        </w:rPr>
      </w:pPr>
      <w:r>
        <w:rPr>
          <w:rFonts w:ascii="Arial" w:cs="Arial" w:eastAsia="Arial" w:hAnsi="Arial"/>
          <w:sz w:val="18"/>
          <w:szCs w:val="18"/>
          <w:b w:val="1"/>
          <w:bCs w:val="1"/>
          <w:color w:val="auto"/>
        </w:rPr>
        <w:t xml:space="preserve">ITEM 9C. DISCLOSURES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112"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2022 annual meeting of shareholders to be filed pursuant to Regulation 14A under the Exchange Act.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16" w:lineRule="exact"/>
        <w:rPr>
          <w:sz w:val="20"/>
          <w:szCs w:val="20"/>
          <w:color w:val="auto"/>
        </w:rPr>
      </w:pPr>
    </w:p>
    <w:p>
      <w:pPr>
        <w:ind w:left="1220" w:hanging="1194"/>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77" w:lineRule="exact"/>
        <w:rPr>
          <w:sz w:val="20"/>
          <w:szCs w:val="20"/>
          <w:color w:val="auto"/>
        </w:rPr>
      </w:pPr>
    </w:p>
    <w:p>
      <w:pPr>
        <w:ind w:left="1220" w:right="8480" w:hanging="1194"/>
        <w:spacing w:after="0" w:line="369" w:lineRule="auto"/>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220" w:hanging="1194"/>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76" w:lineRule="exact"/>
        <w:rPr>
          <w:rFonts w:ascii="Arial" w:cs="Arial" w:eastAsia="Arial" w:hAnsi="Arial"/>
          <w:sz w:val="18"/>
          <w:szCs w:val="18"/>
          <w:color w:val="auto"/>
        </w:rPr>
      </w:pPr>
    </w:p>
    <w:p>
      <w:pPr>
        <w:ind w:left="1220" w:right="40"/>
        <w:spacing w:after="0" w:line="235" w:lineRule="auto"/>
        <w:rPr>
          <w:rFonts w:ascii="Arial" w:cs="Arial" w:eastAsia="Arial" w:hAnsi="Arial"/>
          <w:sz w:val="18"/>
          <w:szCs w:val="18"/>
          <w:color w:val="auto"/>
        </w:rPr>
      </w:pPr>
      <w:r>
        <w:rPr>
          <w:rFonts w:ascii="Arial" w:cs="Arial" w:eastAsia="Arial" w:hAnsi="Arial"/>
          <w:sz w:val="18"/>
          <w:szCs w:val="18"/>
          <w:color w:val="auto"/>
        </w:rPr>
        <w:t>Financial statements schedules are omitted because they are not required or applicable or the required information is included elsewhere in this Annual Report on Form 10-K.</w:t>
      </w:r>
    </w:p>
    <w:p>
      <w:pPr>
        <w:spacing w:after="0" w:line="53" w:lineRule="exact"/>
        <w:rPr>
          <w:rFonts w:ascii="Arial" w:cs="Arial" w:eastAsia="Arial" w:hAnsi="Arial"/>
          <w:sz w:val="18"/>
          <w:szCs w:val="18"/>
          <w:color w:val="auto"/>
        </w:rPr>
      </w:pPr>
    </w:p>
    <w:p>
      <w:pPr>
        <w:ind w:left="1220" w:hanging="1194"/>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0220" w:type="dxa"/>
            <w:vAlign w:val="bottom"/>
            <w:gridSpan w:val="26"/>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10220" w:type="dxa"/>
            <w:vAlign w:val="bottom"/>
            <w:gridSpan w:val="2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Borders>
              <w:top w:val="single" w:sz="8" w:color="auto"/>
            </w:tcBorders>
            <w:gridSpan w:val="2"/>
          </w:tcPr>
          <w:p>
            <w:pPr>
              <w:ind w:left="20"/>
              <w:spacing w:after="0"/>
              <w:rPr>
                <w:rFonts w:ascii="Arial" w:cs="Arial" w:eastAsia="Arial" w:hAnsi="Arial"/>
                <w:sz w:val="18"/>
                <w:szCs w:val="18"/>
                <w:color w:val="0000FF"/>
                <w:w w:val="87"/>
              </w:rPr>
            </w:pPr>
            <w:hyperlink r:id="rId10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20" w:type="dxa"/>
            <w:vAlign w:val="bottom"/>
            <w:tcBorders>
              <w:top w:val="single" w:sz="8" w:color="auto"/>
            </w:tcBorders>
            <w:gridSpan w:val="26"/>
          </w:tcPr>
          <w:p>
            <w:pPr>
              <w:spacing w:after="0"/>
              <w:rPr>
                <w:rFonts w:ascii="Arial" w:cs="Arial" w:eastAsia="Arial" w:hAnsi="Arial"/>
                <w:sz w:val="18"/>
                <w:szCs w:val="18"/>
                <w:color w:val="0000FF"/>
                <w:w w:val="94"/>
              </w:rPr>
            </w:pPr>
            <w:hyperlink r:id="rId104">
              <w:r>
                <w:rPr>
                  <w:rFonts w:ascii="Arial" w:cs="Arial" w:eastAsia="Arial" w:hAnsi="Arial"/>
                  <w:sz w:val="18"/>
                  <w:szCs w:val="18"/>
                  <w:color w:val="0000FF"/>
                  <w:w w:val="94"/>
                </w:rPr>
                <w:t>Form of Separation Agreement between Altisource Portfolio Solutions S.A. and Ocwen Financial Corporation (incorporated by reference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to Exhibit 2.1 of the Registrant’s Form 10-12B/A — Amendment No. 1 to Form 10 as filed with the Commission on June 29, 2009)</w:t>
              </w:r>
            </w:hyperlink>
          </w:p>
        </w:tc>
        <w:tc>
          <w:tcPr>
            <w:tcW w:w="6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60" w:type="dxa"/>
            <w:vAlign w:val="bottom"/>
            <w:gridSpan w:val="2"/>
          </w:tcPr>
          <w:p>
            <w:pPr>
              <w:ind w:left="20"/>
              <w:spacing w:after="0"/>
              <w:rPr>
                <w:rFonts w:ascii="Arial" w:cs="Arial" w:eastAsia="Arial" w:hAnsi="Arial"/>
                <w:sz w:val="18"/>
                <w:szCs w:val="18"/>
                <w:color w:val="0000FF"/>
                <w:w w:val="87"/>
              </w:rPr>
            </w:pPr>
            <w:hyperlink r:id="rId10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5"/>
              </w:rPr>
            </w:pPr>
            <w:hyperlink r:id="rId105">
              <w:r>
                <w:rPr>
                  <w:rFonts w:ascii="Arial" w:cs="Arial" w:eastAsia="Arial" w:hAnsi="Arial"/>
                  <w:sz w:val="18"/>
                  <w:szCs w:val="18"/>
                  <w:color w:val="0000FF"/>
                  <w:w w:val="95"/>
                </w:rPr>
                <w:t>Separation Agreement, dated as of December 21, 2012, between Altisource Residential Corporation and Altisource Portfolio Solutions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S.A. (incorporated by reference to Exhibit 2.1 to the Company’s Form 8-K filed on December 28,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0" w:type="dxa"/>
            <w:vAlign w:val="bottom"/>
            <w:gridSpan w:val="2"/>
          </w:tcPr>
          <w:p>
            <w:pPr>
              <w:ind w:left="20"/>
              <w:spacing w:after="0"/>
              <w:rPr>
                <w:rFonts w:ascii="Arial" w:cs="Arial" w:eastAsia="Arial" w:hAnsi="Arial"/>
                <w:sz w:val="18"/>
                <w:szCs w:val="18"/>
                <w:color w:val="0000FF"/>
                <w:w w:val="87"/>
              </w:rPr>
            </w:pPr>
            <w:hyperlink r:id="rId106">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6"/>
              </w:rPr>
            </w:pPr>
            <w:hyperlink r:id="rId106">
              <w:r>
                <w:rPr>
                  <w:rFonts w:ascii="Arial" w:cs="Arial" w:eastAsia="Arial" w:hAnsi="Arial"/>
                  <w:sz w:val="18"/>
                  <w:szCs w:val="18"/>
                  <w:color w:val="0000FF"/>
                  <w:w w:val="96"/>
                </w:rPr>
                <w:t>Separation Agreement, dated as of December 21, 2012, between Altisource Asset Management Corporation and Altisource Portfolio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Solutions S.A. (incorporated by reference to Exhibit 2.2 to the Company’s Form 8-K filed on December 28, 2012)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0" w:type="dxa"/>
            <w:vAlign w:val="bottom"/>
            <w:gridSpan w:val="2"/>
          </w:tcPr>
          <w:p>
            <w:pPr>
              <w:ind w:left="20"/>
              <w:spacing w:after="0"/>
              <w:rPr>
                <w:rFonts w:ascii="Arial" w:cs="Arial" w:eastAsia="Arial" w:hAnsi="Arial"/>
                <w:sz w:val="18"/>
                <w:szCs w:val="18"/>
                <w:color w:val="0000FF"/>
                <w:w w:val="87"/>
              </w:rPr>
            </w:pPr>
            <w:hyperlink r:id="rId107">
              <w:r>
                <w:rPr>
                  <w:rFonts w:ascii="Arial" w:cs="Arial" w:eastAsia="Arial" w:hAnsi="Arial"/>
                  <w:sz w:val="18"/>
                  <w:szCs w:val="18"/>
                  <w:color w:val="0000FF"/>
                  <w:w w:val="87"/>
                </w:rPr>
                <w:t>2.</w:t>
              </w:r>
              <w:r>
                <w:rPr>
                  <w:rFonts w:ascii="Arial" w:cs="Arial" w:eastAsia="Arial" w:hAnsi="Arial"/>
                  <w:sz w:val="18"/>
                  <w:szCs w:val="18"/>
                  <w:u w:val="single" w:color="auto"/>
                  <w:color w:val="0000FF"/>
                  <w:w w:val="87"/>
                </w:rPr>
                <w:t>4</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Purchase and Sale Agreement, dated as of March 29, 2013, by and among Altisource Portfolio Solutions, Inc., Altisource Solutions S.à</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107">
              <w:r>
                <w:rPr>
                  <w:rFonts w:ascii="Arial" w:cs="Arial" w:eastAsia="Arial" w:hAnsi="Arial"/>
                  <w:sz w:val="18"/>
                  <w:szCs w:val="18"/>
                  <w:color w:val="0000FF"/>
                  <w:w w:val="95"/>
                </w:rPr>
                <w:t>r.l., Ocwen Financial Corporation, Homeward Residential, Inc. and Power Valuation Services, Inc. (incorporated by reference to Exhibit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2.</w:t>
              </w:r>
              <w:r>
                <w:rPr>
                  <w:rFonts w:ascii="Arial" w:cs="Arial" w:eastAsia="Arial" w:hAnsi="Arial"/>
                  <w:sz w:val="18"/>
                  <w:szCs w:val="18"/>
                  <w:u w:val="single" w:color="auto"/>
                  <w:color w:val="0000FF"/>
                  <w:w w:val="93"/>
                </w:rPr>
                <w:t>1</w:t>
              </w:r>
              <w:r>
                <w:rPr>
                  <w:rFonts w:ascii="Arial" w:cs="Arial" w:eastAsia="Arial" w:hAnsi="Arial"/>
                  <w:sz w:val="18"/>
                  <w:szCs w:val="18"/>
                  <w:color w:val="0000FF"/>
                  <w:w w:val="93"/>
                </w:rPr>
                <w:t xml:space="preserve"> to the Company’s Form 8-K filed on April 4, 2013)</w:t>
              </w:r>
            </w:hyperlink>
          </w:p>
        </w:tc>
        <w:tc>
          <w:tcPr>
            <w:tcW w:w="61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60" w:type="dxa"/>
            <w:vAlign w:val="bottom"/>
            <w:gridSpan w:val="2"/>
          </w:tcPr>
          <w:p>
            <w:pPr>
              <w:ind w:left="20"/>
              <w:spacing w:after="0"/>
              <w:rPr>
                <w:rFonts w:ascii="Arial" w:cs="Arial" w:eastAsia="Arial" w:hAnsi="Arial"/>
                <w:sz w:val="18"/>
                <w:szCs w:val="18"/>
                <w:color w:val="0000FF"/>
                <w:w w:val="87"/>
              </w:rPr>
            </w:pPr>
            <w:hyperlink r:id="rId10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5</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Purchase and Sale Agreement, dated as of August 19, 2013, by and among Altisource Portfolio Solutions S.A., Altisource Solutions S.à</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08">
              <w:r>
                <w:rPr>
                  <w:rFonts w:ascii="Arial" w:cs="Arial" w:eastAsia="Arial" w:hAnsi="Arial"/>
                  <w:sz w:val="18"/>
                  <w:szCs w:val="18"/>
                  <w:color w:val="0000FF"/>
                  <w:w w:val="94"/>
                </w:rPr>
                <w:t>r.l. and the Equity Interestholders of Equator, LLC (incorporated by reference to Exhibit 2.1 to the Company’s Form 8-K filed on August</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21, 2013)</w:t>
              </w:r>
            </w:hyperlink>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5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gridSpan w:val="4"/>
          </w:tcPr>
          <w:p>
            <w:pPr>
              <w:ind w:left="20"/>
              <w:spacing w:after="0"/>
              <w:rPr>
                <w:rFonts w:ascii="Arial" w:cs="Arial" w:eastAsia="Arial" w:hAnsi="Arial"/>
                <w:sz w:val="18"/>
                <w:szCs w:val="18"/>
                <w:color w:val="0000FF"/>
              </w:rPr>
            </w:pPr>
            <w:hyperlink r:id="rId109">
              <w:r>
                <w:rPr>
                  <w:rFonts w:ascii="Arial" w:cs="Arial" w:eastAsia="Arial" w:hAnsi="Arial"/>
                  <w:sz w:val="18"/>
                  <w:szCs w:val="18"/>
                  <w:color w:val="0000FF"/>
                </w:rPr>
                <w:t>2.</w:t>
              </w:r>
              <w:r>
                <w:rPr>
                  <w:rFonts w:ascii="Arial" w:cs="Arial" w:eastAsia="Arial" w:hAnsi="Arial"/>
                  <w:sz w:val="18"/>
                  <w:szCs w:val="18"/>
                  <w:u w:val="single" w:color="auto"/>
                  <w:color w:val="0000FF"/>
                </w:rPr>
                <w:t>6</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4"/>
              </w:rPr>
            </w:pPr>
            <w:hyperlink r:id="rId109">
              <w:r>
                <w:rPr>
                  <w:rFonts w:ascii="Arial" w:cs="Arial" w:eastAsia="Arial" w:hAnsi="Arial"/>
                  <w:sz w:val="18"/>
                  <w:szCs w:val="18"/>
                  <w:color w:val="0000FF"/>
                  <w:w w:val="94"/>
                </w:rPr>
                <w:t>Stock Purchase Agreement dated as of October 6, 2021 by and among Genesys Cloud Services, Inc., Altisource S.à r.l., Pointillist, Inc,.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109">
              <w:r>
                <w:rPr>
                  <w:rFonts w:ascii="Arial" w:cs="Arial" w:eastAsia="Arial" w:hAnsi="Arial"/>
                  <w:sz w:val="18"/>
                  <w:szCs w:val="18"/>
                  <w:color w:val="0000FF"/>
                  <w:w w:val="94"/>
                </w:rPr>
                <w:t>and other holders of the outstanding capital stock of Pointillist, Inc. (incorporated by reference to Exhibit 2.1 to the Company’s Form 8-K</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filed on October 7, 2021)</w:t>
              </w:r>
            </w:hyperlink>
          </w:p>
        </w:tc>
        <w:tc>
          <w:tcPr>
            <w:tcW w:w="81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60" w:type="dxa"/>
            <w:vAlign w:val="bottom"/>
            <w:gridSpan w:val="2"/>
          </w:tcPr>
          <w:p>
            <w:pPr>
              <w:ind w:left="20"/>
              <w:spacing w:after="0"/>
              <w:rPr>
                <w:rFonts w:ascii="Arial" w:cs="Arial" w:eastAsia="Arial" w:hAnsi="Arial"/>
                <w:sz w:val="18"/>
                <w:szCs w:val="18"/>
                <w:color w:val="0000FF"/>
                <w:w w:val="87"/>
              </w:rPr>
            </w:pPr>
            <w:hyperlink r:id="rId11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6"/>
              </w:rPr>
            </w:pPr>
            <w:hyperlink r:id="rId110">
              <w:r>
                <w:rPr>
                  <w:rFonts w:ascii="Arial" w:cs="Arial" w:eastAsia="Arial" w:hAnsi="Arial"/>
                  <w:sz w:val="18"/>
                  <w:szCs w:val="18"/>
                  <w:color w:val="0000FF"/>
                  <w:w w:val="96"/>
                </w:rPr>
                <w:t>Amended and Restated Articles of Incorporation of Altisource Portfolio Solutions S.A. (incorporated by reference to Exhibit 3.1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Company’s Form 10-Q filed on August 9, 2017)</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rFonts w:ascii="Arial" w:cs="Arial" w:eastAsia="Arial" w:hAnsi="Arial"/>
                <w:sz w:val="18"/>
                <w:szCs w:val="18"/>
                <w:color w:val="0000FF"/>
                <w:w w:val="87"/>
              </w:rPr>
            </w:pPr>
            <w:hyperlink r:id="rId11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tcBorders>
              <w:top w:val="single" w:sz="8" w:color="0000FF"/>
            </w:tcBorders>
            <w:gridSpan w:val="8"/>
          </w:tcPr>
          <w:p>
            <w:pPr>
              <w:spacing w:after="0"/>
              <w:rPr>
                <w:rFonts w:ascii="Arial" w:cs="Arial" w:eastAsia="Arial" w:hAnsi="Arial"/>
                <w:sz w:val="18"/>
                <w:szCs w:val="18"/>
                <w:color w:val="0000FF"/>
              </w:rPr>
            </w:pPr>
            <w:hyperlink r:id="rId111">
              <w:r>
                <w:rPr>
                  <w:rFonts w:ascii="Arial" w:cs="Arial" w:eastAsia="Arial" w:hAnsi="Arial"/>
                  <w:sz w:val="18"/>
                  <w:szCs w:val="18"/>
                  <w:color w:val="0000FF"/>
                </w:rPr>
                <w:t>Description of Securities</w:t>
              </w:r>
            </w:hyperlink>
          </w:p>
        </w:tc>
        <w:tc>
          <w:tcPr>
            <w:tcW w:w="6740" w:type="dxa"/>
            <w:vAlign w:val="bottom"/>
            <w:gridSpan w:val="1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1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80" w:type="dxa"/>
            <w:vAlign w:val="bottom"/>
            <w:gridSpan w:val="3"/>
          </w:tcPr>
          <w:p>
            <w:pPr>
              <w:spacing w:after="0"/>
              <w:rPr>
                <w:rFonts w:ascii="Arial" w:cs="Arial" w:eastAsia="Arial" w:hAnsi="Arial"/>
                <w:sz w:val="18"/>
                <w:szCs w:val="18"/>
                <w:color w:val="0000FF"/>
              </w:rPr>
            </w:pPr>
            <w:hyperlink r:id="rId11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Separation Agreement, dated as of August 10, 2009, by and between Altisource Portfolio Solutions S.A. and Ocwen Financial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12">
              <w:r>
                <w:rPr>
                  <w:rFonts w:ascii="Arial" w:cs="Arial" w:eastAsia="Arial" w:hAnsi="Arial"/>
                  <w:sz w:val="18"/>
                  <w:szCs w:val="18"/>
                  <w:color w:val="0000FF"/>
                  <w:w w:val="94"/>
                </w:rPr>
                <w:t>Corporation (incorporated by reference to Exhibit 10.1 of the Registrant’s Current Report on Form 8-K as filed with the Commission on</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August 13, 2009)</w:t>
              </w:r>
            </w:hyperlink>
          </w:p>
        </w:tc>
        <w:tc>
          <w:tcPr>
            <w:tcW w:w="88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00" w:type="dxa"/>
            <w:vAlign w:val="bottom"/>
            <w:gridSpan w:val="4"/>
          </w:tcPr>
          <w:p>
            <w:pPr>
              <w:ind w:left="20"/>
              <w:spacing w:after="0"/>
              <w:rPr>
                <w:rFonts w:ascii="Arial" w:cs="Arial" w:eastAsia="Arial" w:hAnsi="Arial"/>
                <w:sz w:val="18"/>
                <w:szCs w:val="18"/>
                <w:color w:val="0000FF"/>
              </w:rPr>
            </w:pPr>
            <w:hyperlink r:id="rId113">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6"/>
              </w:rPr>
            </w:pPr>
            <w:hyperlink r:id="rId113">
              <w:r>
                <w:rPr>
                  <w:rFonts w:ascii="Arial" w:cs="Arial" w:eastAsia="Arial" w:hAnsi="Arial"/>
                  <w:sz w:val="18"/>
                  <w:szCs w:val="18"/>
                  <w:color w:val="0000FF"/>
                  <w:w w:val="96"/>
                </w:rPr>
                <w:t>Tax Matters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(incorporated by reference to Exhibit 10.2 of the Registrant’s Current Report on Form 8-K as filed with the Commission on August 13,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13">
              <w:r>
                <w:rPr>
                  <w:rFonts w:ascii="Arial" w:cs="Arial" w:eastAsia="Arial" w:hAnsi="Arial"/>
                  <w:sz w:val="18"/>
                  <w:szCs w:val="18"/>
                  <w:color w:val="0000FF"/>
                  <w:w w:val="86"/>
                </w:rPr>
                <w:t>2009)</w:t>
              </w:r>
            </w:hyperlink>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5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gridSpan w:val="4"/>
          </w:tcPr>
          <w:p>
            <w:pPr>
              <w:ind w:left="20"/>
              <w:spacing w:after="0"/>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Transition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Arial" w:cs="Arial" w:eastAsia="Arial" w:hAnsi="Arial"/>
                <w:sz w:val="18"/>
                <w:szCs w:val="18"/>
                <w:color w:val="0000FF"/>
                <w:w w:val="93"/>
              </w:rPr>
            </w:pPr>
            <w:hyperlink r:id="rId114">
              <w:r>
                <w:rPr>
                  <w:rFonts w:ascii="Arial" w:cs="Arial" w:eastAsia="Arial" w:hAnsi="Arial"/>
                  <w:sz w:val="18"/>
                  <w:szCs w:val="18"/>
                  <w:color w:val="0000FF"/>
                  <w:w w:val="93"/>
                </w:rPr>
                <w:t>Corporation (incorporated by reference to Exhibit 10.3 of the Registrant’s Current Report on Form 8-K as filed with the Commission on</w:t>
              </w:r>
            </w:hyperlink>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August 13, 2009)</w:t>
              </w:r>
            </w:hyperlink>
          </w:p>
        </w:tc>
        <w:tc>
          <w:tcPr>
            <w:tcW w:w="8800" w:type="dxa"/>
            <w:vAlign w:val="bottom"/>
            <w:tcBorders>
              <w:top w:val="single" w:sz="8" w:color="0000FF"/>
            </w:tcBorders>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00" w:type="dxa"/>
            <w:vAlign w:val="bottom"/>
            <w:gridSpan w:val="4"/>
          </w:tcPr>
          <w:p>
            <w:pPr>
              <w:ind w:left="20"/>
              <w:spacing w:after="0"/>
              <w:rPr>
                <w:rFonts w:ascii="Arial" w:cs="Arial" w:eastAsia="Arial" w:hAnsi="Arial"/>
                <w:sz w:val="18"/>
                <w:szCs w:val="18"/>
                <w:color w:val="0000FF"/>
              </w:rPr>
            </w:pPr>
            <w:hyperlink r:id="rId115">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rPr>
            </w:pPr>
            <w:hyperlink r:id="rId115">
              <w:r>
                <w:rPr>
                  <w:rFonts w:ascii="Arial" w:cs="Arial" w:eastAsia="Arial" w:hAnsi="Arial"/>
                  <w:sz w:val="18"/>
                  <w:szCs w:val="18"/>
                  <w:color w:val="0000FF"/>
                </w:rPr>
                <w:t>Employee Matters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Corporation (incorporated by reference to Exhibit 10.4 of the Registrant’s Current Report on Form 8-K as filed with the Commission on</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August 13, 2009)</w:t>
              </w:r>
            </w:hyperlink>
          </w:p>
        </w:tc>
        <w:tc>
          <w:tcPr>
            <w:tcW w:w="8800" w:type="dxa"/>
            <w:vAlign w:val="bottom"/>
            <w:tcBorders>
              <w:top w:val="single" w:sz="8" w:color="0000FF"/>
            </w:tcBorders>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00" w:type="dxa"/>
            <w:vAlign w:val="bottom"/>
            <w:gridSpan w:val="4"/>
          </w:tcPr>
          <w:p>
            <w:pPr>
              <w:ind w:left="20"/>
              <w:spacing w:after="0"/>
              <w:rPr>
                <w:rFonts w:ascii="Arial" w:cs="Arial" w:eastAsia="Arial" w:hAnsi="Arial"/>
                <w:sz w:val="18"/>
                <w:szCs w:val="18"/>
                <w:color w:val="0000FF"/>
              </w:rPr>
            </w:pPr>
            <w:hyperlink r:id="rId116">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20" w:type="dxa"/>
            <w:vAlign w:val="bottom"/>
            <w:gridSpan w:val="26"/>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Technology Products Services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Corporation (incorporated by reference to Exhibit 10.5 of the Registrant’s Current Report on Form 8-K as filed with the Commission on</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August 13, 2009)</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240" w:type="dxa"/>
            <w:vAlign w:val="bottom"/>
            <w:tcBorders>
              <w:top w:val="single" w:sz="8" w:color="0000FF"/>
            </w:tcBorders>
            <w:gridSpan w:val="3"/>
          </w:tcPr>
          <w:p>
            <w:pPr>
              <w:spacing w:after="0"/>
              <w:rPr>
                <w:sz w:val="24"/>
                <w:szCs w:val="24"/>
                <w:color w:val="auto"/>
              </w:rPr>
            </w:pPr>
          </w:p>
        </w:tc>
        <w:tc>
          <w:tcPr>
            <w:tcW w:w="6240" w:type="dxa"/>
            <w:vAlign w:val="bottom"/>
            <w:gridSpan w:val="6"/>
          </w:tcPr>
          <w:p>
            <w:pPr>
              <w:jc w:val="right"/>
              <w:ind w:right="3000"/>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3"/>
          </w:tcPr>
          <w:p>
            <w:pPr>
              <w:ind w:left="20"/>
              <w:spacing w:after="0"/>
              <w:rPr>
                <w:rFonts w:ascii="Arial" w:cs="Arial" w:eastAsia="Arial" w:hAnsi="Arial"/>
                <w:sz w:val="18"/>
                <w:szCs w:val="18"/>
                <w:color w:val="0000FF"/>
              </w:rPr>
            </w:pPr>
            <w:hyperlink r:id="rId11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380" w:type="dxa"/>
            <w:vAlign w:val="bottom"/>
            <w:gridSpan w:val="39"/>
          </w:tcPr>
          <w:p>
            <w:pPr>
              <w:spacing w:after="0"/>
              <w:rPr>
                <w:rFonts w:ascii="Arial" w:cs="Arial" w:eastAsia="Arial" w:hAnsi="Arial"/>
                <w:sz w:val="18"/>
                <w:szCs w:val="18"/>
                <w:color w:val="0000FF"/>
              </w:rPr>
            </w:pPr>
            <w:hyperlink r:id="rId119">
              <w:r>
                <w:rPr>
                  <w:rFonts w:ascii="Arial" w:cs="Arial" w:eastAsia="Arial" w:hAnsi="Arial"/>
                  <w:sz w:val="18"/>
                  <w:szCs w:val="18"/>
                  <w:color w:val="0000FF"/>
                </w:rPr>
                <w:t>Services Agreement, dated as of August 10, 2009, by and between Altisource Solutions S.à r.l. and Ocwen Financial Corporation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(incorporated by reference to Exhibit 10.6 of the Registrant’s Current Report on Form 8-K as filed with the Commission on August 13,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119">
              <w:r>
                <w:rPr>
                  <w:rFonts w:ascii="Arial" w:cs="Arial" w:eastAsia="Arial" w:hAnsi="Arial"/>
                  <w:sz w:val="18"/>
                  <w:szCs w:val="18"/>
                  <w:color w:val="0000FF"/>
                  <w:w w:val="86"/>
                </w:rPr>
                <w:t>2009)</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120">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380" w:type="dxa"/>
            <w:vAlign w:val="bottom"/>
            <w:gridSpan w:val="39"/>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Data Center and Disaster Recovery Services Agreement, dated as of August 10, 2009, by and between Altisource Solutions S.à r.l.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40" w:type="dxa"/>
            <w:vAlign w:val="bottom"/>
            <w:tcBorders>
              <w:top w:val="single" w:sz="8" w:color="0000FF"/>
            </w:tcBorders>
            <w:gridSpan w:val="32"/>
          </w:tcPr>
          <w:p>
            <w:pPr>
              <w:spacing w:after="0" w:line="156" w:lineRule="exact"/>
              <w:rPr>
                <w:rFonts w:ascii="Arial" w:cs="Arial" w:eastAsia="Arial" w:hAnsi="Arial"/>
                <w:sz w:val="18"/>
                <w:szCs w:val="18"/>
                <w:color w:val="0000FF"/>
                <w:w w:val="95"/>
              </w:rPr>
            </w:pPr>
            <w:hyperlink r:id="rId120">
              <w:r>
                <w:rPr>
                  <w:rFonts w:ascii="Arial" w:cs="Arial" w:eastAsia="Arial" w:hAnsi="Arial"/>
                  <w:sz w:val="18"/>
                  <w:szCs w:val="18"/>
                  <w:color w:val="0000FF"/>
                  <w:w w:val="95"/>
                </w:rPr>
                <w:t>Ocwen Financial Corporation (incorporated by reference to Exhibit 10.7 of the Registrant’s Current Report on Form 8-K as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Commission on August 13,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20" w:type="dxa"/>
            <w:vAlign w:val="bottom"/>
            <w:gridSpan w:val="3"/>
          </w:tcPr>
          <w:p>
            <w:pPr>
              <w:ind w:left="20"/>
              <w:spacing w:after="0"/>
              <w:rPr>
                <w:rFonts w:ascii="Arial" w:cs="Arial" w:eastAsia="Arial" w:hAnsi="Arial"/>
                <w:sz w:val="18"/>
                <w:szCs w:val="18"/>
                <w:color w:val="0000FF"/>
              </w:rPr>
            </w:pPr>
            <w:hyperlink r:id="rId12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380" w:type="dxa"/>
            <w:vAlign w:val="bottom"/>
            <w:gridSpan w:val="39"/>
          </w:tcPr>
          <w:p>
            <w:pPr>
              <w:spacing w:after="0"/>
              <w:rPr>
                <w:rFonts w:ascii="Arial" w:cs="Arial" w:eastAsia="Arial" w:hAnsi="Arial"/>
                <w:sz w:val="18"/>
                <w:szCs w:val="18"/>
                <w:color w:val="0000FF"/>
              </w:rPr>
            </w:pPr>
            <w:hyperlink r:id="rId121">
              <w:r>
                <w:rPr>
                  <w:rFonts w:ascii="Arial" w:cs="Arial" w:eastAsia="Arial" w:hAnsi="Arial"/>
                  <w:sz w:val="18"/>
                  <w:szCs w:val="18"/>
                  <w:color w:val="0000FF"/>
                </w:rPr>
                <w:t>Intellectual Property Agreement, dated as of August 10, 2009, by and between Altisource Solutions S.à r.l. and Ocwen Financial</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4"/>
              </w:rPr>
            </w:pPr>
            <w:hyperlink r:id="rId121">
              <w:r>
                <w:rPr>
                  <w:rFonts w:ascii="Arial" w:cs="Arial" w:eastAsia="Arial" w:hAnsi="Arial"/>
                  <w:sz w:val="18"/>
                  <w:szCs w:val="18"/>
                  <w:color w:val="0000FF"/>
                  <w:w w:val="94"/>
                </w:rPr>
                <w:t>Corporation (incorporated by reference to Exhibit 10.8 of the Registrant’s Current Report on Form 8-K as filed with the Commission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August 13, 2009)</w:t>
              </w:r>
            </w:hyperlink>
          </w:p>
        </w:tc>
        <w:tc>
          <w:tcPr>
            <w:tcW w:w="888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9</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rPr>
            </w:pPr>
            <w:hyperlink r:id="rId122">
              <w:r>
                <w:rPr>
                  <w:rFonts w:ascii="Arial" w:cs="Arial" w:eastAsia="Arial" w:hAnsi="Arial"/>
                  <w:sz w:val="18"/>
                  <w:szCs w:val="18"/>
                  <w:color w:val="0000FF"/>
                </w:rPr>
                <w:t>Employment Contract between Altisource Solutions S.à r.l. and William B. Shepro (incorporated by reference from Exhibit 10.9 to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20" w:type="dxa"/>
            <w:vAlign w:val="bottom"/>
            <w:tcBorders>
              <w:top w:val="single" w:sz="8" w:color="0000FF"/>
            </w:tcBorders>
            <w:gridSpan w:val="36"/>
          </w:tcPr>
          <w:p>
            <w:pPr>
              <w:spacing w:after="0" w:line="15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29, 2009)</w:t>
              </w:r>
            </w:hyperlink>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23">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rPr>
            </w:pPr>
            <w:hyperlink r:id="rId123">
              <w:r>
                <w:rPr>
                  <w:rFonts w:ascii="Arial" w:cs="Arial" w:eastAsia="Arial" w:hAnsi="Arial"/>
                  <w:sz w:val="18"/>
                  <w:szCs w:val="18"/>
                  <w:color w:val="0000FF"/>
                </w:rPr>
                <w:t>Employment Contract between Altisource Solutions S.à r.l. and Kevin J. Wilcox (incorporated by reference from Exhibit 10.11 to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123">
              <w:r>
                <w:rPr>
                  <w:rFonts w:ascii="Arial" w:cs="Arial" w:eastAsia="Arial" w:hAnsi="Arial"/>
                  <w:sz w:val="18"/>
                  <w:szCs w:val="18"/>
                  <w:color w:val="0000FF"/>
                  <w:w w:val="95"/>
                </w:rPr>
                <w:t>Amendment No. 1 to the Registration Statement on Form 10 of Altisource Portfolio Solutions S.A. as filed with the Commission on June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23">
              <w:r>
                <w:rPr>
                  <w:rFonts w:ascii="Arial" w:cs="Arial" w:eastAsia="Arial" w:hAnsi="Arial"/>
                  <w:sz w:val="18"/>
                  <w:szCs w:val="18"/>
                  <w:color w:val="0000FF"/>
                  <w:w w:val="89"/>
                </w:rPr>
                <w:t>29, 2009)</w:t>
              </w:r>
            </w:hyperlink>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40" w:type="dxa"/>
            <w:vAlign w:val="bottom"/>
            <w:gridSpan w:val="4"/>
          </w:tcPr>
          <w:p>
            <w:pPr>
              <w:ind w:left="20"/>
              <w:spacing w:after="0"/>
              <w:rPr>
                <w:rFonts w:ascii="Arial" w:cs="Arial" w:eastAsia="Arial" w:hAnsi="Arial"/>
                <w:sz w:val="18"/>
                <w:szCs w:val="18"/>
                <w:color w:val="0000FF"/>
                <w:w w:val="88"/>
              </w:rPr>
            </w:pPr>
            <w:hyperlink r:id="rId12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780" w:type="dxa"/>
            <w:vAlign w:val="bottom"/>
          </w:tcPr>
          <w:p>
            <w:pPr>
              <w:spacing w:after="0"/>
              <w:rPr>
                <w:sz w:val="22"/>
                <w:szCs w:val="22"/>
                <w:color w:val="auto"/>
              </w:rPr>
            </w:pPr>
          </w:p>
        </w:tc>
        <w:tc>
          <w:tcPr>
            <w:tcW w:w="10380" w:type="dxa"/>
            <w:vAlign w:val="bottom"/>
            <w:gridSpan w:val="39"/>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Purchase and Sale Agreement, dated as of February 12, 2010, by and among Altisource Portfolio Solutions S.A., and the Equity Interest</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Holders of The Mortgage Partnership of America, L.L.C. and the Management Owners (incorporated by reference to Exhibit 10.12 of the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80" w:type="dxa"/>
            <w:vAlign w:val="bottom"/>
            <w:tcBorders>
              <w:bottom w:val="single" w:sz="8" w:color="0000FF"/>
            </w:tcBorders>
            <w:gridSpan w:val="9"/>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Company’s 10-K as filed with the Commission on March 17, 2010)</w:t>
              </w:r>
            </w:hyperlink>
          </w:p>
        </w:tc>
        <w:tc>
          <w:tcPr>
            <w:tcW w:w="51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25">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w w:val="99"/>
              </w:rPr>
            </w:pPr>
            <w:hyperlink r:id="rId125">
              <w:r>
                <w:rPr>
                  <w:rFonts w:ascii="Arial" w:cs="Arial" w:eastAsia="Arial" w:hAnsi="Arial"/>
                  <w:sz w:val="18"/>
                  <w:szCs w:val="18"/>
                  <w:color w:val="0000FF"/>
                  <w:w w:val="99"/>
                </w:rPr>
                <w:t>Form of Put Option Agreements (incorporated by reference to Exhibit 10.13 of the Company’s 10-K as filed with the Commission on</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25">
              <w:r>
                <w:rPr>
                  <w:rFonts w:ascii="Arial" w:cs="Arial" w:eastAsia="Arial" w:hAnsi="Arial"/>
                  <w:sz w:val="18"/>
                  <w:szCs w:val="18"/>
                  <w:color w:val="0000FF"/>
                  <w:w w:val="89"/>
                </w:rPr>
                <w:t>March 17, 2010)</w:t>
              </w:r>
            </w:hyperlink>
          </w:p>
        </w:tc>
        <w:tc>
          <w:tcPr>
            <w:tcW w:w="892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26">
              <w:r>
                <w:rPr>
                  <w:rFonts w:ascii="Arial" w:cs="Arial" w:eastAsia="Arial" w:hAnsi="Arial"/>
                  <w:sz w:val="18"/>
                  <w:szCs w:val="18"/>
                  <w:color w:val="0000FF"/>
                </w:rPr>
                <w:t>10.</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w w:val="97"/>
              </w:rPr>
            </w:pPr>
            <w:hyperlink r:id="rId126">
              <w:r>
                <w:rPr>
                  <w:rFonts w:ascii="Arial" w:cs="Arial" w:eastAsia="Arial" w:hAnsi="Arial"/>
                  <w:sz w:val="18"/>
                  <w:szCs w:val="18"/>
                  <w:color w:val="0000FF"/>
                  <w:w w:val="97"/>
                </w:rPr>
                <w:t>Form of Non-qualified Stock Option Agreement, pursuant to the 2009 Equity Incentive Plan (incorporated by reference to Exhibit 10.14</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1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of the Company’s 10-K as filed with the Commission on February 18, 2011)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gridSpan w:val="5"/>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20" w:type="dxa"/>
            <w:vAlign w:val="bottom"/>
            <w:gridSpan w:val="5"/>
          </w:tcPr>
          <w:p>
            <w:pPr>
              <w:ind w:left="20"/>
              <w:spacing w:after="0"/>
              <w:rPr>
                <w:rFonts w:ascii="Arial" w:cs="Arial" w:eastAsia="Arial" w:hAnsi="Arial"/>
                <w:sz w:val="18"/>
                <w:szCs w:val="18"/>
                <w:color w:val="0000FF"/>
              </w:rPr>
            </w:pPr>
            <w:hyperlink r:id="rId12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380" w:type="dxa"/>
            <w:vAlign w:val="bottom"/>
            <w:gridSpan w:val="39"/>
          </w:tcPr>
          <w:p>
            <w:pPr>
              <w:spacing w:after="0"/>
              <w:rPr>
                <w:rFonts w:ascii="Arial" w:cs="Arial" w:eastAsia="Arial" w:hAnsi="Arial"/>
                <w:sz w:val="18"/>
                <w:szCs w:val="18"/>
                <w:color w:val="0000FF"/>
                <w:w w:val="95"/>
              </w:rPr>
            </w:pPr>
            <w:hyperlink r:id="rId127">
              <w:r>
                <w:rPr>
                  <w:rFonts w:ascii="Arial" w:cs="Arial" w:eastAsia="Arial" w:hAnsi="Arial"/>
                  <w:sz w:val="18"/>
                  <w:szCs w:val="18"/>
                  <w:color w:val="0000FF"/>
                  <w:w w:val="95"/>
                </w:rPr>
                <w:t>First Amendment to the Transition Services Agreement, dated as of August 10, 2011, by and between Ocwen Financial Corporation and</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27">
              <w:r>
                <w:rPr>
                  <w:rFonts w:ascii="Arial" w:cs="Arial" w:eastAsia="Arial" w:hAnsi="Arial"/>
                  <w:sz w:val="18"/>
                  <w:szCs w:val="18"/>
                  <w:color w:val="0000FF"/>
                  <w:w w:val="98"/>
                </w:rPr>
                <w:t>Altisource Solutions S.à r.l. (incorporated by reference to Exhibit 10.1 of the Company’s Form 8-K as filed with the Commission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August 16, 2011)</w:t>
              </w:r>
            </w:hyperlink>
          </w:p>
        </w:tc>
        <w:tc>
          <w:tcPr>
            <w:tcW w:w="886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28">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w w:val="94"/>
              </w:rPr>
            </w:pPr>
            <w:hyperlink r:id="rId128">
              <w:r>
                <w:rPr>
                  <w:rFonts w:ascii="Arial" w:cs="Arial" w:eastAsia="Arial" w:hAnsi="Arial"/>
                  <w:sz w:val="18"/>
                  <w:szCs w:val="18"/>
                  <w:color w:val="0000FF"/>
                  <w:w w:val="94"/>
                </w:rPr>
                <w:t>Employment Agreement dated March 13, 2012 between Altisource Solutions S.à r.l. and Michelle D. Esterman (incorporated by reference</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78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to Exhibit 10.1 of the Company’s Form 8-K as filed with the Commission on March 16, 2012)</w:t>
              </w:r>
            </w:hyperlink>
          </w:p>
        </w:tc>
        <w:tc>
          <w:tcPr>
            <w:tcW w:w="352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gridSpan w:val="5"/>
          </w:tcPr>
          <w:p>
            <w:pPr>
              <w:ind w:left="20"/>
              <w:spacing w:after="0"/>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0380" w:type="dxa"/>
            <w:vAlign w:val="bottom"/>
            <w:gridSpan w:val="39"/>
          </w:tcPr>
          <w:p>
            <w:pPr>
              <w:spacing w:after="0"/>
              <w:rPr>
                <w:rFonts w:ascii="Arial" w:cs="Arial" w:eastAsia="Arial" w:hAnsi="Arial"/>
                <w:sz w:val="18"/>
                <w:szCs w:val="18"/>
                <w:color w:val="0000FF"/>
                <w:w w:val="94"/>
              </w:rPr>
            </w:pPr>
            <w:hyperlink r:id="rId129">
              <w:r>
                <w:rPr>
                  <w:rFonts w:ascii="Arial" w:cs="Arial" w:eastAsia="Arial" w:hAnsi="Arial"/>
                  <w:sz w:val="18"/>
                  <w:szCs w:val="18"/>
                  <w:color w:val="0000FF"/>
                  <w:w w:val="94"/>
                </w:rPr>
                <w:t>Support Services Agreement, dated as of August 10, 2012, by and between Ocwen Mortgage Servicing, Inc. and Altisource Solutions S.à</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r.l. (incorporated by reference to Exhibit 10.1 of the Company’s Form 8-K filed on August 16, 2012)</w:t>
              </w:r>
            </w:hyperlink>
          </w:p>
        </w:tc>
        <w:tc>
          <w:tcPr>
            <w:tcW w:w="27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30">
              <w:r>
                <w:rPr>
                  <w:rFonts w:ascii="Arial" w:cs="Arial" w:eastAsia="Arial" w:hAnsi="Arial"/>
                  <w:sz w:val="18"/>
                  <w:szCs w:val="18"/>
                  <w:color w:val="0000FF"/>
                </w:rPr>
                <w:t>10.</w:t>
              </w:r>
              <w:r>
                <w:rPr>
                  <w:rFonts w:ascii="Arial" w:cs="Arial" w:eastAsia="Arial" w:hAnsi="Arial"/>
                  <w:sz w:val="18"/>
                  <w:szCs w:val="18"/>
                  <w:u w:val="single" w:color="auto"/>
                  <w:color w:val="0000FF"/>
                </w:rPr>
                <w:t>17</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w w:val="96"/>
              </w:rPr>
            </w:pPr>
            <w:hyperlink r:id="rId130">
              <w:r>
                <w:rPr>
                  <w:rFonts w:ascii="Arial" w:cs="Arial" w:eastAsia="Arial" w:hAnsi="Arial"/>
                  <w:sz w:val="18"/>
                  <w:szCs w:val="18"/>
                  <w:color w:val="0000FF"/>
                  <w:w w:val="96"/>
                </w:rPr>
                <w:t>First Amendment to the Employment Contract dated as of August 15, 2012 between Altisource Solutions S.à r.l. and William B. Shepro</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0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(incorporated by reference to Exhibit 10.1 of the Company’s Form 8-K filed on August 20, 2012)</w:t>
              </w:r>
            </w:hyperlink>
          </w:p>
        </w:tc>
        <w:tc>
          <w:tcPr>
            <w:tcW w:w="30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1200" w:type="dxa"/>
            <w:vAlign w:val="bottom"/>
            <w:gridSpan w:val="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380" w:type="dxa"/>
            <w:vAlign w:val="bottom"/>
            <w:gridSpan w:val="39"/>
          </w:tcPr>
          <w:p>
            <w:pPr>
              <w:spacing w:after="0"/>
              <w:rPr>
                <w:rFonts w:ascii="Arial" w:cs="Arial" w:eastAsia="Arial" w:hAnsi="Arial"/>
                <w:sz w:val="18"/>
                <w:szCs w:val="18"/>
                <w:color w:val="0000FF"/>
                <w:w w:val="98"/>
              </w:rPr>
            </w:pPr>
            <w:hyperlink r:id="rId131">
              <w:r>
                <w:rPr>
                  <w:rFonts w:ascii="Arial" w:cs="Arial" w:eastAsia="Arial" w:hAnsi="Arial"/>
                  <w:sz w:val="18"/>
                  <w:szCs w:val="18"/>
                  <w:color w:val="0000FF"/>
                  <w:w w:val="98"/>
                </w:rPr>
                <w:t>First Amendment to the Employment Contract dated as of August 15, 2012 between Altisource Solutions S.à r.l. and Kevin J. Wilcox</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(incorporated by reference to Exhibit 10.2 of the Company’s Form 8-K filed on August 20, 2012)</w:t>
              </w:r>
            </w:hyperlink>
          </w:p>
        </w:tc>
        <w:tc>
          <w:tcPr>
            <w:tcW w:w="334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5"/>
          </w:tcPr>
          <w:p>
            <w:pPr>
              <w:ind w:left="20"/>
              <w:spacing w:after="0"/>
              <w:rPr>
                <w:rFonts w:ascii="Arial" w:cs="Arial" w:eastAsia="Arial" w:hAnsi="Arial"/>
                <w:sz w:val="18"/>
                <w:szCs w:val="18"/>
                <w:color w:val="0000FF"/>
              </w:rPr>
            </w:pPr>
            <w:hyperlink r:id="rId132">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10380" w:type="dxa"/>
            <w:vAlign w:val="bottom"/>
            <w:gridSpan w:val="39"/>
          </w:tcPr>
          <w:p>
            <w:pPr>
              <w:spacing w:after="0"/>
              <w:rPr>
                <w:rFonts w:ascii="Arial" w:cs="Arial" w:eastAsia="Arial" w:hAnsi="Arial"/>
                <w:sz w:val="18"/>
                <w:szCs w:val="18"/>
                <w:color w:val="0000FF"/>
                <w:w w:val="98"/>
              </w:rPr>
            </w:pPr>
            <w:hyperlink r:id="rId132">
              <w:r>
                <w:rPr>
                  <w:rFonts w:ascii="Arial" w:cs="Arial" w:eastAsia="Arial" w:hAnsi="Arial"/>
                  <w:sz w:val="18"/>
                  <w:szCs w:val="18"/>
                  <w:color w:val="0000FF"/>
                  <w:w w:val="98"/>
                </w:rPr>
                <w:t>Services Agreement, dated as of October 1, 2012, by and between Ocwen Mortgage Servicing, Inc. and Altisource Solutions S.à r.l.</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(incorporated by reference to Exhibit 10.1 of the Company’s Form 8-K filed on October 5, 2012)</w:t>
              </w:r>
            </w:hyperlink>
          </w:p>
        </w:tc>
        <w:tc>
          <w:tcPr>
            <w:tcW w:w="80" w:type="dxa"/>
            <w:vAlign w:val="bottom"/>
            <w:gridSpan w:val="4"/>
          </w:tcPr>
          <w:p>
            <w:pPr>
              <w:spacing w:after="0"/>
              <w:rPr>
                <w:sz w:val="13"/>
                <w:szCs w:val="13"/>
                <w:color w:val="auto"/>
              </w:rPr>
            </w:pPr>
          </w:p>
        </w:tc>
      </w:tr>
      <w:tr>
        <w:trPr>
          <w:trHeight w:val="20"/>
        </w:trPr>
        <w:tc>
          <w:tcPr>
            <w:tcW w:w="1220" w:type="dxa"/>
            <w:vAlign w:val="bottom"/>
            <w:gridSpan w:val="5"/>
          </w:tcPr>
          <w:p>
            <w:pPr>
              <w:spacing w:after="0" w:line="20" w:lineRule="exact"/>
              <w:rPr>
                <w:sz w:val="1"/>
                <w:szCs w:val="1"/>
                <w:color w:val="auto"/>
              </w:rPr>
            </w:pPr>
          </w:p>
        </w:tc>
        <w:tc>
          <w:tcPr>
            <w:tcW w:w="6980" w:type="dxa"/>
            <w:vAlign w:val="bottom"/>
            <w:gridSpan w:val="1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1220" w:type="dxa"/>
            <w:vAlign w:val="bottom"/>
            <w:gridSpan w:val="5"/>
          </w:tcPr>
          <w:p>
            <w:pPr>
              <w:ind w:left="20"/>
              <w:spacing w:after="0"/>
              <w:rPr>
                <w:rFonts w:ascii="Arial" w:cs="Arial" w:eastAsia="Arial" w:hAnsi="Arial"/>
                <w:sz w:val="18"/>
                <w:szCs w:val="18"/>
                <w:color w:val="0000FF"/>
              </w:rPr>
            </w:pPr>
            <w:hyperlink r:id="rId133">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10380" w:type="dxa"/>
            <w:vAlign w:val="bottom"/>
            <w:gridSpan w:val="39"/>
          </w:tcPr>
          <w:p>
            <w:pPr>
              <w:spacing w:after="0"/>
              <w:rPr>
                <w:rFonts w:ascii="Arial" w:cs="Arial" w:eastAsia="Arial" w:hAnsi="Arial"/>
                <w:sz w:val="18"/>
                <w:szCs w:val="18"/>
                <w:color w:val="0000FF"/>
                <w:w w:val="95"/>
              </w:rPr>
            </w:pPr>
            <w:hyperlink r:id="rId133">
              <w:r>
                <w:rPr>
                  <w:rFonts w:ascii="Arial" w:cs="Arial" w:eastAsia="Arial" w:hAnsi="Arial"/>
                  <w:sz w:val="18"/>
                  <w:szCs w:val="18"/>
                  <w:color w:val="0000FF"/>
                  <w:w w:val="95"/>
                </w:rPr>
                <w:t>Technology Products Services Agreement, dated as of October 1, 2012, by and between Ocwen Mortgage Servicing, Inc. and Altisource</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Solutions S.à r.l. (incorporated by reference to Exhibit 10.2 of the Company’s Form 8-K filed on October 5, 2012)</w:t>
              </w:r>
            </w:hyperlink>
          </w:p>
        </w:tc>
        <w:tc>
          <w:tcPr>
            <w:tcW w:w="2040" w:type="dxa"/>
            <w:vAlign w:val="bottom"/>
            <w:tcBorders>
              <w:top w:val="single" w:sz="8" w:color="0000FF"/>
            </w:tcBorders>
            <w:gridSpan w:val="1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64"/>
        </w:trPr>
        <w:tc>
          <w:tcPr>
            <w:tcW w:w="1220" w:type="dxa"/>
            <w:vAlign w:val="bottom"/>
            <w:gridSpan w:val="5"/>
          </w:tcPr>
          <w:p>
            <w:pPr>
              <w:ind w:left="20"/>
              <w:spacing w:after="0"/>
              <w:rPr>
                <w:rFonts w:ascii="Arial" w:cs="Arial" w:eastAsia="Arial" w:hAnsi="Arial"/>
                <w:sz w:val="18"/>
                <w:szCs w:val="18"/>
                <w:color w:val="0000FF"/>
              </w:rPr>
            </w:pPr>
            <w:hyperlink r:id="rId134">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10380" w:type="dxa"/>
            <w:vAlign w:val="bottom"/>
            <w:gridSpan w:val="39"/>
          </w:tcPr>
          <w:p>
            <w:pPr>
              <w:spacing w:after="0"/>
              <w:rPr>
                <w:rFonts w:ascii="Arial" w:cs="Arial" w:eastAsia="Arial" w:hAnsi="Arial"/>
                <w:sz w:val="18"/>
                <w:szCs w:val="18"/>
                <w:color w:val="0000FF"/>
                <w:w w:val="99"/>
              </w:rPr>
            </w:pPr>
            <w:hyperlink r:id="rId134">
              <w:r>
                <w:rPr>
                  <w:rFonts w:ascii="Arial" w:cs="Arial" w:eastAsia="Arial" w:hAnsi="Arial"/>
                  <w:sz w:val="18"/>
                  <w:szCs w:val="18"/>
                  <w:color w:val="0000FF"/>
                  <w:w w:val="99"/>
                </w:rPr>
                <w:t>Data Center and Disaster Recovery Agreement, dated as of October 1, 2012, by and between Ocwen Mortgage Servicing, Inc.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Altisource Solutions S.à r.l. (incorporated by reference to Exhibit 10.3 of the Company’s Form 8-K filed on October 5, 2012)</w:t>
              </w:r>
            </w:hyperlink>
          </w:p>
        </w:tc>
        <w:tc>
          <w:tcPr>
            <w:tcW w:w="1200" w:type="dxa"/>
            <w:vAlign w:val="bottom"/>
            <w:tcBorders>
              <w:top w:val="single" w:sz="8" w:color="0000FF"/>
            </w:tcBorders>
            <w:gridSpan w:val="1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63"/>
        </w:trPr>
        <w:tc>
          <w:tcPr>
            <w:tcW w:w="1220" w:type="dxa"/>
            <w:vAlign w:val="bottom"/>
            <w:gridSpan w:val="5"/>
          </w:tcPr>
          <w:p>
            <w:pPr>
              <w:ind w:left="20"/>
              <w:spacing w:after="0"/>
              <w:rPr>
                <w:rFonts w:ascii="Arial" w:cs="Arial" w:eastAsia="Arial" w:hAnsi="Arial"/>
                <w:sz w:val="18"/>
                <w:szCs w:val="18"/>
                <w:color w:val="0000FF"/>
              </w:rPr>
            </w:pPr>
            <w:hyperlink r:id="rId135">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0380" w:type="dxa"/>
            <w:vAlign w:val="bottom"/>
            <w:gridSpan w:val="39"/>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Intellectual Property Agreement, dated as of October 1, 2012, by and between Ocwen Mortgage Servicing, Inc. and Altisource Solutions</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S.à r.l. (incorporated by reference to Exhibit 10.4 of the Company’s Form 8-K filed on October 5, 2012)</w:t>
              </w:r>
            </w:hyperlink>
          </w:p>
        </w:tc>
        <w:tc>
          <w:tcPr>
            <w:tcW w:w="2580" w:type="dxa"/>
            <w:vAlign w:val="bottom"/>
            <w:tcBorders>
              <w:top w:val="single" w:sz="8" w:color="0000FF"/>
            </w:tcBorders>
            <w:gridSpan w:val="9"/>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264"/>
        </w:trPr>
        <w:tc>
          <w:tcPr>
            <w:tcW w:w="1220" w:type="dxa"/>
            <w:vAlign w:val="bottom"/>
            <w:gridSpan w:val="5"/>
          </w:tcPr>
          <w:p>
            <w:pPr>
              <w:ind w:left="20"/>
              <w:spacing w:after="0"/>
              <w:rPr>
                <w:rFonts w:ascii="Arial" w:cs="Arial" w:eastAsia="Arial" w:hAnsi="Arial"/>
                <w:sz w:val="18"/>
                <w:szCs w:val="18"/>
                <w:color w:val="0000FF"/>
              </w:rPr>
            </w:pPr>
            <w:hyperlink r:id="rId136">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380" w:type="dxa"/>
            <w:vAlign w:val="bottom"/>
            <w:gridSpan w:val="39"/>
          </w:tcPr>
          <w:p>
            <w:pPr>
              <w:spacing w:after="0"/>
              <w:rPr>
                <w:rFonts w:ascii="Arial" w:cs="Arial" w:eastAsia="Arial" w:hAnsi="Arial"/>
                <w:sz w:val="18"/>
                <w:szCs w:val="18"/>
                <w:color w:val="0000FF"/>
                <w:w w:val="97"/>
              </w:rPr>
            </w:pPr>
            <w:hyperlink r:id="rId136">
              <w:r>
                <w:rPr>
                  <w:rFonts w:ascii="Arial" w:cs="Arial" w:eastAsia="Arial" w:hAnsi="Arial"/>
                  <w:sz w:val="18"/>
                  <w:szCs w:val="18"/>
                  <w:color w:val="0000FF"/>
                  <w:w w:val="97"/>
                </w:rPr>
                <w:t>First Amendment to Support Services Agreement, dated as of October 1, 2012, by and between Ocwen Mortgage Servicing, Inc. and</w:t>
              </w:r>
            </w:hyperlink>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Altisource Solutions S.à r.l. (incorporated by reference to Exhibit 10.5 of the Company’s Form 8-K filed on October 5, 2012)</w:t>
              </w:r>
            </w:hyperlink>
          </w:p>
        </w:tc>
        <w:tc>
          <w:tcPr>
            <w:tcW w:w="940" w:type="dxa"/>
            <w:vAlign w:val="bottom"/>
            <w:tcBorders>
              <w:top w:val="single" w:sz="8" w:color="0000FF"/>
            </w:tcBorders>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8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80" w:type="dxa"/>
            <w:vAlign w:val="bottom"/>
            <w:gridSpan w:val="9"/>
          </w:tcPr>
          <w:p>
            <w:pPr>
              <w:ind w:left="4320"/>
              <w:spacing w:after="0"/>
              <w:rPr>
                <w:sz w:val="20"/>
                <w:szCs w:val="20"/>
                <w:color w:val="auto"/>
              </w:rPr>
            </w:pPr>
            <w:r>
              <w:rPr>
                <w:rFonts w:ascii="Arial" w:cs="Arial" w:eastAsia="Arial" w:hAnsi="Arial"/>
                <w:sz w:val="18"/>
                <w:szCs w:val="18"/>
                <w:color w:val="auto"/>
              </w:rPr>
              <w:t>82</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3"/>
          </w:tcPr>
          <w:p>
            <w:pPr>
              <w:ind w:left="20"/>
              <w:spacing w:after="0"/>
              <w:rPr>
                <w:rFonts w:ascii="Arial" w:cs="Arial" w:eastAsia="Arial" w:hAnsi="Arial"/>
                <w:sz w:val="18"/>
                <w:szCs w:val="18"/>
                <w:color w:val="0000FF"/>
              </w:rPr>
            </w:pPr>
            <w:hyperlink r:id="rId139">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0280" w:type="dxa"/>
            <w:vAlign w:val="bottom"/>
            <w:gridSpan w:val="29"/>
          </w:tcPr>
          <w:p>
            <w:pPr>
              <w:spacing w:after="0"/>
              <w:rPr>
                <w:rFonts w:ascii="Arial" w:cs="Arial" w:eastAsia="Arial" w:hAnsi="Arial"/>
                <w:sz w:val="18"/>
                <w:szCs w:val="18"/>
                <w:color w:val="0000FF"/>
                <w:w w:val="97"/>
              </w:rPr>
            </w:pPr>
            <w:hyperlink r:id="rId139">
              <w:r>
                <w:rPr>
                  <w:rFonts w:ascii="Arial" w:cs="Arial" w:eastAsia="Arial" w:hAnsi="Arial"/>
                  <w:sz w:val="18"/>
                  <w:szCs w:val="18"/>
                  <w:color w:val="0000FF"/>
                  <w:w w:val="97"/>
                </w:rPr>
                <w:t>First Amendment to Services Agreement, dated as of October 1, 2012, by and between Ocwen Financial Corporation and Altisource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Solutions S.à r.l. (incorporated by reference to Exhibit 10.6 of the Company’s Form 8-K filed on October 5, 2012)</w:t>
              </w:r>
            </w:hyperlink>
          </w:p>
        </w:tc>
        <w:tc>
          <w:tcPr>
            <w:tcW w:w="18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40">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280" w:type="dxa"/>
            <w:vAlign w:val="bottom"/>
            <w:gridSpan w:val="29"/>
          </w:tcPr>
          <w:p>
            <w:pPr>
              <w:spacing w:after="0"/>
              <w:rPr>
                <w:rFonts w:ascii="Arial" w:cs="Arial" w:eastAsia="Arial" w:hAnsi="Arial"/>
                <w:sz w:val="18"/>
                <w:szCs w:val="18"/>
                <w:color w:val="0000FF"/>
                <w:w w:val="98"/>
              </w:rPr>
            </w:pPr>
            <w:hyperlink r:id="rId140">
              <w:r>
                <w:rPr>
                  <w:rFonts w:ascii="Arial" w:cs="Arial" w:eastAsia="Arial" w:hAnsi="Arial"/>
                  <w:sz w:val="18"/>
                  <w:szCs w:val="18"/>
                  <w:color w:val="0000FF"/>
                  <w:w w:val="98"/>
                </w:rPr>
                <w:t>First Amendment to Technology Products and Services Agreement, dated as of October 1, 2012, by and between Ocwen Financial</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6" w:lineRule="exact"/>
              <w:rPr>
                <w:rFonts w:ascii="Arial" w:cs="Arial" w:eastAsia="Arial" w:hAnsi="Arial"/>
                <w:sz w:val="18"/>
                <w:szCs w:val="18"/>
                <w:color w:val="0000FF"/>
                <w:w w:val="96"/>
              </w:rPr>
            </w:pPr>
            <w:hyperlink r:id="rId140">
              <w:r>
                <w:rPr>
                  <w:rFonts w:ascii="Arial" w:cs="Arial" w:eastAsia="Arial" w:hAnsi="Arial"/>
                  <w:sz w:val="18"/>
                  <w:szCs w:val="18"/>
                  <w:color w:val="0000FF"/>
                  <w:w w:val="96"/>
                </w:rPr>
                <w:t>Corporation and Altisource Solutions S.à r.l. (incorporated by reference to Exhibit 10.7 of the Company’s Form 8-K filed on October 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40">
              <w:r>
                <w:rPr>
                  <w:rFonts w:ascii="Arial" w:cs="Arial" w:eastAsia="Arial" w:hAnsi="Arial"/>
                  <w:sz w:val="18"/>
                  <w:szCs w:val="18"/>
                  <w:color w:val="0000FF"/>
                  <w:w w:val="86"/>
                </w:rPr>
                <w:t>2012)</w:t>
              </w:r>
            </w:hyperlink>
          </w:p>
        </w:tc>
        <w:tc>
          <w:tcPr>
            <w:tcW w:w="620" w:type="dxa"/>
            <w:vAlign w:val="bottom"/>
            <w:tcBorders>
              <w:top w:val="single" w:sz="8" w:color="0000FF"/>
            </w:tcBorders>
          </w:tcPr>
          <w:p>
            <w:pPr>
              <w:spacing w:after="0"/>
              <w:rPr>
                <w:sz w:val="13"/>
                <w:szCs w:val="13"/>
                <w:color w:val="auto"/>
              </w:rPr>
            </w:pPr>
          </w:p>
        </w:tc>
        <w:tc>
          <w:tcPr>
            <w:tcW w:w="6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10280" w:type="dxa"/>
            <w:vAlign w:val="bottom"/>
            <w:gridSpan w:val="29"/>
          </w:tcPr>
          <w:p>
            <w:pPr>
              <w:spacing w:after="0"/>
              <w:rPr>
                <w:rFonts w:ascii="Arial" w:cs="Arial" w:eastAsia="Arial" w:hAnsi="Arial"/>
                <w:sz w:val="18"/>
                <w:szCs w:val="18"/>
                <w:color w:val="0000FF"/>
                <w:w w:val="97"/>
              </w:rPr>
            </w:pPr>
            <w:hyperlink r:id="rId141">
              <w:r>
                <w:rPr>
                  <w:rFonts w:ascii="Arial" w:cs="Arial" w:eastAsia="Arial" w:hAnsi="Arial"/>
                  <w:sz w:val="18"/>
                  <w:szCs w:val="18"/>
                  <w:color w:val="0000FF"/>
                  <w:w w:val="97"/>
                </w:rPr>
                <w:t>First Amendment to Data Center and Disaster Recovery Agreement, dated as of October 1, 2012, by and between Ocwen Financial</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4"/>
              </w:rPr>
            </w:pPr>
            <w:hyperlink r:id="rId141">
              <w:r>
                <w:rPr>
                  <w:rFonts w:ascii="Arial" w:cs="Arial" w:eastAsia="Arial" w:hAnsi="Arial"/>
                  <w:sz w:val="18"/>
                  <w:szCs w:val="18"/>
                  <w:color w:val="0000FF"/>
                  <w:w w:val="94"/>
                </w:rPr>
                <w:t>Corporation and Altisource Solutions S.à r.l. (incorporated by reference to Exhibit 10.8 of the Company’s Form 8-K filed on October 5,</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r:id="rId141">
              <w:r>
                <w:rPr>
                  <w:rFonts w:ascii="Arial" w:cs="Arial" w:eastAsia="Arial" w:hAnsi="Arial"/>
                  <w:sz w:val="18"/>
                  <w:szCs w:val="18"/>
                  <w:color w:val="0000FF"/>
                  <w:w w:val="86"/>
                </w:rPr>
                <w:t>2012)</w:t>
              </w:r>
            </w:hyperlink>
          </w:p>
        </w:tc>
        <w:tc>
          <w:tcPr>
            <w:tcW w:w="6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0280" w:type="dxa"/>
            <w:vAlign w:val="bottom"/>
            <w:gridSpan w:val="29"/>
          </w:tcPr>
          <w:p>
            <w:pPr>
              <w:spacing w:after="0"/>
              <w:rPr>
                <w:rFonts w:ascii="Arial" w:cs="Arial" w:eastAsia="Arial" w:hAnsi="Arial"/>
                <w:sz w:val="18"/>
                <w:szCs w:val="18"/>
                <w:color w:val="0000FF"/>
                <w:w w:val="97"/>
              </w:rPr>
            </w:pPr>
            <w:hyperlink r:id="rId142">
              <w:r>
                <w:rPr>
                  <w:rFonts w:ascii="Arial" w:cs="Arial" w:eastAsia="Arial" w:hAnsi="Arial"/>
                  <w:sz w:val="18"/>
                  <w:szCs w:val="18"/>
                  <w:color w:val="0000FF"/>
                  <w:w w:val="97"/>
                </w:rPr>
                <w:t>First Amendment to Intellectual Property Agreement, dated as of October 1, 2012, by and between Ocwen Financial Corporation and</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Altisource Solutions S.à r.l. (incorporated by reference to Exhibit 10.9 of the Company’s Form 8-K filed on October 5, 2012)</w:t>
              </w:r>
            </w:hyperlink>
          </w:p>
        </w:tc>
        <w:tc>
          <w:tcPr>
            <w:tcW w:w="11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0280" w:type="dxa"/>
            <w:vAlign w:val="bottom"/>
            <w:gridSpan w:val="29"/>
          </w:tcPr>
          <w:p>
            <w:pPr>
              <w:spacing w:after="0"/>
              <w:rPr>
                <w:rFonts w:ascii="Arial" w:cs="Arial" w:eastAsia="Arial" w:hAnsi="Arial"/>
                <w:sz w:val="18"/>
                <w:szCs w:val="18"/>
                <w:color w:val="0000FF"/>
                <w:w w:val="95"/>
              </w:rPr>
            </w:pPr>
            <w:hyperlink r:id="rId143">
              <w:r>
                <w:rPr>
                  <w:rFonts w:ascii="Arial" w:cs="Arial" w:eastAsia="Arial" w:hAnsi="Arial"/>
                  <w:sz w:val="18"/>
                  <w:szCs w:val="18"/>
                  <w:color w:val="0000FF"/>
                  <w:w w:val="95"/>
                </w:rPr>
                <w:t>Support Services Agreement, dated as of December 21, 2012, between Altisource Residential Corporation and Altisource Solutions S.à</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r.l. (incorporated by reference to Exhibit 10.1 of the Company’s Form 8-K filed on December 28, 2012)</w:t>
              </w:r>
            </w:hyperlink>
          </w:p>
        </w:tc>
        <w:tc>
          <w:tcPr>
            <w:tcW w:w="258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0280" w:type="dxa"/>
            <w:vAlign w:val="bottom"/>
            <w:gridSpan w:val="29"/>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Support Services Agreement, dated as of December 21, 2012, between Altisource Asset Management Corporation and Altisource</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44">
              <w:r>
                <w:rPr>
                  <w:rFonts w:ascii="Arial" w:cs="Arial" w:eastAsia="Arial" w:hAnsi="Arial"/>
                  <w:sz w:val="18"/>
                  <w:szCs w:val="18"/>
                  <w:color w:val="0000FF"/>
                </w:rPr>
                <w:t>Solutions S.à r.l. (incorporated by reference to Exhibit 10.2 of the Company’s Form 8-K filed on December 28, 2012)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gridSpan w:val="3"/>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10280" w:type="dxa"/>
            <w:vAlign w:val="bottom"/>
            <w:gridSpan w:val="29"/>
          </w:tcPr>
          <w:p>
            <w:pPr>
              <w:spacing w:after="0"/>
              <w:rPr>
                <w:rFonts w:ascii="Arial" w:cs="Arial" w:eastAsia="Arial" w:hAnsi="Arial"/>
                <w:sz w:val="18"/>
                <w:szCs w:val="18"/>
                <w:color w:val="0000FF"/>
                <w:w w:val="96"/>
              </w:rPr>
            </w:pPr>
            <w:hyperlink r:id="rId145">
              <w:r>
                <w:rPr>
                  <w:rFonts w:ascii="Arial" w:cs="Arial" w:eastAsia="Arial" w:hAnsi="Arial"/>
                  <w:sz w:val="18"/>
                  <w:szCs w:val="18"/>
                  <w:color w:val="0000FF"/>
                  <w:w w:val="96"/>
                </w:rPr>
                <w:t>Tax Matters Agreement, dated as of December 21, 2012, between Altisource Residential Corporation and Altisource Solutions S.à r.l.</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(incorporated by reference to Exhibit 10.3 of the Company’s Form 8-K filed on December 28, 2012)</w:t>
              </w:r>
            </w:hyperlink>
          </w:p>
        </w:tc>
        <w:tc>
          <w:tcPr>
            <w:tcW w:w="30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10280" w:type="dxa"/>
            <w:vAlign w:val="bottom"/>
            <w:gridSpan w:val="29"/>
          </w:tcPr>
          <w:p>
            <w:pPr>
              <w:spacing w:after="0"/>
              <w:rPr>
                <w:rFonts w:ascii="Arial" w:cs="Arial" w:eastAsia="Arial" w:hAnsi="Arial"/>
                <w:sz w:val="18"/>
                <w:szCs w:val="18"/>
                <w:color w:val="0000FF"/>
                <w:w w:val="93"/>
              </w:rPr>
            </w:pPr>
            <w:hyperlink r:id="rId146">
              <w:r>
                <w:rPr>
                  <w:rFonts w:ascii="Arial" w:cs="Arial" w:eastAsia="Arial" w:hAnsi="Arial"/>
                  <w:sz w:val="18"/>
                  <w:szCs w:val="18"/>
                  <w:color w:val="0000FF"/>
                  <w:w w:val="93"/>
                </w:rPr>
                <w:t>Tax Matters Agreement, dated as of December 21, 2012, between Altisource Asset Management Corporation and Altisource Solutions S.à</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6">
              <w:r>
                <w:rPr>
                  <w:rFonts w:ascii="Arial" w:cs="Arial" w:eastAsia="Arial" w:hAnsi="Arial"/>
                  <w:sz w:val="18"/>
                  <w:szCs w:val="18"/>
                  <w:color w:val="0000FF"/>
                  <w:w w:val="91"/>
                </w:rPr>
                <w:t>r.l. (incorporated by reference to Exhibit 10.4 of the Company’s Form 8-K filed on December 28, 2012)</w:t>
              </w:r>
            </w:hyperlink>
          </w:p>
        </w:tc>
        <w:tc>
          <w:tcPr>
            <w:tcW w:w="250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32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280" w:type="dxa"/>
            <w:vAlign w:val="bottom"/>
            <w:gridSpan w:val="29"/>
          </w:tcPr>
          <w:p>
            <w:pPr>
              <w:spacing w:after="0"/>
              <w:rPr>
                <w:rFonts w:ascii="Arial" w:cs="Arial" w:eastAsia="Arial" w:hAnsi="Arial"/>
                <w:sz w:val="18"/>
                <w:szCs w:val="18"/>
                <w:color w:val="0000FF"/>
                <w:w w:val="93"/>
              </w:rPr>
            </w:pPr>
            <w:hyperlink r:id="rId147">
              <w:r>
                <w:rPr>
                  <w:rFonts w:ascii="Arial" w:cs="Arial" w:eastAsia="Arial" w:hAnsi="Arial"/>
                  <w:sz w:val="18"/>
                  <w:szCs w:val="18"/>
                  <w:color w:val="0000FF"/>
                  <w:w w:val="93"/>
                </w:rPr>
                <w:t>Master Services Agreement, dated as of December 21, 2012, between Altisource Residential Corporation and Altisource Solutions S.à r.l.</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(incorporated by reference to Exhibit 10.5 of the Company’s Form 8-K filed on December 28, 2012)</w:t>
              </w:r>
            </w:hyperlink>
          </w:p>
        </w:tc>
        <w:tc>
          <w:tcPr>
            <w:tcW w:w="28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10280" w:type="dxa"/>
            <w:vAlign w:val="bottom"/>
            <w:gridSpan w:val="29"/>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Trademark License Agreement, dated as of December 21, 2012, between Altisource Residential Corporation and Altisource Solutions S.à</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48">
              <w:r>
                <w:rPr>
                  <w:rFonts w:ascii="Arial" w:cs="Arial" w:eastAsia="Arial" w:hAnsi="Arial"/>
                  <w:sz w:val="18"/>
                  <w:szCs w:val="18"/>
                  <w:color w:val="0000FF"/>
                  <w:w w:val="91"/>
                </w:rPr>
                <w:t>r.l. (incorporated by reference to Exhibit 10.6 of the Company’s Form 8-K filed on December 28, 2012)</w:t>
              </w:r>
            </w:hyperlink>
          </w:p>
        </w:tc>
        <w:tc>
          <w:tcPr>
            <w:tcW w:w="260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10280" w:type="dxa"/>
            <w:vAlign w:val="bottom"/>
            <w:gridSpan w:val="29"/>
          </w:tcPr>
          <w:p>
            <w:pPr>
              <w:spacing w:after="0"/>
              <w:rPr>
                <w:rFonts w:ascii="Arial" w:cs="Arial" w:eastAsia="Arial" w:hAnsi="Arial"/>
                <w:sz w:val="18"/>
                <w:szCs w:val="18"/>
                <w:color w:val="0000FF"/>
                <w:w w:val="97"/>
              </w:rPr>
            </w:pPr>
            <w:hyperlink r:id="rId149">
              <w:r>
                <w:rPr>
                  <w:rFonts w:ascii="Arial" w:cs="Arial" w:eastAsia="Arial" w:hAnsi="Arial"/>
                  <w:sz w:val="18"/>
                  <w:szCs w:val="18"/>
                  <w:color w:val="0000FF"/>
                  <w:w w:val="97"/>
                </w:rPr>
                <w:t>Trademark License Agreement, dated as of December 21, 2012, between Altisource Asset Management Corporation and Altisource</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Solutions S.à r.l. (incorporated by reference to Exhibit 10.7 of the Company’s Form 8-K filed on December 28, 2012)</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20" w:type="dxa"/>
            <w:vAlign w:val="bottom"/>
            <w:gridSpan w:val="3"/>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10280" w:type="dxa"/>
            <w:vAlign w:val="bottom"/>
            <w:gridSpan w:val="29"/>
          </w:tcPr>
          <w:p>
            <w:pPr>
              <w:spacing w:after="0"/>
              <w:rPr>
                <w:rFonts w:ascii="Arial" w:cs="Arial" w:eastAsia="Arial" w:hAnsi="Arial"/>
                <w:sz w:val="18"/>
                <w:szCs w:val="18"/>
                <w:color w:val="0000FF"/>
              </w:rPr>
            </w:pPr>
            <w:hyperlink r:id="rId150">
              <w:r>
                <w:rPr>
                  <w:rFonts w:ascii="Arial" w:cs="Arial" w:eastAsia="Arial" w:hAnsi="Arial"/>
                  <w:sz w:val="18"/>
                  <w:szCs w:val="18"/>
                  <w:color w:val="0000FF"/>
                </w:rPr>
                <w:t>Technology Products Services Agreement, between Altisource Asset Management Corporation and Altisource Solutions S.à r.l.</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150">
              <w:r>
                <w:rPr>
                  <w:rFonts w:ascii="Arial" w:cs="Arial" w:eastAsia="Arial" w:hAnsi="Arial"/>
                  <w:sz w:val="18"/>
                  <w:szCs w:val="18"/>
                  <w:color w:val="0000FF"/>
                  <w:w w:val="91"/>
                </w:rPr>
                <w:t>(incorporated by reference to Exhibit 10.8 of the Company’s Form 8-K filed on December 28, 2012)</w:t>
              </w:r>
            </w:hyperlink>
          </w:p>
        </w:tc>
        <w:tc>
          <w:tcPr>
            <w:tcW w:w="2820" w:type="dxa"/>
            <w:vAlign w:val="bottom"/>
            <w:tcBorders>
              <w:top w:val="single" w:sz="8" w:color="0000FF"/>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10280" w:type="dxa"/>
            <w:vAlign w:val="bottom"/>
            <w:gridSpan w:val="29"/>
          </w:tcPr>
          <w:p>
            <w:pPr>
              <w:spacing w:after="0"/>
              <w:rPr>
                <w:rFonts w:ascii="Arial" w:cs="Arial" w:eastAsia="Arial" w:hAnsi="Arial"/>
                <w:sz w:val="18"/>
                <w:szCs w:val="18"/>
                <w:color w:val="0000FF"/>
                <w:w w:val="95"/>
              </w:rPr>
            </w:pPr>
            <w:hyperlink r:id="rId151">
              <w:r>
                <w:rPr>
                  <w:rFonts w:ascii="Arial" w:cs="Arial" w:eastAsia="Arial" w:hAnsi="Arial"/>
                  <w:sz w:val="18"/>
                  <w:szCs w:val="18"/>
                  <w:color w:val="0000FF"/>
                  <w:w w:val="95"/>
                </w:rPr>
                <w:t>Second Amendment to Services Agreement, dated as of March 29, 2013, by and between Ocwen Financial Corporation and Altisource</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0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51">
              <w:r>
                <w:rPr>
                  <w:rFonts w:ascii="Arial" w:cs="Arial" w:eastAsia="Arial" w:hAnsi="Arial"/>
                  <w:sz w:val="18"/>
                  <w:szCs w:val="18"/>
                  <w:color w:val="0000FF"/>
                  <w:w w:val="92"/>
                </w:rPr>
                <w:t>Solutions S.à r.l. (incorporated by reference to Exhibit 10.1 of the Company’s Form 8-K filed on April 4, 2013)</w:t>
              </w:r>
            </w:hyperlink>
          </w:p>
        </w:tc>
        <w:tc>
          <w:tcPr>
            <w:tcW w:w="21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0280" w:type="dxa"/>
            <w:vAlign w:val="bottom"/>
            <w:gridSpan w:val="29"/>
          </w:tcPr>
          <w:p>
            <w:pPr>
              <w:spacing w:after="0"/>
              <w:rPr>
                <w:rFonts w:ascii="Arial" w:cs="Arial" w:eastAsia="Arial" w:hAnsi="Arial"/>
                <w:sz w:val="18"/>
                <w:szCs w:val="18"/>
                <w:color w:val="0000FF"/>
                <w:w w:val="99"/>
              </w:rPr>
            </w:pPr>
            <w:hyperlink r:id="rId152">
              <w:r>
                <w:rPr>
                  <w:rFonts w:ascii="Arial" w:cs="Arial" w:eastAsia="Arial" w:hAnsi="Arial"/>
                  <w:sz w:val="18"/>
                  <w:szCs w:val="18"/>
                  <w:color w:val="0000FF"/>
                  <w:w w:val="99"/>
                </w:rPr>
                <w:t>Second Amendment to Technology Products Services Agreement, dated as of March 29, 2013, by and between Ocwen Financial</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Arial" w:cs="Arial" w:eastAsia="Arial" w:hAnsi="Arial"/>
                <w:sz w:val="18"/>
                <w:szCs w:val="18"/>
                <w:color w:val="0000FF"/>
                <w:w w:val="97"/>
              </w:rPr>
            </w:pPr>
            <w:hyperlink r:id="rId152">
              <w:r>
                <w:rPr>
                  <w:rFonts w:ascii="Arial" w:cs="Arial" w:eastAsia="Arial" w:hAnsi="Arial"/>
                  <w:sz w:val="18"/>
                  <w:szCs w:val="18"/>
                  <w:color w:val="0000FF"/>
                  <w:w w:val="97"/>
                </w:rPr>
                <w:t>Corporation and Altisource Solutions S.à r.l. (incorporated by reference to Exhibit 10.2 of the Company’s Form 8-K filed on April 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52">
              <w:r>
                <w:rPr>
                  <w:rFonts w:ascii="Arial" w:cs="Arial" w:eastAsia="Arial" w:hAnsi="Arial"/>
                  <w:sz w:val="18"/>
                  <w:szCs w:val="18"/>
                  <w:color w:val="0000FF"/>
                  <w:w w:val="86"/>
                </w:rPr>
                <w:t>2013)</w:t>
              </w:r>
            </w:hyperlink>
          </w:p>
        </w:tc>
        <w:tc>
          <w:tcPr>
            <w:tcW w:w="620" w:type="dxa"/>
            <w:vAlign w:val="bottom"/>
            <w:tcBorders>
              <w:top w:val="single" w:sz="8" w:color="0000FF"/>
            </w:tcBorders>
          </w:tcPr>
          <w:p>
            <w:pPr>
              <w:spacing w:after="0"/>
              <w:rPr>
                <w:sz w:val="13"/>
                <w:szCs w:val="13"/>
                <w:color w:val="auto"/>
              </w:rPr>
            </w:pPr>
          </w:p>
        </w:tc>
        <w:tc>
          <w:tcPr>
            <w:tcW w:w="6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20" w:type="dxa"/>
            <w:vAlign w:val="bottom"/>
            <w:gridSpan w:val="3"/>
          </w:tcPr>
          <w:p>
            <w:pPr>
              <w:ind w:left="20"/>
              <w:spacing w:after="0"/>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0280" w:type="dxa"/>
            <w:vAlign w:val="bottom"/>
            <w:gridSpan w:val="29"/>
          </w:tcPr>
          <w:p>
            <w:pPr>
              <w:spacing w:after="0"/>
              <w:rPr>
                <w:rFonts w:ascii="Arial" w:cs="Arial" w:eastAsia="Arial" w:hAnsi="Arial"/>
                <w:sz w:val="18"/>
                <w:szCs w:val="18"/>
                <w:color w:val="0000FF"/>
                <w:w w:val="96"/>
              </w:rPr>
            </w:pPr>
            <w:hyperlink r:id="rId153">
              <w:r>
                <w:rPr>
                  <w:rFonts w:ascii="Arial" w:cs="Arial" w:eastAsia="Arial" w:hAnsi="Arial"/>
                  <w:sz w:val="18"/>
                  <w:szCs w:val="18"/>
                  <w:color w:val="0000FF"/>
                  <w:w w:val="96"/>
                </w:rPr>
                <w:t>Second Amendment to Data Center and Disaster Recovery Services Agreement, dated as of March 29, 2013, by and between Ocwen</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9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4"/>
              </w:rPr>
            </w:pPr>
            <w:hyperlink r:id="rId153">
              <w:r>
                <w:rPr>
                  <w:rFonts w:ascii="Arial" w:cs="Arial" w:eastAsia="Arial" w:hAnsi="Arial"/>
                  <w:sz w:val="18"/>
                  <w:szCs w:val="18"/>
                  <w:color w:val="0000FF"/>
                  <w:w w:val="94"/>
                </w:rPr>
                <w:t>Financial Corporation and Altisource Solutions S.à r.l. (incorporated by reference to Exhibit 10.3 of the Company’s Form 8-K filed on</w:t>
              </w:r>
            </w:hyperlink>
          </w:p>
        </w:tc>
        <w:tc>
          <w:tcPr>
            <w:tcW w:w="220" w:type="dxa"/>
            <w:vAlign w:val="bottom"/>
            <w:tcBorders>
              <w:bottom w:val="single" w:sz="8" w:color="0000FF"/>
            </w:tcBorders>
            <w:gridSpan w:val="11"/>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Borders>
              <w:bottom w:val="single" w:sz="8" w:color="0000FF"/>
            </w:tcBorders>
            <w:gridSpan w:val="3"/>
          </w:tcPr>
          <w:p>
            <w:pPr>
              <w:spacing w:after="0" w:line="156" w:lineRule="exact"/>
              <w:rPr>
                <w:rFonts w:ascii="Arial" w:cs="Arial" w:eastAsia="Arial" w:hAnsi="Arial"/>
                <w:sz w:val="18"/>
                <w:szCs w:val="18"/>
                <w:color w:val="0000FF"/>
                <w:w w:val="95"/>
              </w:rPr>
            </w:pPr>
            <w:hyperlink r:id="rId153">
              <w:r>
                <w:rPr>
                  <w:rFonts w:ascii="Arial" w:cs="Arial" w:eastAsia="Arial" w:hAnsi="Arial"/>
                  <w:sz w:val="18"/>
                  <w:szCs w:val="18"/>
                  <w:color w:val="0000FF"/>
                  <w:w w:val="95"/>
                </w:rPr>
                <w:t>April 4, 2013)</w:t>
              </w:r>
            </w:hyperlink>
          </w:p>
        </w:tc>
        <w:tc>
          <w:tcPr>
            <w:tcW w:w="916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0280" w:type="dxa"/>
            <w:vAlign w:val="bottom"/>
            <w:gridSpan w:val="29"/>
          </w:tcPr>
          <w:p>
            <w:pPr>
              <w:spacing w:after="0"/>
              <w:rPr>
                <w:rFonts w:ascii="Arial" w:cs="Arial" w:eastAsia="Arial" w:hAnsi="Arial"/>
                <w:sz w:val="18"/>
                <w:szCs w:val="18"/>
                <w:color w:val="0000FF"/>
                <w:w w:val="95"/>
              </w:rPr>
            </w:pPr>
            <w:hyperlink r:id="rId154">
              <w:r>
                <w:rPr>
                  <w:rFonts w:ascii="Arial" w:cs="Arial" w:eastAsia="Arial" w:hAnsi="Arial"/>
                  <w:sz w:val="18"/>
                  <w:szCs w:val="18"/>
                  <w:color w:val="0000FF"/>
                  <w:w w:val="95"/>
                </w:rPr>
                <w:t>Second Amendment to Intellectual Property Agreement, dated as of March 29, 2013, by and between Ocwen Financial Corporation and</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54">
              <w:r>
                <w:rPr>
                  <w:rFonts w:ascii="Arial" w:cs="Arial" w:eastAsia="Arial" w:hAnsi="Arial"/>
                  <w:sz w:val="18"/>
                  <w:szCs w:val="18"/>
                  <w:color w:val="0000FF"/>
                  <w:w w:val="92"/>
                </w:rPr>
                <w:t>Altisource Solutions S.à r.l. (incorporated by reference to Exhibit 10.4 of the Company’s Form 8-K filed on April 4, 2013)</w:t>
              </w:r>
            </w:hyperlink>
          </w:p>
        </w:tc>
        <w:tc>
          <w:tcPr>
            <w:tcW w:w="1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0280" w:type="dxa"/>
            <w:vAlign w:val="bottom"/>
            <w:gridSpan w:val="29"/>
          </w:tcPr>
          <w:p>
            <w:pPr>
              <w:spacing w:after="0"/>
              <w:rPr>
                <w:rFonts w:ascii="Arial" w:cs="Arial" w:eastAsia="Arial" w:hAnsi="Arial"/>
                <w:sz w:val="18"/>
                <w:szCs w:val="18"/>
                <w:color w:val="0000FF"/>
                <w:w w:val="95"/>
              </w:rPr>
            </w:pPr>
            <w:hyperlink r:id="rId155">
              <w:r>
                <w:rPr>
                  <w:rFonts w:ascii="Arial" w:cs="Arial" w:eastAsia="Arial" w:hAnsi="Arial"/>
                  <w:sz w:val="18"/>
                  <w:szCs w:val="18"/>
                  <w:color w:val="0000FF"/>
                  <w:w w:val="95"/>
                </w:rPr>
                <w:t>First Amendment to Services Agreement, dated as of March 29, 2013, by and between Ocwen Mortgage Servicing, Inc. and Altisource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Solutions S.à r.l. (incorporated by reference to Exhibit 10.5 of the Company’s Form 8-K filed on April 4, 2013)</w:t>
              </w:r>
            </w:hyperlink>
          </w:p>
        </w:tc>
        <w:tc>
          <w:tcPr>
            <w:tcW w:w="220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3"/>
        </w:trPr>
        <w:tc>
          <w:tcPr>
            <w:tcW w:w="1220" w:type="dxa"/>
            <w:vAlign w:val="bottom"/>
            <w:gridSpan w:val="3"/>
          </w:tcPr>
          <w:p>
            <w:pPr>
              <w:ind w:left="20"/>
              <w:spacing w:after="0"/>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0280" w:type="dxa"/>
            <w:vAlign w:val="bottom"/>
            <w:gridSpan w:val="29"/>
          </w:tcPr>
          <w:p>
            <w:pPr>
              <w:spacing w:after="0"/>
              <w:rPr>
                <w:rFonts w:ascii="Arial" w:cs="Arial" w:eastAsia="Arial" w:hAnsi="Arial"/>
                <w:sz w:val="18"/>
                <w:szCs w:val="18"/>
                <w:color w:val="0000FF"/>
                <w:w w:val="94"/>
              </w:rPr>
            </w:pPr>
            <w:hyperlink r:id="rId156">
              <w:r>
                <w:rPr>
                  <w:rFonts w:ascii="Arial" w:cs="Arial" w:eastAsia="Arial" w:hAnsi="Arial"/>
                  <w:sz w:val="18"/>
                  <w:szCs w:val="18"/>
                  <w:color w:val="0000FF"/>
                  <w:w w:val="94"/>
                </w:rPr>
                <w:t>First Amendment to Technology Products Services Agreement, dated as of March 29, 2013, by and between Ocwen Mortgage Servicing,</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Inc. and Altisource Solutions S.à r.l. (incorporated by reference to Exhibit 10.6 of the Company’s Form 8-K filed on April 4, 2013)</w:t>
              </w:r>
            </w:hyperlink>
          </w:p>
        </w:tc>
        <w:tc>
          <w:tcPr>
            <w:tcW w:w="100" w:type="dxa"/>
            <w:vAlign w:val="bottom"/>
            <w:gridSpan w:val="5"/>
          </w:tcPr>
          <w:p>
            <w:pPr>
              <w:spacing w:after="0"/>
              <w:rPr>
                <w:sz w:val="13"/>
                <w:szCs w:val="13"/>
                <w:color w:val="auto"/>
              </w:rPr>
            </w:pPr>
          </w:p>
        </w:tc>
      </w:tr>
      <w:tr>
        <w:trPr>
          <w:trHeight w:val="80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top w:val="single" w:sz="8" w:color="0000FF"/>
            </w:tcBorders>
            <w:gridSpan w:val="3"/>
          </w:tcPr>
          <w:p>
            <w:pPr>
              <w:jc w:val="right"/>
              <w:ind w:right="2740"/>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gridSpan w:val="3"/>
          </w:tcPr>
          <w:p>
            <w:pPr>
              <w:jc w:val="right"/>
              <w:ind w:right="20"/>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42</w:t>
              </w:r>
            </w:hyperlink>
          </w:p>
        </w:tc>
        <w:tc>
          <w:tcPr>
            <w:tcW w:w="760" w:type="dxa"/>
            <w:vAlign w:val="bottom"/>
          </w:tcPr>
          <w:p>
            <w:pPr>
              <w:spacing w:after="0"/>
              <w:rPr>
                <w:sz w:val="17"/>
                <w:szCs w:val="17"/>
                <w:color w:val="auto"/>
              </w:rPr>
            </w:pPr>
          </w:p>
        </w:tc>
        <w:tc>
          <w:tcPr>
            <w:tcW w:w="10340" w:type="dxa"/>
            <w:vAlign w:val="bottom"/>
            <w:gridSpan w:val="36"/>
          </w:tcPr>
          <w:p>
            <w:pPr>
              <w:spacing w:after="0"/>
              <w:rPr>
                <w:rFonts w:ascii="Arial" w:cs="Arial" w:eastAsia="Arial" w:hAnsi="Arial"/>
                <w:sz w:val="18"/>
                <w:szCs w:val="18"/>
                <w:color w:val="0000FF"/>
                <w:w w:val="99"/>
              </w:rPr>
            </w:pPr>
            <w:hyperlink r:id="rId159">
              <w:r>
                <w:rPr>
                  <w:rFonts w:ascii="Arial" w:cs="Arial" w:eastAsia="Arial" w:hAnsi="Arial"/>
                  <w:sz w:val="18"/>
                  <w:szCs w:val="18"/>
                  <w:color w:val="0000FF"/>
                  <w:w w:val="99"/>
                </w:rPr>
                <w:t>First Amendment to Data Center and Disaster Recovery Services Agreement, dated as of March 29, 2013, by and between Ocwen</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3"/>
              </w:rPr>
            </w:pPr>
            <w:hyperlink r:id="rId159">
              <w:r>
                <w:rPr>
                  <w:rFonts w:ascii="Arial" w:cs="Arial" w:eastAsia="Arial" w:hAnsi="Arial"/>
                  <w:sz w:val="18"/>
                  <w:szCs w:val="18"/>
                  <w:color w:val="0000FF"/>
                  <w:w w:val="93"/>
                </w:rPr>
                <w:t>Mortgage Servicing, Inc. and Altisource Solutions S.à r.l. (incorporated by reference to Exhibit 10.7 of the Company’s Form 8-K filed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Borders>
              <w:bottom w:val="single" w:sz="8" w:color="0000FF"/>
            </w:tcBorders>
            <w:gridSpan w:val="3"/>
          </w:tcPr>
          <w:p>
            <w:pPr>
              <w:spacing w:after="0" w:line="156" w:lineRule="exact"/>
              <w:rPr>
                <w:rFonts w:ascii="Arial" w:cs="Arial" w:eastAsia="Arial" w:hAnsi="Arial"/>
                <w:sz w:val="18"/>
                <w:szCs w:val="18"/>
                <w:color w:val="0000FF"/>
                <w:w w:val="95"/>
              </w:rPr>
            </w:pPr>
            <w:hyperlink r:id="rId159">
              <w:r>
                <w:rPr>
                  <w:rFonts w:ascii="Arial" w:cs="Arial" w:eastAsia="Arial" w:hAnsi="Arial"/>
                  <w:sz w:val="18"/>
                  <w:szCs w:val="18"/>
                  <w:color w:val="0000FF"/>
                  <w:w w:val="95"/>
                </w:rPr>
                <w:t>April 4, 2013)</w:t>
              </w:r>
            </w:hyperlink>
          </w:p>
        </w:tc>
        <w:tc>
          <w:tcPr>
            <w:tcW w:w="922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43</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First Amendment to Intellectual Property Agreement, dated as of March 29, 2013, by and between Ocwen Mortgage Servicing, Inc. and</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160">
              <w:r>
                <w:rPr>
                  <w:rFonts w:ascii="Arial" w:cs="Arial" w:eastAsia="Arial" w:hAnsi="Arial"/>
                  <w:sz w:val="18"/>
                  <w:szCs w:val="18"/>
                  <w:color w:val="0000FF"/>
                  <w:w w:val="92"/>
                </w:rPr>
                <w:t>Altisource Solutions S.à r.l. (incorporated by reference to Exhibit 10.8 of the Company’s Form 8-K filed on April 4, 2013)</w:t>
              </w:r>
            </w:hyperlink>
          </w:p>
        </w:tc>
        <w:tc>
          <w:tcPr>
            <w:tcW w:w="1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6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44</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w w:val="96"/>
              </w:rPr>
            </w:pPr>
            <w:hyperlink r:id="rId161">
              <w:r>
                <w:rPr>
                  <w:rFonts w:ascii="Arial" w:cs="Arial" w:eastAsia="Arial" w:hAnsi="Arial"/>
                  <w:sz w:val="18"/>
                  <w:szCs w:val="18"/>
                  <w:color w:val="0000FF"/>
                  <w:w w:val="96"/>
                </w:rPr>
                <w:t>Agreement, dated as of April 12, 2013, by and among Altisource Solutions S.à r.l., Ocwen Financial Corporation and Ocwen Mortgage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9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61">
              <w:r>
                <w:rPr>
                  <w:rFonts w:ascii="Arial" w:cs="Arial" w:eastAsia="Arial" w:hAnsi="Arial"/>
                  <w:sz w:val="18"/>
                  <w:szCs w:val="18"/>
                  <w:color w:val="0000FF"/>
                  <w:w w:val="92"/>
                </w:rPr>
                <w:t>Servicing, Inc. (incorporated by reference to Exhibit 10.1 of the Company’s Form 8-K filed on April 18, 2013)</w:t>
              </w:r>
            </w:hyperlink>
          </w:p>
        </w:tc>
        <w:tc>
          <w:tcPr>
            <w:tcW w:w="2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6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45</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162">
              <w:r>
                <w:rPr>
                  <w:rFonts w:ascii="Arial" w:cs="Arial" w:eastAsia="Arial" w:hAnsi="Arial"/>
                  <w:sz w:val="18"/>
                  <w:szCs w:val="18"/>
                  <w:color w:val="0000FF"/>
                  <w:w w:val="99"/>
                </w:rPr>
                <w:t>Form of Cash Retention Award Agreement (incorporated by reference to Exhibit 10.1 of the Company’s Form 8-K filed on April 21,</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2015)</w:t>
              </w:r>
            </w:hyperlink>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6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46</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163">
              <w:r>
                <w:rPr>
                  <w:rFonts w:ascii="Arial" w:cs="Arial" w:eastAsia="Arial" w:hAnsi="Arial"/>
                  <w:sz w:val="18"/>
                  <w:szCs w:val="18"/>
                  <w:color w:val="0000FF"/>
                  <w:w w:val="99"/>
                </w:rPr>
                <w:t>Form of Restricted Stock Award Agreement (incorporated by reference to Exhibit 10.2 of the Company’s Form 8-K filed on April 21,</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63">
              <w:r>
                <w:rPr>
                  <w:rFonts w:ascii="Arial" w:cs="Arial" w:eastAsia="Arial" w:hAnsi="Arial"/>
                  <w:sz w:val="18"/>
                  <w:szCs w:val="18"/>
                  <w:color w:val="0000FF"/>
                </w:rPr>
                <w:t>2015)</w:t>
              </w:r>
            </w:hyperlink>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6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47</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164">
              <w:r>
                <w:rPr>
                  <w:rFonts w:ascii="Arial" w:cs="Arial" w:eastAsia="Arial" w:hAnsi="Arial"/>
                  <w:sz w:val="18"/>
                  <w:szCs w:val="18"/>
                  <w:color w:val="0000FF"/>
                  <w:w w:val="96"/>
                </w:rPr>
                <w:t>Form of Non-Qualified Stock Option Award Agreement (incorporated by reference to Exhibit 10.3 of the Company’s Form 10-Q filed on</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July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6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48</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4"/>
              </w:rPr>
            </w:pPr>
            <w:hyperlink r:id="rId165">
              <w:r>
                <w:rPr>
                  <w:rFonts w:ascii="Arial" w:cs="Arial" w:eastAsia="Arial" w:hAnsi="Arial"/>
                  <w:sz w:val="18"/>
                  <w:szCs w:val="18"/>
                  <w:color w:val="0000FF"/>
                  <w:w w:val="94"/>
                </w:rPr>
                <w:t>Amended and Restated Employment Agreement effective as of October 1, 2014 between Altisource Solutions S.à r.l. and Gregory J. Ritts</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(incorporated by reference to Exhibit 10.63 of the Company’s Form 10-K filed on March 15, 2016)</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6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49</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5"/>
              </w:rPr>
            </w:pPr>
            <w:hyperlink r:id="rId166">
              <w:r>
                <w:rPr>
                  <w:rFonts w:ascii="Arial" w:cs="Arial" w:eastAsia="Arial" w:hAnsi="Arial"/>
                  <w:sz w:val="18"/>
                  <w:szCs w:val="18"/>
                  <w:color w:val="0000FF"/>
                  <w:w w:val="95"/>
                </w:rPr>
                <w:t>Non-Qualified Stock Option Award Agreement between the Company and Gregory J. Ritts dated as of August 29, 2016 (incorporated by</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66">
              <w:r>
                <w:rPr>
                  <w:rFonts w:ascii="Arial" w:cs="Arial" w:eastAsia="Arial" w:hAnsi="Arial"/>
                  <w:sz w:val="18"/>
                  <w:szCs w:val="18"/>
                  <w:color w:val="0000FF"/>
                </w:rPr>
                <w:t>reference to Exhibit 10.1 of the Company’s Form 10-Q filed on October 27,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6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50</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Form of Director Restricted Share Award Agreement (incorporated by reference to Exhibit 10.1 of the Company’s Form 8-K filed on</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August 24, 2016)</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6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51</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rPr>
            </w:pPr>
            <w:hyperlink r:id="rId168">
              <w:r>
                <w:rPr>
                  <w:rFonts w:ascii="Arial" w:cs="Arial" w:eastAsia="Arial" w:hAnsi="Arial"/>
                  <w:sz w:val="18"/>
                  <w:szCs w:val="18"/>
                  <w:color w:val="0000FF"/>
                </w:rPr>
                <w:t>Amendment and Waiver Agreement dated September 30, 2016 between Altisource Solutions S.à r.l. and Altisource Residential</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Corporation (incorporated by reference to Exhibit 10.1 of the Company’s Form 8-K filed on October 3, 2016)</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6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52</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169">
              <w:r>
                <w:rPr>
                  <w:rFonts w:ascii="Arial" w:cs="Arial" w:eastAsia="Arial" w:hAnsi="Arial"/>
                  <w:sz w:val="18"/>
                  <w:szCs w:val="18"/>
                  <w:color w:val="0000FF"/>
                  <w:w w:val="96"/>
                </w:rPr>
                <w:t>Form of Non-Qualified Stock Option Award Agreement (2017 Performance-Based Stock Options) (incorporated by reference to Exhibit</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Company’s Form 8-K filed on April 13, 2017)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7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53</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7"/>
              </w:rPr>
            </w:pPr>
            <w:hyperlink r:id="rId170">
              <w:r>
                <w:rPr>
                  <w:rFonts w:ascii="Arial" w:cs="Arial" w:eastAsia="Arial" w:hAnsi="Arial"/>
                  <w:sz w:val="18"/>
                  <w:szCs w:val="18"/>
                  <w:color w:val="0000FF"/>
                  <w:w w:val="97"/>
                </w:rPr>
                <w:t>Form of Non-Qualified Stock Option Award Agreement (Service Revenue Stock Options) (incorporated by reference to Exhibit 10.2 of</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the Company’s Form 8-K filed on April 13, 2017)</w:t>
              </w:r>
            </w:hyperlink>
          </w:p>
        </w:tc>
        <w:tc>
          <w:tcPr>
            <w:tcW w:w="65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7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54</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Form of Restricted Stock Award Agreement (2017 Performance-Based Restricted Shares) (incorporated by reference to Exhibit 10.3 of</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the Company’s Form 8-K filed on April 13, 2017)</w:t>
              </w:r>
            </w:hyperlink>
          </w:p>
        </w:tc>
        <w:tc>
          <w:tcPr>
            <w:tcW w:w="656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7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55</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172">
              <w:r>
                <w:rPr>
                  <w:rFonts w:ascii="Arial" w:cs="Arial" w:eastAsia="Arial" w:hAnsi="Arial"/>
                  <w:sz w:val="18"/>
                  <w:szCs w:val="18"/>
                  <w:color w:val="0000FF"/>
                </w:rPr>
                <w:t>Form of Restricted Stock Award Agreement (Service-Based Restricted Shares) (incorporated by reference to Exhibit 10.4 of the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Company’s Form 8-K filed on April 13, 2017)</w:t>
              </w:r>
            </w:hyperlink>
          </w:p>
        </w:tc>
        <w:tc>
          <w:tcPr>
            <w:tcW w:w="20" w:type="dxa"/>
            <w:vAlign w:val="bottom"/>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7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56</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173">
              <w:r>
                <w:rPr>
                  <w:rFonts w:ascii="Arial" w:cs="Arial" w:eastAsia="Arial" w:hAnsi="Arial"/>
                  <w:sz w:val="18"/>
                  <w:szCs w:val="18"/>
                  <w:color w:val="0000FF"/>
                </w:rPr>
                <w:t>Cooperative Brokerage Agreement, dated as of August 28, 2017, between REALHome Services and Solutions, Inc., REALHome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6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73">
              <w:r>
                <w:rPr>
                  <w:rFonts w:ascii="Arial" w:cs="Arial" w:eastAsia="Arial" w:hAnsi="Arial"/>
                  <w:sz w:val="18"/>
                  <w:szCs w:val="18"/>
                  <w:color w:val="0000FF"/>
                  <w:w w:val="93"/>
                </w:rPr>
                <w:t>Services and Solutions - CT, Inc. and New Residential Sales Corp. (incorporated by reference to Exhibit 10.8 of the Company’s Form 10-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Q filed on October 26, 2017)</w:t>
              </w:r>
            </w:hyperlink>
          </w:p>
        </w:tc>
        <w:tc>
          <w:tcPr>
            <w:tcW w:w="8040" w:type="dxa"/>
            <w:vAlign w:val="bottom"/>
            <w:tcBorders>
              <w:top w:val="single" w:sz="8" w:color="0000FF"/>
            </w:tcBorders>
            <w:gridSpan w:val="21"/>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7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57</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174">
              <w:r>
                <w:rPr>
                  <w:rFonts w:ascii="Arial" w:cs="Arial" w:eastAsia="Arial" w:hAnsi="Arial"/>
                  <w:sz w:val="18"/>
                  <w:szCs w:val="18"/>
                  <w:color w:val="0000FF"/>
                </w:rPr>
                <w:t>Letter Agreement, dated as of August 28, 2017, between New Residential Investment Corp., New Residential Mortgage LLC,</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0" w:type="dxa"/>
            <w:vAlign w:val="bottom"/>
            <w:tcBorders>
              <w:top w:val="single" w:sz="8" w:color="0000FF"/>
            </w:tcBorders>
            <w:gridSpan w:val="19"/>
          </w:tcPr>
          <w:p>
            <w:pPr>
              <w:spacing w:after="0" w:line="156" w:lineRule="exact"/>
              <w:rPr>
                <w:rFonts w:ascii="Arial" w:cs="Arial" w:eastAsia="Arial" w:hAnsi="Arial"/>
                <w:sz w:val="18"/>
                <w:szCs w:val="18"/>
                <w:color w:val="0000FF"/>
                <w:w w:val="92"/>
              </w:rPr>
            </w:pPr>
            <w:hyperlink r:id="rId174">
              <w:r>
                <w:rPr>
                  <w:rFonts w:ascii="Arial" w:cs="Arial" w:eastAsia="Arial" w:hAnsi="Arial"/>
                  <w:sz w:val="18"/>
                  <w:szCs w:val="18"/>
                  <w:color w:val="0000FF"/>
                  <w:w w:val="92"/>
                </w:rPr>
                <w:t>REALHome Services and Solutions, Inc., REALHome Services and Solutions - CT, Inc. and Altisource Solutions S.à r.l. (incorporated by</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9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reference to Exhibit 10.9 of the Company’s Form 10-Q filed on October 26, 2017)</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1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7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58</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First Amendment to the Cooperative Brokerage Agreement, dated as of November 16, 2017, between REALHome Services and</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175">
              <w:r>
                <w:rPr>
                  <w:rFonts w:ascii="Arial" w:cs="Arial" w:eastAsia="Arial" w:hAnsi="Arial"/>
                  <w:sz w:val="18"/>
                  <w:szCs w:val="18"/>
                  <w:color w:val="0000FF"/>
                  <w:w w:val="95"/>
                </w:rPr>
                <w:t>Solutions, Inc., REALHome Services and Solutions - CT, Inc. and New Residential Sales Corp. (incorporated by reference to Exhibit</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71</w:t>
              </w:r>
              <w:r>
                <w:rPr>
                  <w:rFonts w:ascii="Arial" w:cs="Arial" w:eastAsia="Arial" w:hAnsi="Arial"/>
                  <w:sz w:val="18"/>
                  <w:szCs w:val="18"/>
                  <w:color w:val="0000FF"/>
                  <w:w w:val="91"/>
                </w:rPr>
                <w:t xml:space="preserve"> of the Company’s Form 10-K filed on February 22, 2018)</w:t>
              </w:r>
            </w:hyperlink>
          </w:p>
        </w:tc>
        <w:tc>
          <w:tcPr>
            <w:tcW w:w="540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4"/>
        </w:trPr>
        <w:tc>
          <w:tcPr>
            <w:tcW w:w="460" w:type="dxa"/>
            <w:vAlign w:val="bottom"/>
            <w:gridSpan w:val="3"/>
          </w:tcPr>
          <w:p>
            <w:pPr>
              <w:jc w:val="right"/>
              <w:ind w:right="20"/>
              <w:spacing w:after="0"/>
              <w:rPr>
                <w:rFonts w:ascii="Arial" w:cs="Arial" w:eastAsia="Arial" w:hAnsi="Arial"/>
                <w:sz w:val="18"/>
                <w:szCs w:val="18"/>
                <w:color w:val="0000FF"/>
                <w:w w:val="93"/>
              </w:rPr>
            </w:pPr>
            <w:hyperlink r:id="rId17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59</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rPr>
            </w:pPr>
            <w:hyperlink r:id="rId176">
              <w:r>
                <w:rPr>
                  <w:rFonts w:ascii="Arial" w:cs="Arial" w:eastAsia="Arial" w:hAnsi="Arial"/>
                  <w:sz w:val="18"/>
                  <w:szCs w:val="18"/>
                  <w:color w:val="0000FF"/>
                </w:rPr>
                <w:t>Second Amendment to the Cooperative Brokerage Agreement, dated as of January 18, 2018, between REALHome Services and</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176">
              <w:r>
                <w:rPr>
                  <w:rFonts w:ascii="Arial" w:cs="Arial" w:eastAsia="Arial" w:hAnsi="Arial"/>
                  <w:sz w:val="18"/>
                  <w:szCs w:val="18"/>
                  <w:color w:val="0000FF"/>
                  <w:w w:val="95"/>
                </w:rPr>
                <w:t>Solutions, Inc., REALHome Services and Solutions - CT, Inc. and New Residential Sales Corp. (incorporated by reference to Exhibit</w:t>
              </w:r>
            </w:hyperlink>
          </w:p>
        </w:tc>
        <w:tc>
          <w:tcPr>
            <w:tcW w:w="18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76">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72</w:t>
              </w:r>
              <w:r>
                <w:rPr>
                  <w:rFonts w:ascii="Arial" w:cs="Arial" w:eastAsia="Arial" w:hAnsi="Arial"/>
                  <w:sz w:val="18"/>
                  <w:szCs w:val="18"/>
                  <w:color w:val="0000FF"/>
                  <w:w w:val="91"/>
                </w:rPr>
                <w:t xml:space="preserve"> of the Company’s Form 10-K filed on February 22, 2018)</w:t>
              </w:r>
            </w:hyperlink>
          </w:p>
        </w:tc>
        <w:tc>
          <w:tcPr>
            <w:tcW w:w="5400" w:type="dxa"/>
            <w:vAlign w:val="bottom"/>
            <w:tcBorders>
              <w:top w:val="single" w:sz="8" w:color="0000FF"/>
            </w:tcBorders>
            <w:gridSpan w:val="9"/>
          </w:tcPr>
          <w:p>
            <w:pPr>
              <w:spacing w:after="0"/>
              <w:rPr>
                <w:sz w:val="13"/>
                <w:szCs w:val="13"/>
                <w:color w:val="auto"/>
              </w:rPr>
            </w:pPr>
          </w:p>
        </w:tc>
        <w:tc>
          <w:tcPr>
            <w:tcW w:w="220" w:type="dxa"/>
            <w:vAlign w:val="bottom"/>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7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60</w:t>
              </w:r>
            </w:hyperlink>
          </w:p>
        </w:tc>
        <w:tc>
          <w:tcPr>
            <w:tcW w:w="760" w:type="dxa"/>
            <w:vAlign w:val="bottom"/>
          </w:tcPr>
          <w:p>
            <w:pPr>
              <w:spacing w:after="0"/>
              <w:rPr>
                <w:sz w:val="22"/>
                <w:szCs w:val="22"/>
                <w:color w:val="auto"/>
              </w:rPr>
            </w:pPr>
          </w:p>
        </w:tc>
        <w:tc>
          <w:tcPr>
            <w:tcW w:w="10340" w:type="dxa"/>
            <w:vAlign w:val="bottom"/>
            <w:gridSpan w:val="36"/>
          </w:tcPr>
          <w:p>
            <w:pPr>
              <w:spacing w:after="0"/>
              <w:rPr>
                <w:rFonts w:ascii="Arial" w:cs="Arial" w:eastAsia="Arial" w:hAnsi="Arial"/>
                <w:sz w:val="18"/>
                <w:szCs w:val="18"/>
                <w:color w:val="0000FF"/>
                <w:w w:val="95"/>
              </w:rPr>
            </w:pPr>
            <w:hyperlink r:id="rId177">
              <w:r>
                <w:rPr>
                  <w:rFonts w:ascii="Arial" w:cs="Arial" w:eastAsia="Arial" w:hAnsi="Arial"/>
                  <w:sz w:val="18"/>
                  <w:szCs w:val="18"/>
                  <w:color w:val="0000FF"/>
                  <w:w w:val="95"/>
                </w:rPr>
                <w:t>Third Amendment to the Cooperative Brokerage Agreement, dated as of March 23, 2018, between REALHome Services and Solutions,</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00" w:type="dxa"/>
            <w:vAlign w:val="bottom"/>
            <w:tcBorders>
              <w:top w:val="single" w:sz="8" w:color="0000FF"/>
            </w:tcBorders>
            <w:gridSpan w:val="34"/>
          </w:tcPr>
          <w:p>
            <w:pPr>
              <w:spacing w:after="0" w:line="156" w:lineRule="exact"/>
              <w:rPr>
                <w:rFonts w:ascii="Arial" w:cs="Arial" w:eastAsia="Arial" w:hAnsi="Arial"/>
                <w:sz w:val="18"/>
                <w:szCs w:val="18"/>
                <w:color w:val="0000FF"/>
                <w:w w:val="97"/>
              </w:rPr>
            </w:pPr>
            <w:hyperlink r:id="rId177">
              <w:r>
                <w:rPr>
                  <w:rFonts w:ascii="Arial" w:cs="Arial" w:eastAsia="Arial" w:hAnsi="Arial"/>
                  <w:sz w:val="18"/>
                  <w:szCs w:val="18"/>
                  <w:color w:val="0000FF"/>
                  <w:w w:val="97"/>
                </w:rPr>
                <w:t>Inc., REALHome Services and Solutions - CT, Inc. and New Residential Sales Corp. (incorporated by reference to Exhibit 10.1 of the</w:t>
              </w:r>
            </w:hyperlink>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Company’s Form 10-Q filed on April 26, 2018)</w:t>
              </w:r>
            </w:hyperlink>
          </w:p>
        </w:tc>
        <w:tc>
          <w:tcPr>
            <w:tcW w:w="6800" w:type="dxa"/>
            <w:vAlign w:val="bottom"/>
            <w:tcBorders>
              <w:top w:val="single" w:sz="8" w:color="0000FF"/>
            </w:tcBorders>
            <w:gridSpan w:val="2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7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61</w:t>
              </w:r>
            </w:hyperlink>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6"/>
          </w:tcPr>
          <w:p>
            <w:pPr>
              <w:spacing w:after="0"/>
              <w:rPr>
                <w:rFonts w:ascii="Arial" w:cs="Arial" w:eastAsia="Arial" w:hAnsi="Arial"/>
                <w:sz w:val="18"/>
                <w:szCs w:val="18"/>
                <w:color w:val="0000FF"/>
                <w:w w:val="96"/>
              </w:rPr>
            </w:pPr>
            <w:hyperlink r:id="rId178">
              <w:r>
                <w:rPr>
                  <w:rFonts w:ascii="Arial" w:cs="Arial" w:eastAsia="Arial" w:hAnsi="Arial"/>
                  <w:sz w:val="18"/>
                  <w:szCs w:val="18"/>
                  <w:color w:val="0000FF"/>
                  <w:w w:val="96"/>
                </w:rPr>
                <w:t>Form of Non-Qualified Stock Option Award Agreement (2018 Performance-Based Stock Options) (incorporated by reference to Exhibit</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the Company’s Form 10-Q filed on April 26, 2018)</w:t>
              </w:r>
            </w:hyperlink>
          </w:p>
        </w:tc>
        <w:tc>
          <w:tcPr>
            <w:tcW w:w="180" w:type="dxa"/>
            <w:vAlign w:val="bottom"/>
            <w:gridSpan w:val="9"/>
          </w:tcPr>
          <w:p>
            <w:pPr>
              <w:spacing w:after="0"/>
              <w:rPr>
                <w:sz w:val="13"/>
                <w:szCs w:val="13"/>
                <w:color w:val="auto"/>
              </w:rPr>
            </w:pPr>
          </w:p>
        </w:tc>
      </w:tr>
      <w:tr>
        <w:trPr>
          <w:trHeight w:val="75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top w:val="single" w:sz="8" w:color="0000FF"/>
            </w:tcBorders>
            <w:gridSpan w:val="9"/>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gridSpan w:val="3"/>
          </w:tcPr>
          <w:p>
            <w:pPr>
              <w:jc w:val="right"/>
              <w:ind w:right="20"/>
              <w:spacing w:after="0"/>
              <w:rPr>
                <w:rFonts w:ascii="Arial" w:cs="Arial" w:eastAsia="Arial" w:hAnsi="Arial"/>
                <w:sz w:val="18"/>
                <w:szCs w:val="18"/>
                <w:color w:val="0000FF"/>
                <w:w w:val="93"/>
              </w:rPr>
            </w:pPr>
            <w:hyperlink r:id="rId18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62</w:t>
              </w:r>
            </w:hyperlink>
          </w:p>
        </w:tc>
        <w:tc>
          <w:tcPr>
            <w:tcW w:w="2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4"/>
              </w:rPr>
            </w:pPr>
            <w:hyperlink r:id="rId181">
              <w:r>
                <w:rPr>
                  <w:rFonts w:ascii="Arial" w:cs="Arial" w:eastAsia="Arial" w:hAnsi="Arial"/>
                  <w:sz w:val="18"/>
                  <w:szCs w:val="18"/>
                  <w:color w:val="0000FF"/>
                  <w:w w:val="94"/>
                </w:rPr>
                <w:t>Form of Restricted Share Unit Award Agreement (2018 Service-Based Restricted Share Units) (incorporated by reference to Exhibit 10.3</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of the Company’s Form 10-Q filed on April 26, 2018)</w:t>
              </w:r>
            </w:hyperlink>
          </w:p>
        </w:tc>
        <w:tc>
          <w:tcPr>
            <w:tcW w:w="642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63</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340" w:type="dxa"/>
            <w:vAlign w:val="bottom"/>
            <w:gridSpan w:val="38"/>
          </w:tcPr>
          <w:p>
            <w:pPr>
              <w:spacing w:after="0"/>
              <w:rPr>
                <w:rFonts w:ascii="Arial" w:cs="Arial" w:eastAsia="Arial" w:hAnsi="Arial"/>
                <w:sz w:val="18"/>
                <w:szCs w:val="18"/>
                <w:color w:val="0000FF"/>
                <w:w w:val="95"/>
              </w:rPr>
            </w:pPr>
            <w:hyperlink r:id="rId182">
              <w:r>
                <w:rPr>
                  <w:rFonts w:ascii="Arial" w:cs="Arial" w:eastAsia="Arial" w:hAnsi="Arial"/>
                  <w:sz w:val="18"/>
                  <w:szCs w:val="18"/>
                  <w:color w:val="0000FF"/>
                  <w:w w:val="95"/>
                </w:rPr>
                <w:t>Credit Agreement, dated April 3, 2018 among Altisource S.à r.l. and Altisource Portfolio Solutions S.A., Morgan Stanley Senior Funding,</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0" w:type="dxa"/>
            <w:vAlign w:val="bottom"/>
            <w:tcBorders>
              <w:top w:val="single" w:sz="8" w:color="0000FF"/>
              <w:bottom w:val="single" w:sz="8" w:color="0000FF"/>
            </w:tcBorders>
            <w:gridSpan w:val="31"/>
          </w:tcPr>
          <w:p>
            <w:pPr>
              <w:spacing w:after="0" w:line="15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Inc., as Administrative Agent and Collateral Agent, and the Lenders party thereto (incorporated by reference to Exhibit 10.1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60" w:type="dxa"/>
            <w:vAlign w:val="bottom"/>
            <w:tcBorders>
              <w:bottom w:val="single" w:sz="8" w:color="0000FF"/>
            </w:tcBorders>
            <w:gridSpan w:val="3"/>
          </w:tcPr>
          <w:p>
            <w:pPr>
              <w:spacing w:after="0" w:line="156"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Company’s Form 8-K filed on April 4, 2018)</w:t>
              </w:r>
            </w:hyperlink>
          </w:p>
        </w:tc>
        <w:tc>
          <w:tcPr>
            <w:tcW w:w="7040" w:type="dxa"/>
            <w:vAlign w:val="bottom"/>
            <w:gridSpan w:val="3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8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64</w:t>
              </w:r>
            </w:hyperlink>
          </w:p>
        </w:tc>
        <w:tc>
          <w:tcPr>
            <w:tcW w:w="2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6"/>
              </w:rPr>
            </w:pPr>
            <w:hyperlink r:id="rId183">
              <w:r>
                <w:rPr>
                  <w:rFonts w:ascii="Arial" w:cs="Arial" w:eastAsia="Arial" w:hAnsi="Arial"/>
                  <w:sz w:val="18"/>
                  <w:szCs w:val="18"/>
                  <w:color w:val="0000FF"/>
                  <w:w w:val="96"/>
                </w:rPr>
                <w:t>Form of Non-Qualified Stock Option Award Agreement (2018 Performance-Based Stock Options) (incorporated by reference to Exhibit</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of the Company’s Form 10-Q filed on July 26, 2018)</w:t>
              </w:r>
            </w:hyperlink>
          </w:p>
        </w:tc>
        <w:tc>
          <w:tcPr>
            <w:tcW w:w="59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65</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340" w:type="dxa"/>
            <w:vAlign w:val="bottom"/>
            <w:gridSpan w:val="38"/>
          </w:tcPr>
          <w:p>
            <w:pPr>
              <w:spacing w:after="0"/>
              <w:rPr>
                <w:rFonts w:ascii="Arial" w:cs="Arial" w:eastAsia="Arial" w:hAnsi="Arial"/>
                <w:sz w:val="18"/>
                <w:szCs w:val="18"/>
                <w:color w:val="0000FF"/>
                <w:w w:val="99"/>
              </w:rPr>
            </w:pPr>
            <w:hyperlink r:id="rId184">
              <w:r>
                <w:rPr>
                  <w:rFonts w:ascii="Arial" w:cs="Arial" w:eastAsia="Arial" w:hAnsi="Arial"/>
                  <w:sz w:val="18"/>
                  <w:szCs w:val="18"/>
                  <w:color w:val="0000FF"/>
                  <w:w w:val="99"/>
                </w:rPr>
                <w:t>Amendment No. 1 to Credit Agreement dated as of June 27, 2018 among Altisource S.à r.l. and Altisource Portfolio Solutions S.A.,</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6"/>
              </w:rPr>
            </w:pPr>
            <w:hyperlink r:id="rId184">
              <w:r>
                <w:rPr>
                  <w:rFonts w:ascii="Arial" w:cs="Arial" w:eastAsia="Arial" w:hAnsi="Arial"/>
                  <w:sz w:val="18"/>
                  <w:szCs w:val="18"/>
                  <w:color w:val="0000FF"/>
                  <w:w w:val="96"/>
                </w:rPr>
                <w:t>Morgan Stanley Senior Funding, Inc., as Administrative Agent and Collateral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80" w:type="dxa"/>
            <w:vAlign w:val="bottom"/>
            <w:gridSpan w:val="35"/>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reference to Exhibit 10.3 of the Company’s Form 10-Q filed on July 26, 2018)</w:t>
              </w:r>
            </w:hyperlink>
          </w:p>
        </w:tc>
        <w:tc>
          <w:tcPr>
            <w:tcW w:w="60" w:type="dxa"/>
            <w:vAlign w:val="bottom"/>
            <w:gridSpan w:val="3"/>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66</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340" w:type="dxa"/>
            <w:vAlign w:val="bottom"/>
            <w:gridSpan w:val="38"/>
          </w:tcPr>
          <w:p>
            <w:pPr>
              <w:spacing w:after="0"/>
              <w:rPr>
                <w:rFonts w:ascii="Arial" w:cs="Arial" w:eastAsia="Arial" w:hAnsi="Arial"/>
                <w:sz w:val="18"/>
                <w:szCs w:val="18"/>
                <w:color w:val="0000FF"/>
                <w:w w:val="96"/>
              </w:rPr>
            </w:pPr>
            <w:hyperlink r:id="rId185">
              <w:r>
                <w:rPr>
                  <w:rFonts w:ascii="Arial" w:cs="Arial" w:eastAsia="Arial" w:hAnsi="Arial"/>
                  <w:sz w:val="18"/>
                  <w:szCs w:val="18"/>
                  <w:color w:val="0000FF"/>
                  <w:w w:val="96"/>
                </w:rPr>
                <w:t>Omnibus Amendment to Master Services Agreement, Waiver Agreement, Services Letter and Fee Letter, dated August 8, 2018 among</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2"/>
              </w:rPr>
            </w:pPr>
            <w:hyperlink r:id="rId185">
              <w:r>
                <w:rPr>
                  <w:rFonts w:ascii="Arial" w:cs="Arial" w:eastAsia="Arial" w:hAnsi="Arial"/>
                  <w:sz w:val="18"/>
                  <w:szCs w:val="18"/>
                  <w:color w:val="0000FF"/>
                  <w:w w:val="92"/>
                </w:rPr>
                <w:t>Altisource S.à r.l. and Front Yard Residential Corporation (incorporated by reference to Exhibit 10.1 of the Company’s Form 8-K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August 9, 2018)</w:t>
              </w:r>
            </w:hyperlink>
          </w:p>
        </w:tc>
        <w:tc>
          <w:tcPr>
            <w:tcW w:w="8940" w:type="dxa"/>
            <w:vAlign w:val="bottom"/>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67</w:t>
              </w:r>
            </w:hyperlink>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340" w:type="dxa"/>
            <w:vAlign w:val="bottom"/>
            <w:gridSpan w:val="38"/>
          </w:tcPr>
          <w:p>
            <w:pPr>
              <w:spacing w:after="0"/>
              <w:rPr>
                <w:rFonts w:ascii="Arial" w:cs="Arial" w:eastAsia="Arial" w:hAnsi="Arial"/>
                <w:sz w:val="18"/>
                <w:szCs w:val="18"/>
                <w:color w:val="0000FF"/>
                <w:w w:val="99"/>
              </w:rPr>
            </w:pPr>
            <w:hyperlink r:id="rId186">
              <w:r>
                <w:rPr>
                  <w:rFonts w:ascii="Arial" w:cs="Arial" w:eastAsia="Arial" w:hAnsi="Arial"/>
                  <w:sz w:val="18"/>
                  <w:szCs w:val="18"/>
                  <w:color w:val="0000FF"/>
                  <w:w w:val="99"/>
                </w:rPr>
                <w:t>Fourth Amendment to the Cooperative Brokerage Agreement, dated as of September 11, 2018, between REALHome Services and</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3"/>
              </w:rPr>
            </w:pPr>
            <w:hyperlink r:id="rId186">
              <w:r>
                <w:rPr>
                  <w:rFonts w:ascii="Arial" w:cs="Arial" w:eastAsia="Arial" w:hAnsi="Arial"/>
                  <w:sz w:val="18"/>
                  <w:szCs w:val="18"/>
                  <w:color w:val="0000FF"/>
                  <w:w w:val="93"/>
                </w:rPr>
                <w:t>Solutions, Inc., REALHome Services and Solutions - CT, Inc. and New Residential Sales Corp. (incorporated by reference to Exhibit 10.4</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10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of the Company’s Form 10-Q filed on October 25, 2018)</w:t>
              </w:r>
            </w:hyperlink>
          </w:p>
        </w:tc>
        <w:tc>
          <w:tcPr>
            <w:tcW w:w="614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460" w:type="dxa"/>
            <w:vAlign w:val="bottom"/>
            <w:gridSpan w:val="3"/>
          </w:tcPr>
          <w:p>
            <w:pPr>
              <w:jc w:val="right"/>
              <w:ind w:right="20"/>
              <w:spacing w:after="0"/>
              <w:rPr>
                <w:rFonts w:ascii="Arial" w:cs="Arial" w:eastAsia="Arial" w:hAnsi="Arial"/>
                <w:sz w:val="18"/>
                <w:szCs w:val="18"/>
                <w:color w:val="0000FF"/>
                <w:w w:val="93"/>
              </w:rPr>
            </w:pPr>
            <w:hyperlink r:id="rId18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68</w:t>
              </w:r>
            </w:hyperlink>
          </w:p>
        </w:tc>
        <w:tc>
          <w:tcPr>
            <w:tcW w:w="20" w:type="dxa"/>
            <w:vAlign w:val="bottom"/>
          </w:tcPr>
          <w:p>
            <w:pPr>
              <w:spacing w:after="0"/>
              <w:rPr>
                <w:sz w:val="22"/>
                <w:szCs w:val="22"/>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5"/>
              </w:rPr>
            </w:pPr>
            <w:hyperlink r:id="rId187">
              <w:r>
                <w:rPr>
                  <w:rFonts w:ascii="Arial" w:cs="Arial" w:eastAsia="Arial" w:hAnsi="Arial"/>
                  <w:sz w:val="18"/>
                  <w:szCs w:val="18"/>
                  <w:color w:val="0000FF"/>
                  <w:w w:val="95"/>
                </w:rPr>
                <w:t>Settlement Agreement and Full Release dated as of October 16, 2018 between Altisource S.à r.l. and Joseph A. Davila (incorporated by</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reference to Exhibit 10.5 of the Company’s Form 10-Q filed on October 25, 2018)</w:t>
              </w:r>
            </w:hyperlink>
          </w:p>
        </w:tc>
        <w:tc>
          <w:tcPr>
            <w:tcW w:w="80" w:type="dxa"/>
            <w:vAlign w:val="bottom"/>
            <w:gridSpan w:val="4"/>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69</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4"/>
              </w:rPr>
            </w:pPr>
            <w:hyperlink r:id="rId188">
              <w:r>
                <w:rPr>
                  <w:rFonts w:ascii="Arial" w:cs="Arial" w:eastAsia="Arial" w:hAnsi="Arial"/>
                  <w:sz w:val="18"/>
                  <w:szCs w:val="18"/>
                  <w:color w:val="0000FF"/>
                  <w:w w:val="94"/>
                </w:rPr>
                <w:t>Second Amended and Restated Employment Contract dated as of November 6, 2018 between Altisource Solutions S.à r.l. and Gregory J.</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7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88">
              <w:r>
                <w:rPr>
                  <w:rFonts w:ascii="Arial" w:cs="Arial" w:eastAsia="Arial" w:hAnsi="Arial"/>
                  <w:sz w:val="18"/>
                  <w:szCs w:val="18"/>
                  <w:color w:val="0000FF"/>
                  <w:w w:val="91"/>
                </w:rPr>
                <w:t>Ritts (incorporated by reference to Exhibit 10.78 of the Company’s Form 10-K filed on February 26, 2019)</w:t>
              </w:r>
            </w:hyperlink>
          </w:p>
        </w:tc>
        <w:tc>
          <w:tcPr>
            <w:tcW w:w="22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8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70</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9"/>
              </w:rPr>
            </w:pPr>
            <w:hyperlink r:id="rId189">
              <w:r>
                <w:rPr>
                  <w:rFonts w:ascii="Arial" w:cs="Arial" w:eastAsia="Arial" w:hAnsi="Arial"/>
                  <w:sz w:val="18"/>
                  <w:szCs w:val="18"/>
                  <w:color w:val="0000FF"/>
                  <w:w w:val="99"/>
                </w:rPr>
                <w:t>Employment Agreement effective as of August 1, 2017 between Altisource Solutions S.à r.l and Marcello Mastioni (incorporated by</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reference to Exhibit 10.79 of the Company’s Form 10-K filed on February 26, 2019)</w:t>
              </w:r>
            </w:hyperlink>
          </w:p>
        </w:tc>
        <w:tc>
          <w:tcPr>
            <w:tcW w:w="140" w:type="dxa"/>
            <w:vAlign w:val="bottom"/>
            <w:gridSpan w:val="7"/>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0">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71</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4"/>
              </w:rPr>
            </w:pPr>
            <w:hyperlink r:id="rId190">
              <w:r>
                <w:rPr>
                  <w:rFonts w:ascii="Arial" w:cs="Arial" w:eastAsia="Arial" w:hAnsi="Arial"/>
                  <w:sz w:val="18"/>
                  <w:szCs w:val="18"/>
                  <w:color w:val="0000FF"/>
                  <w:w w:val="94"/>
                </w:rPr>
                <w:t>Non-Qualified Stock Option Award Agreement between the Company and Marcello Mastioni dated as of August 1, 2017 (incorporated by</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reference to Exhibit 10.80 of the Company’s Form 10-K filed on February 26, 2019)</w:t>
              </w:r>
            </w:hyperlink>
          </w:p>
        </w:tc>
        <w:tc>
          <w:tcPr>
            <w:tcW w:w="180" w:type="dxa"/>
            <w:vAlign w:val="bottom"/>
            <w:gridSpan w:val="9"/>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380" w:type="dxa"/>
            <w:vAlign w:val="bottom"/>
            <w:gridSpan w:val="7"/>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72</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5"/>
              </w:rPr>
            </w:pPr>
            <w:hyperlink r:id="rId191">
              <w:r>
                <w:rPr>
                  <w:rFonts w:ascii="Arial" w:cs="Arial" w:eastAsia="Arial" w:hAnsi="Arial"/>
                  <w:sz w:val="18"/>
                  <w:szCs w:val="18"/>
                  <w:color w:val="0000FF"/>
                  <w:w w:val="95"/>
                </w:rPr>
                <w:t>Restricted Share Award Agreement between the Company and Marcello Mastioni dated as of August 1, 2017 (incorporated by reference</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91">
              <w:r>
                <w:rPr>
                  <w:rFonts w:ascii="Arial" w:cs="Arial" w:eastAsia="Arial" w:hAnsi="Arial"/>
                  <w:sz w:val="18"/>
                  <w:szCs w:val="18"/>
                  <w:color w:val="0000FF"/>
                  <w:w w:val="92"/>
                </w:rPr>
                <w:t>to Exhibit 10.81 of the Company’s Form 10-K filed on February 26, 2019)</w:t>
              </w:r>
            </w:hyperlink>
          </w:p>
        </w:tc>
        <w:tc>
          <w:tcPr>
            <w:tcW w:w="4740" w:type="dxa"/>
            <w:vAlign w:val="bottom"/>
            <w:tcBorders>
              <w:top w:val="single" w:sz="8" w:color="0000FF"/>
            </w:tcBorders>
            <w:gridSpan w:val="20"/>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73</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5"/>
              </w:rPr>
            </w:pPr>
            <w:hyperlink r:id="rId192">
              <w:r>
                <w:rPr>
                  <w:rFonts w:ascii="Arial" w:cs="Arial" w:eastAsia="Arial" w:hAnsi="Arial"/>
                  <w:sz w:val="18"/>
                  <w:szCs w:val="18"/>
                  <w:color w:val="0000FF"/>
                  <w:w w:val="95"/>
                </w:rPr>
                <w:t>Altisource Portfolio Solutions S.A. Amended and Restated 2009 Equity Incentive Plan, dated as of November 12, 2018 (incorporated by</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reference to Exhibit 10.82 of the Company’s Form 10-K filed on February 26,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74</w:t>
              </w:r>
            </w:hyperlink>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9"/>
              </w:rPr>
            </w:pPr>
            <w:hyperlink r:id="rId193">
              <w:r>
                <w:rPr>
                  <w:rFonts w:ascii="Arial" w:cs="Arial" w:eastAsia="Arial" w:hAnsi="Arial"/>
                  <w:sz w:val="18"/>
                  <w:szCs w:val="18"/>
                  <w:color w:val="0000FF"/>
                  <w:w w:val="99"/>
                </w:rPr>
                <w:t>Binding Term Sheet dated as of February 22, 2019 between Altisource S.à r.l., Ocwen Financial Corporation and Ocwen Mortgage</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Servicing, Inc. (incorporated by reference to Exhibit 10.1 of the Company’s Form 10-Q filed on April 25, 2019)</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75</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5"/>
              </w:rPr>
            </w:pPr>
            <w:hyperlink r:id="rId194">
              <w:r>
                <w:rPr>
                  <w:rFonts w:ascii="Arial" w:cs="Arial" w:eastAsia="Arial" w:hAnsi="Arial"/>
                  <w:sz w:val="18"/>
                  <w:szCs w:val="18"/>
                  <w:color w:val="0000FF"/>
                  <w:w w:val="95"/>
                </w:rPr>
                <w:t>Amended and Restated Employment Contract of Indefinite Duration dated as of March 22, 2019 between Altisource S.à r.l. and Marcello</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Mastioni (incorporated by reference to Exhibit 10.2 of the Company’s Form 10-Q filed on April 25, 2019)</w:t>
              </w:r>
            </w:hyperlink>
          </w:p>
        </w:tc>
        <w:tc>
          <w:tcPr>
            <w:tcW w:w="23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76</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10340" w:type="dxa"/>
            <w:vAlign w:val="bottom"/>
            <w:gridSpan w:val="38"/>
          </w:tcPr>
          <w:p>
            <w:pPr>
              <w:spacing w:after="0"/>
              <w:rPr>
                <w:rFonts w:ascii="Arial" w:cs="Arial" w:eastAsia="Arial" w:hAnsi="Arial"/>
                <w:sz w:val="18"/>
                <w:szCs w:val="18"/>
                <w:color w:val="0000FF"/>
                <w:w w:val="93"/>
              </w:rPr>
            </w:pPr>
            <w:hyperlink r:id="rId195">
              <w:r>
                <w:rPr>
                  <w:rFonts w:ascii="Arial" w:cs="Arial" w:eastAsia="Arial" w:hAnsi="Arial"/>
                  <w:sz w:val="18"/>
                  <w:szCs w:val="18"/>
                  <w:color w:val="0000FF"/>
                  <w:w w:val="93"/>
                </w:rPr>
                <w:t>Separation Agreement and Release dated as of March 22, 2019 between Indroneel Chatterjee and Altisource Solutions, Inc. (incorporated</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9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95">
              <w:r>
                <w:rPr>
                  <w:rFonts w:ascii="Arial" w:cs="Arial" w:eastAsia="Arial" w:hAnsi="Arial"/>
                  <w:sz w:val="18"/>
                  <w:szCs w:val="18"/>
                  <w:color w:val="0000FF"/>
                  <w:w w:val="92"/>
                </w:rPr>
                <w:t>by reference to Exhibit 10.3 of the Company’s Form 10-Q filed on April 25, 2019)</w:t>
              </w:r>
            </w:hyperlink>
          </w:p>
        </w:tc>
        <w:tc>
          <w:tcPr>
            <w:tcW w:w="40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77</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10340" w:type="dxa"/>
            <w:vAlign w:val="bottom"/>
            <w:gridSpan w:val="38"/>
          </w:tcPr>
          <w:p>
            <w:pPr>
              <w:spacing w:after="0"/>
              <w:rPr>
                <w:rFonts w:ascii="Arial" w:cs="Arial" w:eastAsia="Arial" w:hAnsi="Arial"/>
                <w:sz w:val="18"/>
                <w:szCs w:val="18"/>
                <w:color w:val="0000FF"/>
                <w:w w:val="95"/>
              </w:rPr>
            </w:pPr>
            <w:hyperlink r:id="rId196">
              <w:r>
                <w:rPr>
                  <w:rFonts w:ascii="Arial" w:cs="Arial" w:eastAsia="Arial" w:hAnsi="Arial"/>
                  <w:sz w:val="18"/>
                  <w:szCs w:val="18"/>
                  <w:color w:val="0000FF"/>
                  <w:w w:val="95"/>
                </w:rPr>
                <w:t>Side Letter to Separation Agreement and Release by and between Indroneel Chatterjee and Altisource Solutions, Inc. dated as of March</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22, 2019 (incorporated by reference to Exhibit 10.4 of the Company’s Form 10-Q filed on April 25, 2019)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gridSpan w:val="1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78</w:t>
              </w:r>
            </w:hyperlink>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Restricted Stock Unit Award Agreement Pursuant to Altisource’s 2009 Equity Incentive Plan and 2019 Long Term Equity</w:t>
              </w:r>
            </w:hyperlink>
          </w:p>
        </w:tc>
      </w:tr>
      <w:tr>
        <w:trPr>
          <w:trHeight w:val="156"/>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Incentive Program (incorporated by reference to Exhibit 10.5 of the Company’s Form 10-Q filed on April 25, 2019)</w:t>
              </w:r>
            </w:hyperlink>
          </w:p>
        </w:tc>
        <w:tc>
          <w:tcPr>
            <w:tcW w:w="240" w:type="dxa"/>
            <w:vAlign w:val="bottom"/>
            <w:gridSpan w:val="12"/>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gridSpan w:val="1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79</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w w:val="97"/>
              </w:rPr>
            </w:pPr>
            <w:hyperlink r:id="rId198">
              <w:r>
                <w:rPr>
                  <w:rFonts w:ascii="Arial" w:cs="Arial" w:eastAsia="Arial" w:hAnsi="Arial"/>
                  <w:sz w:val="18"/>
                  <w:szCs w:val="18"/>
                  <w:color w:val="0000FF"/>
                  <w:w w:val="97"/>
                </w:rPr>
                <w:t>Form of Restricted Stock Unit Award Agreement Pursuant to Altisource’s 2009 Equity Incentive Plan and 2018 Annual Incentive Plan</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(incorporated by reference to Exhibit 10.6 of the Company’s Form 10-Q filed on April 25, 2019)</w:t>
              </w:r>
            </w:hyperlink>
          </w:p>
        </w:tc>
        <w:tc>
          <w:tcPr>
            <w:tcW w:w="260" w:type="dxa"/>
            <w:vAlign w:val="bottom"/>
            <w:gridSpan w:val="13"/>
          </w:tcPr>
          <w:p>
            <w:pPr>
              <w:spacing w:after="0"/>
              <w:rPr>
                <w:sz w:val="13"/>
                <w:szCs w:val="13"/>
                <w:color w:val="auto"/>
              </w:rPr>
            </w:pPr>
          </w:p>
        </w:tc>
      </w:tr>
      <w:tr>
        <w:trPr>
          <w:trHeight w:val="20"/>
        </w:trPr>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960" w:type="dxa"/>
            <w:vAlign w:val="bottom"/>
            <w:gridSpan w:val="12"/>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080" w:type="dxa"/>
            <w:vAlign w:val="bottom"/>
            <w:gridSpan w:val="21"/>
          </w:tcPr>
          <w:p>
            <w:pPr>
              <w:spacing w:after="0" w:line="20" w:lineRule="exact"/>
              <w:rPr>
                <w:sz w:val="1"/>
                <w:szCs w:val="1"/>
                <w:color w:val="auto"/>
              </w:rPr>
            </w:pPr>
          </w:p>
        </w:tc>
      </w:tr>
      <w:tr>
        <w:trPr>
          <w:trHeight w:val="304"/>
        </w:trPr>
        <w:tc>
          <w:tcPr>
            <w:tcW w:w="460" w:type="dxa"/>
            <w:vAlign w:val="bottom"/>
            <w:gridSpan w:val="3"/>
          </w:tcPr>
          <w:p>
            <w:pPr>
              <w:jc w:val="right"/>
              <w:ind w:right="20"/>
              <w:spacing w:after="0"/>
              <w:rPr>
                <w:rFonts w:ascii="Arial" w:cs="Arial" w:eastAsia="Arial" w:hAnsi="Arial"/>
                <w:sz w:val="18"/>
                <w:szCs w:val="18"/>
                <w:color w:val="0000FF"/>
                <w:w w:val="93"/>
              </w:rPr>
            </w:pPr>
            <w:hyperlink r:id="rId199">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80</w:t>
              </w:r>
            </w:hyperlink>
          </w:p>
        </w:tc>
        <w:tc>
          <w:tcPr>
            <w:tcW w:w="2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10340" w:type="dxa"/>
            <w:vAlign w:val="bottom"/>
            <w:gridSpan w:val="38"/>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Restricted Stock Unit Award Agreement Pursuant to Altisource’s 2009 Equity Incentive Plan and 2019 Long Term Equity</w:t>
              </w:r>
            </w:hyperlink>
          </w:p>
        </w:tc>
      </w:tr>
      <w:tr>
        <w:trPr>
          <w:trHeight w:val="155"/>
        </w:trPr>
        <w:tc>
          <w:tcPr>
            <w:tcW w:w="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Incentive Program (incorporated by reference to Exhibit 10.1 of the Company’s Form 10-Q filed on July 25, 2019)</w:t>
              </w:r>
            </w:hyperlink>
          </w:p>
        </w:tc>
        <w:tc>
          <w:tcPr>
            <w:tcW w:w="240" w:type="dxa"/>
            <w:vAlign w:val="bottom"/>
            <w:gridSpan w:val="12"/>
          </w:tcPr>
          <w:p>
            <w:pPr>
              <w:spacing w:after="0"/>
              <w:rPr>
                <w:sz w:val="13"/>
                <w:szCs w:val="13"/>
                <w:color w:val="auto"/>
              </w:rPr>
            </w:pPr>
          </w:p>
        </w:tc>
      </w:tr>
      <w:tr>
        <w:trPr>
          <w:trHeight w:val="84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top w:val="single" w:sz="8" w:color="0000FF"/>
            </w:tcBorders>
            <w:gridSpan w:val="6"/>
          </w:tcPr>
          <w:p>
            <w:pPr>
              <w:jc w:val="right"/>
              <w:ind w:right="880"/>
              <w:spacing w:after="0"/>
              <w:rPr>
                <w:sz w:val="20"/>
                <w:szCs w:val="20"/>
                <w:color w:val="auto"/>
              </w:rPr>
            </w:pPr>
            <w:r>
              <w:rPr>
                <w:rFonts w:ascii="Arial" w:cs="Arial" w:eastAsia="Arial" w:hAnsi="Arial"/>
                <w:sz w:val="18"/>
                <w:szCs w:val="18"/>
                <w:color w:val="auto"/>
              </w:rPr>
              <w:t>85</w:t>
            </w:r>
          </w:p>
        </w:tc>
        <w:tc>
          <w:tcPr>
            <w:tcW w:w="2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gridSpan w:val="3"/>
          </w:tcPr>
          <w:p>
            <w:pPr>
              <w:spacing w:after="0"/>
              <w:rPr>
                <w:rFonts w:ascii="Arial" w:cs="Arial" w:eastAsia="Arial" w:hAnsi="Arial"/>
                <w:sz w:val="18"/>
                <w:szCs w:val="18"/>
                <w:color w:val="0000FF"/>
              </w:rPr>
            </w:pPr>
            <w:hyperlink r:id="rId202">
              <w:r>
                <w:rPr>
                  <w:rFonts w:ascii="Arial" w:cs="Arial" w:eastAsia="Arial" w:hAnsi="Arial"/>
                  <w:sz w:val="18"/>
                  <w:szCs w:val="18"/>
                  <w:color w:val="0000FF"/>
                </w:rPr>
                <w:t>10.</w:t>
              </w:r>
              <w:r>
                <w:rPr>
                  <w:rFonts w:ascii="Arial" w:cs="Arial" w:eastAsia="Arial" w:hAnsi="Arial"/>
                  <w:sz w:val="18"/>
                  <w:szCs w:val="18"/>
                  <w:u w:val="single" w:color="auto"/>
                  <w:color w:val="0000FF"/>
                </w:rPr>
                <w:t>81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2"/>
              </w:rPr>
            </w:pPr>
            <w:hyperlink r:id="rId202">
              <w:r>
                <w:rPr>
                  <w:rFonts w:ascii="Arial" w:cs="Arial" w:eastAsia="Arial" w:hAnsi="Arial"/>
                  <w:sz w:val="18"/>
                  <w:szCs w:val="18"/>
                  <w:color w:val="0000FF"/>
                  <w:w w:val="92"/>
                </w:rPr>
                <w:t>Agreement dated as of October 11, 2019 between Altisource S.à r.l. and Kevin J. Wilcox (incorporated by reference to Exhibit 10.1 of the</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Company’s Form 10-Q filed on October 24, 2019)</w:t>
              </w:r>
            </w:hyperlink>
          </w:p>
        </w:tc>
        <w:tc>
          <w:tcPr>
            <w:tcW w:w="64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304"/>
        </w:trPr>
        <w:tc>
          <w:tcPr>
            <w:tcW w:w="1200" w:type="dxa"/>
            <w:vAlign w:val="bottom"/>
            <w:gridSpan w:val="3"/>
          </w:tcPr>
          <w:p>
            <w:pPr>
              <w:spacing w:after="0"/>
              <w:rPr>
                <w:rFonts w:ascii="Arial" w:cs="Arial" w:eastAsia="Arial" w:hAnsi="Arial"/>
                <w:sz w:val="18"/>
                <w:szCs w:val="18"/>
                <w:color w:val="0000FF"/>
              </w:rPr>
            </w:pPr>
            <w:hyperlink r:id="rId203">
              <w:r>
                <w:rPr>
                  <w:rFonts w:ascii="Arial" w:cs="Arial" w:eastAsia="Arial" w:hAnsi="Arial"/>
                  <w:sz w:val="18"/>
                  <w:szCs w:val="18"/>
                  <w:color w:val="0000FF"/>
                </w:rPr>
                <w:t>10.</w:t>
              </w:r>
              <w:r>
                <w:rPr>
                  <w:rFonts w:ascii="Arial" w:cs="Arial" w:eastAsia="Arial" w:hAnsi="Arial"/>
                  <w:sz w:val="18"/>
                  <w:szCs w:val="18"/>
                  <w:u w:val="single" w:color="auto"/>
                  <w:color w:val="0000FF"/>
                </w:rPr>
                <w:t>82</w:t>
              </w:r>
            </w:hyperlink>
          </w:p>
        </w:tc>
        <w:tc>
          <w:tcPr>
            <w:tcW w:w="10060" w:type="dxa"/>
            <w:vAlign w:val="bottom"/>
            <w:gridSpan w:val="15"/>
          </w:tcPr>
          <w:p>
            <w:pPr>
              <w:spacing w:after="0"/>
              <w:rPr>
                <w:rFonts w:ascii="Arial" w:cs="Arial" w:eastAsia="Arial" w:hAnsi="Arial"/>
                <w:sz w:val="18"/>
                <w:szCs w:val="18"/>
                <w:color w:val="0000FF"/>
                <w:w w:val="93"/>
              </w:rPr>
            </w:pPr>
            <w:hyperlink r:id="rId203">
              <w:r>
                <w:rPr>
                  <w:rFonts w:ascii="Arial" w:cs="Arial" w:eastAsia="Arial" w:hAnsi="Arial"/>
                  <w:sz w:val="18"/>
                  <w:szCs w:val="18"/>
                  <w:color w:val="0000FF"/>
                  <w:w w:val="93"/>
                </w:rPr>
                <w:t>Binding Term Sheet dated as of May 5, 2021 between Altisource S.à r.l., Ocwen Financial Corporation and and Ocwen USVI Services,</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03">
              <w:r>
                <w:rPr>
                  <w:rFonts w:ascii="Arial" w:cs="Arial" w:eastAsia="Arial" w:hAnsi="Arial"/>
                  <w:sz w:val="18"/>
                  <w:szCs w:val="18"/>
                  <w:color w:val="0000FF"/>
                  <w:w w:val="92"/>
                </w:rPr>
                <w:t>LLC (incorporated by reference to Exhibit 10.1 of the Company’s Form 10-Q filed on May10, 2021)</w:t>
              </w:r>
            </w:hyperlink>
          </w:p>
        </w:tc>
        <w:tc>
          <w:tcPr>
            <w:tcW w:w="27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04"/>
        </w:trPr>
        <w:tc>
          <w:tcPr>
            <w:tcW w:w="1200" w:type="dxa"/>
            <w:vAlign w:val="bottom"/>
            <w:gridSpan w:val="3"/>
          </w:tcPr>
          <w:p>
            <w:pPr>
              <w:spacing w:after="0"/>
              <w:rPr>
                <w:rFonts w:ascii="Arial" w:cs="Arial" w:eastAsia="Arial" w:hAnsi="Arial"/>
                <w:sz w:val="18"/>
                <w:szCs w:val="18"/>
                <w:color w:val="0000FF"/>
              </w:rPr>
            </w:pPr>
            <w:hyperlink r:id="rId204">
              <w:r>
                <w:rPr>
                  <w:rFonts w:ascii="Arial" w:cs="Arial" w:eastAsia="Arial" w:hAnsi="Arial"/>
                  <w:sz w:val="18"/>
                  <w:szCs w:val="18"/>
                  <w:color w:val="0000FF"/>
                </w:rPr>
                <w:t>10.</w:t>
              </w:r>
              <w:r>
                <w:rPr>
                  <w:rFonts w:ascii="Arial" w:cs="Arial" w:eastAsia="Arial" w:hAnsi="Arial"/>
                  <w:sz w:val="18"/>
                  <w:szCs w:val="18"/>
                  <w:u w:val="single" w:color="auto"/>
                  <w:color w:val="0000FF"/>
                </w:rPr>
                <w:t>83</w:t>
              </w:r>
            </w:hyperlink>
          </w:p>
        </w:tc>
        <w:tc>
          <w:tcPr>
            <w:tcW w:w="10060" w:type="dxa"/>
            <w:vAlign w:val="bottom"/>
            <w:gridSpan w:val="15"/>
          </w:tcPr>
          <w:p>
            <w:pPr>
              <w:spacing w:after="0"/>
              <w:rPr>
                <w:rFonts w:ascii="Arial" w:cs="Arial" w:eastAsia="Arial" w:hAnsi="Arial"/>
                <w:sz w:val="18"/>
                <w:szCs w:val="18"/>
                <w:color w:val="0000FF"/>
                <w:w w:val="94"/>
              </w:rPr>
            </w:pPr>
            <w:hyperlink r:id="rId204">
              <w:r>
                <w:rPr>
                  <w:rFonts w:ascii="Arial" w:cs="Arial" w:eastAsia="Arial" w:hAnsi="Arial"/>
                  <w:sz w:val="18"/>
                  <w:szCs w:val="18"/>
                  <w:color w:val="0000FF"/>
                  <w:w w:val="94"/>
                </w:rPr>
                <w:t>Settlement Agreement and Full Release dated as of April 28, 2021 between Marcello Mastioni and Altisource S.à r.l. (incorporated by</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04">
              <w:r>
                <w:rPr>
                  <w:rFonts w:ascii="Arial" w:cs="Arial" w:eastAsia="Arial" w:hAnsi="Arial"/>
                  <w:sz w:val="18"/>
                  <w:szCs w:val="18"/>
                  <w:color w:val="0000FF"/>
                  <w:w w:val="92"/>
                </w:rPr>
                <w:t>reference to Exhibit 10.2 of the Company’s Form 10-Q filed on May10, 2021)</w:t>
              </w:r>
            </w:hyperlink>
          </w:p>
        </w:tc>
        <w:tc>
          <w:tcPr>
            <w:tcW w:w="4360" w:type="dxa"/>
            <w:vAlign w:val="bottom"/>
            <w:tcBorders>
              <w:top w:val="single" w:sz="8" w:color="0000FF"/>
            </w:tcBorders>
            <w:gridSpan w:val="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04"/>
        </w:trPr>
        <w:tc>
          <w:tcPr>
            <w:tcW w:w="1200" w:type="dxa"/>
            <w:vAlign w:val="bottom"/>
            <w:gridSpan w:val="3"/>
          </w:tcPr>
          <w:p>
            <w:pPr>
              <w:spacing w:after="0"/>
              <w:rPr>
                <w:rFonts w:ascii="Arial" w:cs="Arial" w:eastAsia="Arial" w:hAnsi="Arial"/>
                <w:sz w:val="18"/>
                <w:szCs w:val="18"/>
                <w:color w:val="0000FF"/>
              </w:rPr>
            </w:pPr>
            <w:hyperlink r:id="rId205">
              <w:r>
                <w:rPr>
                  <w:rFonts w:ascii="Arial" w:cs="Arial" w:eastAsia="Arial" w:hAnsi="Arial"/>
                  <w:sz w:val="18"/>
                  <w:szCs w:val="18"/>
                  <w:color w:val="0000FF"/>
                </w:rPr>
                <w:t>10.</w:t>
              </w:r>
              <w:r>
                <w:rPr>
                  <w:rFonts w:ascii="Arial" w:cs="Arial" w:eastAsia="Arial" w:hAnsi="Arial"/>
                  <w:sz w:val="18"/>
                  <w:szCs w:val="18"/>
                  <w:u w:val="single" w:color="auto"/>
                  <w:color w:val="0000FF"/>
                </w:rPr>
                <w:t>84</w:t>
              </w:r>
            </w:hyperlink>
          </w:p>
        </w:tc>
        <w:tc>
          <w:tcPr>
            <w:tcW w:w="10060" w:type="dxa"/>
            <w:vAlign w:val="bottom"/>
            <w:gridSpan w:val="15"/>
          </w:tcPr>
          <w:p>
            <w:pPr>
              <w:spacing w:after="0"/>
              <w:rPr>
                <w:rFonts w:ascii="Arial" w:cs="Arial" w:eastAsia="Arial" w:hAnsi="Arial"/>
                <w:sz w:val="18"/>
                <w:szCs w:val="18"/>
                <w:color w:val="0000FF"/>
                <w:w w:val="96"/>
              </w:rPr>
            </w:pPr>
            <w:hyperlink r:id="rId205">
              <w:r>
                <w:rPr>
                  <w:rFonts w:ascii="Arial" w:cs="Arial" w:eastAsia="Arial" w:hAnsi="Arial"/>
                  <w:sz w:val="18"/>
                  <w:szCs w:val="18"/>
                  <w:color w:val="0000FF"/>
                  <w:w w:val="96"/>
                </w:rPr>
                <w:t>Post-Separation Covenant Agreement dated as of April 28, 2021 between Marcello Mastioni and Altisource S.à r.l. (incorporated by</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6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205">
              <w:r>
                <w:rPr>
                  <w:rFonts w:ascii="Arial" w:cs="Arial" w:eastAsia="Arial" w:hAnsi="Arial"/>
                  <w:sz w:val="18"/>
                  <w:szCs w:val="18"/>
                  <w:color w:val="0000FF"/>
                  <w:w w:val="91"/>
                </w:rPr>
                <w:t>reference to Exhibit 10.3 of the Company’s Form 10-Q filed on May10, 2021)</w:t>
              </w:r>
            </w:hyperlink>
          </w:p>
        </w:tc>
        <w:tc>
          <w:tcPr>
            <w:tcW w:w="43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1200" w:type="dxa"/>
            <w:vAlign w:val="bottom"/>
            <w:gridSpan w:val="3"/>
          </w:tcPr>
          <w:p>
            <w:pPr>
              <w:spacing w:after="0"/>
              <w:rPr>
                <w:rFonts w:ascii="Arial" w:cs="Arial" w:eastAsia="Arial" w:hAnsi="Arial"/>
                <w:sz w:val="18"/>
                <w:szCs w:val="18"/>
                <w:color w:val="0000FF"/>
              </w:rPr>
            </w:pPr>
            <w:hyperlink r:id="rId206">
              <w:r>
                <w:rPr>
                  <w:rFonts w:ascii="Arial" w:cs="Arial" w:eastAsia="Arial" w:hAnsi="Arial"/>
                  <w:sz w:val="18"/>
                  <w:szCs w:val="18"/>
                  <w:color w:val="0000FF"/>
                </w:rPr>
                <w:t>10.</w:t>
              </w:r>
              <w:r>
                <w:rPr>
                  <w:rFonts w:ascii="Arial" w:cs="Arial" w:eastAsia="Arial" w:hAnsi="Arial"/>
                  <w:sz w:val="18"/>
                  <w:szCs w:val="18"/>
                  <w:u w:val="single" w:color="auto"/>
                  <w:color w:val="0000FF"/>
                </w:rPr>
                <w:t>85</w:t>
              </w:r>
            </w:hyperlink>
          </w:p>
        </w:tc>
        <w:tc>
          <w:tcPr>
            <w:tcW w:w="10060" w:type="dxa"/>
            <w:vAlign w:val="bottom"/>
            <w:gridSpan w:val="15"/>
          </w:tcPr>
          <w:p>
            <w:pPr>
              <w:spacing w:after="0"/>
              <w:rPr>
                <w:rFonts w:ascii="Arial" w:cs="Arial" w:eastAsia="Arial" w:hAnsi="Arial"/>
                <w:sz w:val="18"/>
                <w:szCs w:val="18"/>
                <w:color w:val="0000FF"/>
                <w:w w:val="91"/>
              </w:rPr>
            </w:pPr>
            <w:hyperlink r:id="rId206">
              <w:r>
                <w:rPr>
                  <w:rFonts w:ascii="Arial" w:cs="Arial" w:eastAsia="Arial" w:hAnsi="Arial"/>
                  <w:sz w:val="18"/>
                  <w:szCs w:val="18"/>
                  <w:color w:val="0000FF"/>
                  <w:w w:val="91"/>
                </w:rPr>
                <w:t>Credit Agreement, dated June 22, 2021 among Altisource S.à r.l. and STS Master Fund, Ltd. (incorporated by reference to Exhibit 10.1 of</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the Company’s Form 8-K filed on July 23, 2021)</w:t>
              </w:r>
            </w:hyperlink>
          </w:p>
        </w:tc>
        <w:tc>
          <w:tcPr>
            <w:tcW w:w="6440" w:type="dxa"/>
            <w:vAlign w:val="bottom"/>
            <w:tcBorders>
              <w:top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04"/>
        </w:trPr>
        <w:tc>
          <w:tcPr>
            <w:tcW w:w="1200" w:type="dxa"/>
            <w:vAlign w:val="bottom"/>
            <w:gridSpan w:val="3"/>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21.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Subsidiaries of the Registrant.</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4"/>
        </w:trPr>
        <w:tc>
          <w:tcPr>
            <w:tcW w:w="1200" w:type="dxa"/>
            <w:vAlign w:val="bottom"/>
            <w:gridSpan w:val="3"/>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23.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Consent of Independent Registered Public Accounting Firm (Mayer Hoffman McCann P.C.).</w:t>
              </w:r>
            </w:hyperlink>
          </w:p>
        </w:tc>
      </w:tr>
      <w:tr>
        <w:trPr>
          <w:trHeight w:val="20"/>
        </w:trPr>
        <w:tc>
          <w:tcPr>
            <w:tcW w:w="1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00" w:type="dxa"/>
            <w:vAlign w:val="bottom"/>
            <w:gridSpan w:val="3"/>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Section 302 Certification of the Chief Executive Officer pursuant to Exchange Act Rule 13a-14(a).</w:t>
              </w:r>
            </w:hyperlink>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6"/>
            <w:shd w:val="clear" w:color="auto" w:fill="0000FF"/>
          </w:tcPr>
          <w:p>
            <w:pPr>
              <w:spacing w:after="0" w:line="20" w:lineRule="exact"/>
              <w:rPr>
                <w:sz w:val="1"/>
                <w:szCs w:val="1"/>
                <w:color w:val="auto"/>
              </w:rPr>
            </w:pPr>
          </w:p>
        </w:tc>
        <w:tc>
          <w:tcPr>
            <w:tcW w:w="244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4"/>
        </w:trPr>
        <w:tc>
          <w:tcPr>
            <w:tcW w:w="1200" w:type="dxa"/>
            <w:vAlign w:val="bottom"/>
            <w:gridSpan w:val="3"/>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Section 302 Certification of the Chief Financial Officer pursuant to Exchange Act Rule 13a-14(a).</w:t>
              </w:r>
            </w:hyperlink>
          </w:p>
        </w:tc>
      </w:tr>
      <w:tr>
        <w:trPr>
          <w:trHeight w:val="20"/>
        </w:trPr>
        <w:tc>
          <w:tcPr>
            <w:tcW w:w="1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6"/>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00" w:type="dxa"/>
            <w:vAlign w:val="bottom"/>
            <w:gridSpan w:val="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60" w:type="dxa"/>
            <w:vAlign w:val="bottom"/>
            <w:gridSpan w:val="15"/>
          </w:tcPr>
          <w:p>
            <w:pPr>
              <w:spacing w:after="0"/>
              <w:rPr>
                <w:rFonts w:ascii="Arial" w:cs="Arial" w:eastAsia="Arial" w:hAnsi="Arial"/>
                <w:sz w:val="18"/>
                <w:szCs w:val="18"/>
                <w:color w:val="0000FF"/>
                <w:w w:val="97"/>
              </w:rPr>
            </w:pPr>
            <w:hyperlink w:anchor="page93">
              <w:r>
                <w:rPr>
                  <w:rFonts w:ascii="Arial" w:cs="Arial" w:eastAsia="Arial" w:hAnsi="Arial"/>
                  <w:sz w:val="18"/>
                  <w:szCs w:val="18"/>
                  <w:color w:val="0000FF"/>
                  <w:w w:val="97"/>
                </w:rPr>
                <w:t>Certification of the Chief Executive Officer and Chief Financial Officer pursuant to Section 906 of the Sarbanes-Oxley Act of 2002.</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8"/>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50"/>
        </w:trPr>
        <w:tc>
          <w:tcPr>
            <w:tcW w:w="420" w:type="dxa"/>
            <w:vAlign w:val="bottom"/>
            <w:gridSpan w:val="2"/>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1"/>
                <w:szCs w:val="21"/>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w w:val="95"/>
              </w:rPr>
              <w:t>Pursuant to Rule 405 of Regulation S-T, the following financial information from the Company’s Annual Report on Form 10-K for the</w:t>
            </w: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60" w:type="dxa"/>
            <w:vAlign w:val="bottom"/>
            <w:gridSpan w:val="15"/>
          </w:tcPr>
          <w:p>
            <w:pPr>
              <w:spacing w:after="0" w:line="176" w:lineRule="exact"/>
              <w:rPr>
                <w:sz w:val="20"/>
                <w:szCs w:val="20"/>
                <w:color w:val="auto"/>
              </w:rPr>
            </w:pPr>
            <w:r>
              <w:rPr>
                <w:rFonts w:ascii="Arial" w:cs="Arial" w:eastAsia="Arial" w:hAnsi="Arial"/>
                <w:sz w:val="18"/>
                <w:szCs w:val="18"/>
                <w:color w:val="auto"/>
                <w:w w:val="94"/>
              </w:rPr>
              <w:t>year ended December 31, 2021 is formatted in Inline XBRL interactive data files: (i) Consolidated Balance Sheets as of December 31,</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60" w:type="dxa"/>
            <w:vAlign w:val="bottom"/>
            <w:gridSpan w:val="15"/>
          </w:tcPr>
          <w:p>
            <w:pPr>
              <w:spacing w:after="0" w:line="176" w:lineRule="exact"/>
              <w:rPr>
                <w:sz w:val="20"/>
                <w:szCs w:val="20"/>
                <w:color w:val="auto"/>
              </w:rPr>
            </w:pPr>
            <w:r>
              <w:rPr>
                <w:rFonts w:ascii="Arial" w:cs="Arial" w:eastAsia="Arial" w:hAnsi="Arial"/>
                <w:sz w:val="18"/>
                <w:szCs w:val="18"/>
                <w:color w:val="auto"/>
                <w:w w:val="92"/>
              </w:rPr>
              <w:t>2021 and December 31, 2020; (ii) Consolidated Statements of Operations and Comprehensive Income (Loss) for each of the years in the</w:t>
            </w: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60" w:type="dxa"/>
            <w:vAlign w:val="bottom"/>
            <w:gridSpan w:val="15"/>
          </w:tcPr>
          <w:p>
            <w:pPr>
              <w:spacing w:after="0" w:line="176" w:lineRule="exact"/>
              <w:rPr>
                <w:sz w:val="20"/>
                <w:szCs w:val="20"/>
                <w:color w:val="auto"/>
              </w:rPr>
            </w:pPr>
            <w:r>
              <w:rPr>
                <w:rFonts w:ascii="Arial" w:cs="Arial" w:eastAsia="Arial" w:hAnsi="Arial"/>
                <w:sz w:val="18"/>
                <w:szCs w:val="18"/>
                <w:color w:val="auto"/>
                <w:w w:val="94"/>
              </w:rPr>
              <w:t>two-year period ended December 31, 2021; (iii) Consolidated Statements of Equity for each of the years in the two-year period ended</w:t>
            </w:r>
          </w:p>
        </w:tc>
      </w:tr>
      <w:tr>
        <w:trPr>
          <w:trHeight w:val="175"/>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60" w:type="dxa"/>
            <w:vAlign w:val="bottom"/>
            <w:gridSpan w:val="15"/>
          </w:tcPr>
          <w:p>
            <w:pPr>
              <w:spacing w:after="0" w:line="176" w:lineRule="exact"/>
              <w:rPr>
                <w:sz w:val="20"/>
                <w:szCs w:val="20"/>
                <w:color w:val="auto"/>
              </w:rPr>
            </w:pPr>
            <w:r>
              <w:rPr>
                <w:rFonts w:ascii="Arial" w:cs="Arial" w:eastAsia="Arial" w:hAnsi="Arial"/>
                <w:sz w:val="18"/>
                <w:szCs w:val="18"/>
                <w:color w:val="auto"/>
                <w:w w:val="92"/>
              </w:rPr>
              <w:t>December 31, 2021 (iv) Consolidated Statements of Cash Flows for each of the years in the two-year period ended December 31, 2021;</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(v) Notes to Consolidated Financial Statements; and (vi) Financial Statement Schedule.</w:t>
            </w:r>
          </w:p>
        </w:tc>
      </w:tr>
      <w:tr>
        <w:trPr>
          <w:trHeight w:val="283"/>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06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44" w:lineRule="exact"/>
        <w:rPr>
          <w:sz w:val="20"/>
          <w:szCs w:val="20"/>
          <w:color w:val="auto"/>
        </w:rPr>
      </w:pPr>
    </w:p>
    <w:p>
      <w:pPr>
        <w:ind w:left="1160" w:hanging="1134"/>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160" w:hanging="1134"/>
        <w:spacing w:after="0" w:line="23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54" w:lineRule="exact"/>
        <w:rPr>
          <w:sz w:val="20"/>
          <w:szCs w:val="20"/>
          <w:color w:val="auto"/>
        </w:rPr>
      </w:pPr>
    </w:p>
    <w:p>
      <w:pPr>
        <w:ind w:left="1160" w:hanging="1134"/>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8"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Altisource Portfolio Solutions S.A.</w:t>
      </w:r>
    </w:p>
    <w:p>
      <w:pPr>
        <w:spacing w:after="0" w:line="283" w:lineRule="exact"/>
        <w:rPr>
          <w:sz w:val="20"/>
          <w:szCs w:val="20"/>
          <w:color w:val="auto"/>
        </w:rPr>
      </w:pPr>
    </w:p>
    <w:p>
      <w:pPr>
        <w:ind w:left="6500"/>
        <w:spacing w:after="0"/>
        <w:tabs>
          <w:tab w:leader="none" w:pos="6940" w:val="left"/>
        </w:tabs>
        <w:rPr>
          <w:sz w:val="20"/>
          <w:szCs w:val="20"/>
          <w:color w:val="auto"/>
        </w:rPr>
      </w:pPr>
      <w:r>
        <w:rPr>
          <w:rFonts w:ascii="Arial" w:cs="Arial" w:eastAsia="Arial" w:hAnsi="Arial"/>
          <w:sz w:val="18"/>
          <w:szCs w:val="18"/>
          <w:color w:val="auto"/>
        </w:rPr>
        <w:t>By:</w:t>
        <w:tab/>
        <w:t>/s/ William B. Shepro</w:t>
      </w:r>
    </w:p>
    <w:p>
      <w:pPr>
        <w:spacing w:after="0" w:line="23" w:lineRule="exact"/>
        <w:rPr>
          <w:sz w:val="20"/>
          <w:szCs w:val="20"/>
          <w:color w:val="auto"/>
        </w:rPr>
      </w:pPr>
    </w:p>
    <w:tbl>
      <w:tblPr>
        <w:tblLayout w:type="fixed"/>
        <w:tblInd w:w="650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William B. Shepro</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14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474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222"/>
        </w:trPr>
        <w:tc>
          <w:tcPr>
            <w:tcW w:w="440" w:type="dxa"/>
            <w:vAlign w:val="bottom"/>
          </w:tcPr>
          <w:p>
            <w:pPr>
              <w:spacing w:after="0"/>
              <w:rPr>
                <w:sz w:val="19"/>
                <w:szCs w:val="19"/>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Michelle D. Esterman</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Title:</w:t>
            </w:r>
          </w:p>
        </w:tc>
        <w:tc>
          <w:tcPr>
            <w:tcW w:w="36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176"/>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140"/>
              <w:spacing w:after="0" w:line="176" w:lineRule="exact"/>
              <w:rPr>
                <w:sz w:val="20"/>
                <w:szCs w:val="20"/>
                <w:color w:val="auto"/>
              </w:rPr>
            </w:pPr>
            <w:r>
              <w:rPr>
                <w:rFonts w:ascii="Arial" w:cs="Arial" w:eastAsia="Arial" w:hAnsi="Arial"/>
                <w:sz w:val="18"/>
                <w:szCs w:val="18"/>
                <w:color w:val="auto"/>
              </w:rPr>
              <w:t>(Principal Financial Officer and Principal</w:t>
            </w:r>
          </w:p>
        </w:tc>
      </w:tr>
      <w:tr>
        <w:trPr>
          <w:trHeight w:val="230"/>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Arial" w:cs="Arial" w:eastAsia="Arial" w:hAnsi="Arial"/>
                <w:sz w:val="18"/>
                <w:szCs w:val="18"/>
                <w:color w:val="auto"/>
              </w:rPr>
              <w:t>Accounting Officer)</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6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7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Chairman and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 w:type="dxa"/>
            <w:vAlign w:val="bottom"/>
          </w:tcPr>
          <w:p>
            <w:pPr>
              <w:spacing w:after="0"/>
              <w:rPr>
                <w:sz w:val="19"/>
                <w:szCs w:val="19"/>
                <w:color w:val="auto"/>
              </w:rPr>
            </w:pPr>
          </w:p>
        </w:tc>
        <w:tc>
          <w:tcPr>
            <w:tcW w:w="6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L. Morettini</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Joseph L. Morettini</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Roland Müller-Ineichen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Roland Müller-Ineichen</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2720" w:type="dxa"/>
            <w:vAlign w:val="bottom"/>
          </w:tcPr>
          <w:p>
            <w:pPr>
              <w:ind w:left="20"/>
              <w:spacing w:after="0"/>
              <w:rPr>
                <w:sz w:val="20"/>
                <w:szCs w:val="20"/>
                <w:color w:val="auto"/>
              </w:rPr>
            </w:pPr>
            <w:r>
              <w:rPr>
                <w:rFonts w:ascii="Arial" w:cs="Arial" w:eastAsia="Arial" w:hAnsi="Arial"/>
                <w:sz w:val="18"/>
                <w:szCs w:val="18"/>
                <w:color w:val="auto"/>
              </w:rPr>
              <w:t>Michelle D. Esterman</w:t>
            </w:r>
          </w:p>
        </w:tc>
        <w:tc>
          <w:tcPr>
            <w:tcW w:w="100" w:type="dxa"/>
            <w:vAlign w:val="bottom"/>
          </w:tcPr>
          <w:p>
            <w:pPr>
              <w:spacing w:after="0"/>
              <w:rPr>
                <w:sz w:val="19"/>
                <w:szCs w:val="19"/>
                <w:color w:val="auto"/>
              </w:rPr>
            </w:pPr>
          </w:p>
        </w:tc>
        <w:tc>
          <w:tcPr>
            <w:tcW w:w="64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LIST OF 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subsidiaries of Altisource Portfolio Solutions S.A. as of December 31, 2021 and the jurisdictions in which they are organized.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ind w:left="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9220" w:type="dxa"/>
            <w:vAlign w:val="bottom"/>
            <w:gridSpan w:val="2"/>
            <w:vMerge w:val="continue"/>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or organization</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Absotech Solutions Private Limited</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Access CA,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Asia Holdings Ltd. I</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Business Solutions Private Limited</w:t>
            </w:r>
          </w:p>
        </w:tc>
        <w:tc>
          <w:tcPr>
            <w:tcW w:w="196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Business Solutions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Fulfillment Operations,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Holdings,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Mortgage Solutions S.à r.l.</w:t>
            </w:r>
          </w:p>
        </w:tc>
        <w:tc>
          <w:tcPr>
            <w:tcW w:w="196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Online Auction,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Outsourcing Solutions S.R.L.</w:t>
            </w:r>
          </w:p>
        </w:tc>
        <w:tc>
          <w:tcPr>
            <w:tcW w:w="1960" w:type="dxa"/>
            <w:vAlign w:val="bottom"/>
          </w:tcPr>
          <w:p>
            <w:pPr>
              <w:spacing w:after="0"/>
              <w:rPr>
                <w:sz w:val="20"/>
                <w:szCs w:val="20"/>
                <w:color w:val="auto"/>
              </w:rPr>
            </w:pPr>
            <w:r>
              <w:rPr>
                <w:rFonts w:ascii="Arial" w:cs="Arial" w:eastAsia="Arial" w:hAnsi="Arial"/>
                <w:sz w:val="18"/>
                <w:szCs w:val="18"/>
                <w:color w:val="auto"/>
              </w:rPr>
              <w:t>Uruguay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Portfolio Solutions,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Real Estate Web Portal S.à r.l.</w:t>
            </w:r>
          </w:p>
        </w:tc>
        <w:tc>
          <w:tcPr>
            <w:tcW w:w="196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S.à r.l.</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Solutions B.V.</w:t>
            </w:r>
          </w:p>
        </w:tc>
        <w:tc>
          <w:tcPr>
            <w:tcW w:w="196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Solutions,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Altisource Technology Solutions S.à r.l.</w:t>
            </w:r>
          </w:p>
        </w:tc>
        <w:tc>
          <w:tcPr>
            <w:tcW w:w="196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Altisource US Data,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Association of Certified Mortgage Originators Risk Retention Group, Inc.</w:t>
            </w:r>
          </w:p>
        </w:tc>
        <w:tc>
          <w:tcPr>
            <w:tcW w:w="196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Association of Certified Originators</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Beltline Road Insurance Agency, Inc.</w:t>
            </w:r>
          </w:p>
        </w:tc>
        <w:tc>
          <w:tcPr>
            <w:tcW w:w="1960" w:type="dxa"/>
            <w:vAlign w:val="bottom"/>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Best Partners Mortgage Cooperative,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CastleLine Re, Inc.</w:t>
            </w:r>
          </w:p>
        </w:tc>
        <w:tc>
          <w:tcPr>
            <w:tcW w:w="196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CastleLine Risk and Insurance Services,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Coolsol Solutions Private Limited</w:t>
            </w:r>
          </w:p>
        </w:tc>
        <w:tc>
          <w:tcPr>
            <w:tcW w:w="1960" w:type="dxa"/>
            <w:vAlign w:val="bottom"/>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Correspondent One,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Equator, LLC</w:t>
            </w:r>
          </w:p>
        </w:tc>
        <w:tc>
          <w:tcPr>
            <w:tcW w:w="196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Hubzu USA,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MPA Title Agency, LLC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MPA Title Insurance Agency - UT,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MPA Title of California, LLC</w:t>
            </w:r>
          </w:p>
        </w:tc>
        <w:tc>
          <w:tcPr>
            <w:tcW w:w="196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MPA Title of Texas,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MPA Title Services, LLC</w:t>
            </w:r>
          </w:p>
        </w:tc>
        <w:tc>
          <w:tcPr>
            <w:tcW w:w="1960" w:type="dxa"/>
            <w:vAlign w:val="bottom"/>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MPA Valuations,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Power Default Services,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Agency,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Premium Title Insurance Agency - UT, Inc.</w:t>
            </w:r>
          </w:p>
        </w:tc>
        <w:tc>
          <w:tcPr>
            <w:tcW w:w="1960" w:type="dxa"/>
            <w:vAlign w:val="bottom"/>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of California,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FL,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IL,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Indiana,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MD,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MN,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MO,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Premium Title Services - NY,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 VA,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97"/>
        </w:trPr>
        <w:tc>
          <w:tcPr>
            <w:tcW w:w="9100" w:type="dxa"/>
            <w:vAlign w:val="bottom"/>
            <w:gridSpan w:val="2"/>
          </w:tcPr>
          <w:p>
            <w:pPr>
              <w:jc w:val="right"/>
              <w:ind w:right="5590"/>
              <w:spacing w:after="0"/>
              <w:rPr>
                <w:sz w:val="20"/>
                <w:szCs w:val="20"/>
                <w:color w:val="auto"/>
              </w:rPr>
            </w:pPr>
            <w:r>
              <w:rPr>
                <w:rFonts w:ascii="Arial" w:cs="Arial" w:eastAsia="Arial" w:hAnsi="Arial"/>
                <w:sz w:val="18"/>
                <w:szCs w:val="18"/>
                <w:color w:val="auto"/>
                <w:w w:val="89"/>
              </w:rPr>
              <w:t>______________________________________</w:t>
            </w: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60" w:right="160" w:hanging="252"/>
        <w:spacing w:after="0" w:line="227" w:lineRule="auto"/>
        <w:tabs>
          <w:tab w:leader="none" w:pos="192"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Best Partners Mortgage Cooperative, Inc. is a mortgage products cooperative owned by its members and managed by The Mortgage Partnership of America, L.L.C.</w:t>
      </w:r>
    </w:p>
    <w:p>
      <w:pPr>
        <w:sectPr>
          <w:pgSz w:w="11900" w:h="16838" w:orient="portrait"/>
          <w:cols w:equalWidth="0" w:num="1">
            <w:col w:w="11240"/>
          </w:cols>
          <w:pgMar w:left="320" w:top="89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ind w:left="80"/>
              <w:spacing w:after="0"/>
              <w:rPr>
                <w:sz w:val="20"/>
                <w:szCs w:val="20"/>
                <w:color w:val="auto"/>
              </w:rPr>
            </w:pPr>
            <w:r>
              <w:rPr>
                <w:rFonts w:ascii="Arial" w:cs="Arial" w:eastAsia="Arial" w:hAnsi="Arial"/>
                <w:sz w:val="14"/>
                <w:szCs w:val="14"/>
                <w:b w:val="1"/>
                <w:bCs w:val="1"/>
                <w:color w:val="auto"/>
                <w:w w:val="97"/>
              </w:rPr>
              <w:t>Jurisdiction of incorporation</w:t>
            </w:r>
          </w:p>
        </w:tc>
        <w:tc>
          <w:tcPr>
            <w:tcW w:w="0" w:type="dxa"/>
            <w:vAlign w:val="bottom"/>
          </w:tcPr>
          <w:p>
            <w:pPr>
              <w:spacing w:after="0"/>
              <w:rPr>
                <w:sz w:val="1"/>
                <w:szCs w:val="1"/>
                <w:color w:val="auto"/>
              </w:rPr>
            </w:pPr>
          </w:p>
        </w:tc>
      </w:tr>
      <w:tr>
        <w:trPr>
          <w:trHeight w:val="188"/>
        </w:trPr>
        <w:tc>
          <w:tcPr>
            <w:tcW w:w="9220" w:type="dxa"/>
            <w:vAlign w:val="bottom"/>
            <w:gridSpan w:val="2"/>
            <w:vMerge w:val="continue"/>
          </w:tcPr>
          <w:p>
            <w:pPr>
              <w:spacing w:after="0"/>
              <w:rPr>
                <w:sz w:val="16"/>
                <w:szCs w:val="16"/>
                <w:color w:val="auto"/>
              </w:rPr>
            </w:pPr>
          </w:p>
        </w:tc>
        <w:tc>
          <w:tcPr>
            <w:tcW w:w="1960" w:type="dxa"/>
            <w:vAlign w:val="bottom"/>
          </w:tcPr>
          <w:p>
            <w:pPr>
              <w:ind w:left="500"/>
              <w:spacing w:after="0"/>
              <w:rPr>
                <w:sz w:val="20"/>
                <w:szCs w:val="20"/>
                <w:color w:val="auto"/>
              </w:rPr>
            </w:pPr>
            <w:r>
              <w:rPr>
                <w:rFonts w:ascii="Arial" w:cs="Arial" w:eastAsia="Arial" w:hAnsi="Arial"/>
                <w:sz w:val="14"/>
                <w:szCs w:val="14"/>
                <w:b w:val="1"/>
                <w:bCs w:val="1"/>
                <w:color w:val="auto"/>
              </w:rPr>
              <w:t>or organization</w:t>
            </w:r>
          </w:p>
        </w:tc>
        <w:tc>
          <w:tcPr>
            <w:tcW w:w="0" w:type="dxa"/>
            <w:vAlign w:val="bottom"/>
          </w:tcPr>
          <w:p>
            <w:pPr>
              <w:spacing w:after="0"/>
              <w:rPr>
                <w:sz w:val="1"/>
                <w:szCs w:val="1"/>
                <w:color w:val="auto"/>
              </w:rPr>
            </w:pPr>
          </w:p>
        </w:tc>
      </w:tr>
      <w:tr>
        <w:trPr>
          <w:trHeight w:val="238"/>
        </w:trPr>
        <w:tc>
          <w:tcPr>
            <w:tcW w:w="90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Title Services,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PTS – Escrow,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PTS – Texas Title,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REALHome Services and Solutions – CT, Inc.</w:t>
            </w:r>
          </w:p>
        </w:tc>
        <w:tc>
          <w:tcPr>
            <w:tcW w:w="1960" w:type="dxa"/>
            <w:vAlign w:val="bottom"/>
          </w:tcPr>
          <w:p>
            <w:pPr>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REALHome Services and Solutions,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Sparrow Portfolio Solutions,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Sparrow Mauritius Ltd.</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Sparrow US Holdings, LLC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Sparrow US Solutions,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Springhouse, LLC</w:t>
            </w:r>
          </w:p>
        </w:tc>
        <w:tc>
          <w:tcPr>
            <w:tcW w:w="1960" w:type="dxa"/>
            <w:vAlign w:val="bottom"/>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Mortgage Partnership of America,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Arizona, Inc.</w:t>
            </w:r>
          </w:p>
        </w:tc>
        <w:tc>
          <w:tcPr>
            <w:tcW w:w="19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 Nevada,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Tennessee, Inc.</w:t>
            </w:r>
          </w:p>
        </w:tc>
        <w:tc>
          <w:tcPr>
            <w:tcW w:w="1960" w:type="dxa"/>
            <w:vAlign w:val="bottom"/>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 Utah, Inc.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 Washington, Inc.</w:t>
            </w:r>
          </w:p>
        </w:tc>
        <w:tc>
          <w:tcPr>
            <w:tcW w:w="1960" w:type="dxa"/>
            <w:vAlign w:val="bottom"/>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Western Progressive Trustee, LLC</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Western Progressive Virginia, Inc.</w:t>
            </w:r>
          </w:p>
        </w:tc>
        <w:tc>
          <w:tcPr>
            <w:tcW w:w="1960" w:type="dxa"/>
            <w:vAlign w:val="bottom"/>
          </w:tcPr>
          <w:p>
            <w:pPr>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05" w:right="3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 333-161175 on Form S-8 of our reports dated March 3, 2022, relating to the consolidated financial statements and valuation and qualifying accounts schedule of Altisource Portfolio Solutions S.A. and subsidiaries (the “Company”) (which report expresses an unqualified opinion on the consolidated financial statements and an emphasis of matter paragraph related to concentration of revenue and uncertainties), and our report dated March 3, 2022, relating to internal control over financial reporting (which report expresses an unqualified opinion on the effectiveness of the Company’s internal control over financial reporting) appearing in this Annual Report on Form 10-K of the Company for the year ended December 31, 2021.</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Mayer Hoffman McCann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199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8">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 Petersburg, Florida</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March 3, 2022</w:t>
            </w:r>
          </w:p>
        </w:tc>
        <w:tc>
          <w:tcPr>
            <w:tcW w:w="262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r>
      <w:tr>
        <w:trPr>
          <w:trHeight w:val="222"/>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William B. Shepro</w:t>
            </w:r>
          </w:p>
        </w:tc>
      </w:tr>
      <w:tr>
        <w:trPr>
          <w:trHeight w:val="230"/>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ending December 31, 2021 of Altisource Portfolio Solutions S.A.;</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March 3, 2022</w:t>
            </w:r>
          </w:p>
        </w:tc>
        <w:tc>
          <w:tcPr>
            <w:tcW w:w="262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4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4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900" w:right="2020" w:hanging="535"/>
        <w:spacing w:after="0" w:line="261"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w:t>
      </w:r>
    </w:p>
    <w:p>
      <w:pPr>
        <w:jc w:val="center"/>
        <w:spacing w:after="0" w:line="255" w:lineRule="auto"/>
        <w:rPr>
          <w:sz w:val="20"/>
          <w:szCs w:val="20"/>
          <w:color w:val="auto"/>
        </w:rPr>
      </w:pPr>
      <w:r>
        <w:rPr>
          <w:rFonts w:ascii="Arial" w:cs="Arial" w:eastAsia="Arial" w:hAnsi="Arial"/>
          <w:sz w:val="18"/>
          <w:szCs w:val="18"/>
          <w:b w:val="1"/>
          <w:bCs w:val="1"/>
          <w:color w:val="auto"/>
        </w:rPr>
        <w:t>ACCOMPANYING ANNUAL REPORT ON FORM 10-K OF ALTISOURCE PORTFOLIO SOLUTIONS S.A. FOR THE YEAR ENDED DECEMBER 31, 2021</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2021,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65" w:lineRule="exact"/>
        <w:rPr>
          <w:sz w:val="20"/>
          <w:szCs w:val="20"/>
          <w:color w:val="auto"/>
        </w:rPr>
      </w:pPr>
    </w:p>
    <w:p>
      <w:pPr>
        <w:ind w:left="720" w:hanging="388"/>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36" w:lineRule="exact"/>
        <w:rPr>
          <w:rFonts w:ascii="Arial" w:cs="Arial" w:eastAsia="Arial" w:hAnsi="Arial"/>
          <w:sz w:val="17"/>
          <w:szCs w:val="17"/>
          <w:color w:val="auto"/>
        </w:rPr>
      </w:pPr>
    </w:p>
    <w:p>
      <w:pPr>
        <w:ind w:left="720" w:hanging="388"/>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52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5"/>
                <w:szCs w:val="15"/>
                <w:color w:val="auto"/>
              </w:rPr>
            </w:pPr>
          </w:p>
        </w:tc>
        <w:tc>
          <w:tcPr>
            <w:tcW w:w="494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29"/>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40" w:type="dxa"/>
            <w:vAlign w:val="bottom"/>
          </w:tcPr>
          <w:p>
            <w:pPr>
              <w:ind w:left="6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March 3, 2022</w:t>
            </w:r>
          </w:p>
        </w:tc>
        <w:tc>
          <w:tcPr>
            <w:tcW w:w="1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March 3, 2022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lvl w:ilvl="1">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57" Type="http://schemas.openxmlformats.org/officeDocument/2006/relationships/image" Target="media/image101.png"/><Relationship Id="rId158" Type="http://schemas.openxmlformats.org/officeDocument/2006/relationships/image" Target="media/image102.png"/><Relationship Id="rId179" Type="http://schemas.openxmlformats.org/officeDocument/2006/relationships/image" Target="media/image103.png"/><Relationship Id="rId180"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7" Type="http://schemas.openxmlformats.org/officeDocument/2006/relationships/image" Target="media/image107.png"/><Relationship Id="rId208" Type="http://schemas.openxmlformats.org/officeDocument/2006/relationships/image" Target="media/image108.png"/><Relationship Id="rId104" Type="http://schemas.openxmlformats.org/officeDocument/2006/relationships/hyperlink" Target="http://www.sec.gov/Archives/edgar/data/1462418/000095012309018800/g19081a1exv2w1.htm" TargetMode="External"/><Relationship Id="rId105" Type="http://schemas.openxmlformats.org/officeDocument/2006/relationships/hyperlink" Target="http://www.sec.gov/Archives/edgar/data/1462418/000110465912086792/a12-30299_1ex2d1.htm" TargetMode="External"/><Relationship Id="rId106" Type="http://schemas.openxmlformats.org/officeDocument/2006/relationships/hyperlink" Target="http://www.sec.gov/Archives/edgar/data/1462418/000110465912086792/a12-30299_1ex2d2.htm" TargetMode="External"/><Relationship Id="rId107" Type="http://schemas.openxmlformats.org/officeDocument/2006/relationships/hyperlink" Target="http://www.sec.gov/Archives/edgar/data/1462418/000110465913027096/a13-9447_1ex2d1.htm" TargetMode="External"/><Relationship Id="rId108" Type="http://schemas.openxmlformats.org/officeDocument/2006/relationships/hyperlink" Target="http://www.sec.gov/Archives/edgar/data/1462418/000110465913065226/a13-18970_1ex2d1.htm" TargetMode="External"/><Relationship Id="rId109" Type="http://schemas.openxmlformats.org/officeDocument/2006/relationships/hyperlink" Target="https://www.sec.gov/Archives/edgar/data/0001462418/000146241821000038/ex21-spa.htm" TargetMode="External"/><Relationship Id="rId110" Type="http://schemas.openxmlformats.org/officeDocument/2006/relationships/hyperlink" Target="http://www.sec.gov/Archives/edgar/data/1462418/000146241817000026/asps-6302017ex31.htm" TargetMode="External"/><Relationship Id="rId111" Type="http://schemas.openxmlformats.org/officeDocument/2006/relationships/hyperlink" Target="https://www.sec.gov/Archives/edgar/data/1462418/000146241820000016/asps-12312019xex41.htm" TargetMode="External"/><Relationship Id="rId112" Type="http://schemas.openxmlformats.org/officeDocument/2006/relationships/hyperlink" Target="http://www.sec.gov/Archives/edgar/data/1462418/000095012309034795/g20198exv10w1.htm" TargetMode="External"/><Relationship Id="rId113" Type="http://schemas.openxmlformats.org/officeDocument/2006/relationships/hyperlink" Target="http://www.sec.gov/Archives/edgar/data/1462418/000095012309034795/g20198exv10w2.htm" TargetMode="External"/><Relationship Id="rId114" Type="http://schemas.openxmlformats.org/officeDocument/2006/relationships/hyperlink" Target="http://www.sec.gov/Archives/edgar/data/1462418/000095012309034795/g20198exv10w3.htm" TargetMode="External"/><Relationship Id="rId115" Type="http://schemas.openxmlformats.org/officeDocument/2006/relationships/hyperlink" Target="http://www.sec.gov/Archives/edgar/data/1462418/000095012309034795/g20198exv10w4.htm" TargetMode="External"/><Relationship Id="rId116" Type="http://schemas.openxmlformats.org/officeDocument/2006/relationships/hyperlink" Target="http://www.sec.gov/Archives/edgar/data/1462418/000095012309034795/g20198exv10w5.htm" TargetMode="External"/><Relationship Id="rId119" Type="http://schemas.openxmlformats.org/officeDocument/2006/relationships/hyperlink" Target="http://www.sec.gov/Archives/edgar/data/1462418/000095012309034795/g20198exv10w6.htm" TargetMode="External"/><Relationship Id="rId120" Type="http://schemas.openxmlformats.org/officeDocument/2006/relationships/hyperlink" Target="http://www.sec.gov/Archives/edgar/data/1462418/000095012309034795/g20198exv10w7.htm" TargetMode="External"/><Relationship Id="rId121" Type="http://schemas.openxmlformats.org/officeDocument/2006/relationships/hyperlink" Target="http://www.sec.gov/Archives/edgar/data/1462418/000095012309034795/g20198exv10w8.htm" TargetMode="External"/><Relationship Id="rId122" Type="http://schemas.openxmlformats.org/officeDocument/2006/relationships/hyperlink" Target="http://www.sec.gov/Archives/edgar/data/1462418/000095012309018800/g19081a1exv10w9.htm" TargetMode="External"/><Relationship Id="rId123" Type="http://schemas.openxmlformats.org/officeDocument/2006/relationships/hyperlink" Target="http://www.sec.gov/Archives/edgar/data/1462418/000095012309018800/g19081a1exv10w11.htm" TargetMode="External"/><Relationship Id="rId124" Type="http://schemas.openxmlformats.org/officeDocument/2006/relationships/hyperlink" Target="http://www.sec.gov/Archives/edgar/data/1462418/000095012310025337/g22255exv10w12.htm" TargetMode="External"/><Relationship Id="rId125" Type="http://schemas.openxmlformats.org/officeDocument/2006/relationships/hyperlink" Target="http://www.sec.gov/Archives/edgar/data/1462418/000095012310025337/g22255exv10w13.htm" TargetMode="External"/><Relationship Id="rId126" Type="http://schemas.openxmlformats.org/officeDocument/2006/relationships/hyperlink" Target="http://www.sec.gov/Archives/edgar/data/1462418/000095012311015633/c12905exv10w14.htm" TargetMode="External"/><Relationship Id="rId127" Type="http://schemas.openxmlformats.org/officeDocument/2006/relationships/hyperlink" Target="http://www.sec.gov/Archives/edgar/data/1462418/000095012311077958/c21536exv10w1.htm" TargetMode="External"/><Relationship Id="rId128" Type="http://schemas.openxmlformats.org/officeDocument/2006/relationships/hyperlink" Target="http://www.sec.gov/Archives/edgar/data/1462418/000119312512119255/d316454dex101.htm" TargetMode="External"/><Relationship Id="rId129" Type="http://schemas.openxmlformats.org/officeDocument/2006/relationships/hyperlink" Target="http://www.sec.gov/Archives/edgar/data/1462418/000110465912058385/a12-18388_1ex10d1.htm" TargetMode="External"/><Relationship Id="rId130" Type="http://schemas.openxmlformats.org/officeDocument/2006/relationships/hyperlink" Target="http://www.sec.gov/Archives/edgar/data/1462418/000110465912058892/a12-18661_1ex10d1.htm" TargetMode="External"/><Relationship Id="rId131" Type="http://schemas.openxmlformats.org/officeDocument/2006/relationships/hyperlink" Target="http://www.sec.gov/Archives/edgar/data/1462418/000110465912058892/a12-18661_1ex10d2.htm" TargetMode="External"/><Relationship Id="rId132" Type="http://schemas.openxmlformats.org/officeDocument/2006/relationships/hyperlink" Target="http://www.sec.gov/Archives/edgar/data/1462418/000110465912067822/a12-23132_1ex10d1.htm" TargetMode="External"/><Relationship Id="rId133" Type="http://schemas.openxmlformats.org/officeDocument/2006/relationships/hyperlink" Target="http://www.sec.gov/Archives/edgar/data/1462418/000110465912067822/a12-23132_1ex10d2.htm" TargetMode="External"/><Relationship Id="rId134" Type="http://schemas.openxmlformats.org/officeDocument/2006/relationships/hyperlink" Target="http://www.sec.gov/Archives/edgar/data/1462418/000110465912067822/a12-23132_1ex10d3.htm" TargetMode="External"/><Relationship Id="rId135" Type="http://schemas.openxmlformats.org/officeDocument/2006/relationships/hyperlink" Target="http://www.sec.gov/Archives/edgar/data/1462418/000110465912067822/a12-23132_1ex10d4.htm" TargetMode="External"/><Relationship Id="rId136" Type="http://schemas.openxmlformats.org/officeDocument/2006/relationships/hyperlink" Target="http://www.sec.gov/Archives/edgar/data/1462418/000110465912067822/a12-23132_1ex10d5.htm" TargetMode="External"/><Relationship Id="rId139" Type="http://schemas.openxmlformats.org/officeDocument/2006/relationships/hyperlink" Target="http://www.sec.gov/Archives/edgar/data/1462418/000110465912067822/a12-23132_1ex10d6.htm" TargetMode="External"/><Relationship Id="rId140" Type="http://schemas.openxmlformats.org/officeDocument/2006/relationships/hyperlink" Target="http://www.sec.gov/Archives/edgar/data/1462418/000110465912067822/a12-23132_1ex10d7.htm" TargetMode="External"/><Relationship Id="rId141" Type="http://schemas.openxmlformats.org/officeDocument/2006/relationships/hyperlink" Target="http://www.sec.gov/Archives/edgar/data/1462418/000110465912067822/a12-23132_1ex10d8.htm" TargetMode="External"/><Relationship Id="rId142" Type="http://schemas.openxmlformats.org/officeDocument/2006/relationships/hyperlink" Target="http://www.sec.gov/Archives/edgar/data/1462418/000110465912067822/a12-23132_1ex10d9.htm" TargetMode="External"/><Relationship Id="rId143" Type="http://schemas.openxmlformats.org/officeDocument/2006/relationships/hyperlink" Target="http://www.sec.gov/Archives/edgar/data/1462418/000110465912086792/a12-30299_1ex10d1.htm" TargetMode="External"/><Relationship Id="rId144" Type="http://schemas.openxmlformats.org/officeDocument/2006/relationships/hyperlink" Target="http://www.sec.gov/Archives/edgar/data/1462418/000110465912086792/a12-30299_1ex10d2.htm" TargetMode="External"/><Relationship Id="rId145" Type="http://schemas.openxmlformats.org/officeDocument/2006/relationships/hyperlink" Target="http://www.sec.gov/Archives/edgar/data/1462418/000110465912086792/a12-30299_1ex10d3.htm" TargetMode="External"/><Relationship Id="rId146" Type="http://schemas.openxmlformats.org/officeDocument/2006/relationships/hyperlink" Target="http://www.sec.gov/Archives/edgar/data/1462418/000110465912086792/a12-30299_1ex10d4.htm" TargetMode="External"/><Relationship Id="rId147" Type="http://schemas.openxmlformats.org/officeDocument/2006/relationships/hyperlink" Target="http://www.sec.gov/Archives/edgar/data/1462418/000110465912086792/a12-30299_1ex10d5.htm" TargetMode="External"/><Relationship Id="rId148" Type="http://schemas.openxmlformats.org/officeDocument/2006/relationships/hyperlink" Target="http://www.sec.gov/Archives/edgar/data/1462418/000110465912086792/a12-30299_1ex10d6.htm" TargetMode="External"/><Relationship Id="rId149" Type="http://schemas.openxmlformats.org/officeDocument/2006/relationships/hyperlink" Target="http://www.sec.gov/Archives/edgar/data/1462418/000110465912086792/a12-30299_1ex10d7.htm" TargetMode="External"/><Relationship Id="rId150" Type="http://schemas.openxmlformats.org/officeDocument/2006/relationships/hyperlink" Target="http://www.sec.gov/Archives/edgar/data/1462418/000110465912086792/a12-30299_1ex10d8.htm" TargetMode="External"/><Relationship Id="rId151" Type="http://schemas.openxmlformats.org/officeDocument/2006/relationships/hyperlink" Target="http://www.sec.gov/Archives/edgar/data/1462418/000110465913027096/a13-9447_1ex10d1.htm" TargetMode="External"/><Relationship Id="rId152" Type="http://schemas.openxmlformats.org/officeDocument/2006/relationships/hyperlink" Target="http://www.sec.gov/Archives/edgar/data/1462418/000110465913027096/a13-9447_1ex10d2.htm" TargetMode="External"/><Relationship Id="rId153" Type="http://schemas.openxmlformats.org/officeDocument/2006/relationships/hyperlink" Target="http://www.sec.gov/Archives/edgar/data/1462418/000110465913027096/a13-9447_1ex10d3.htm" TargetMode="External"/><Relationship Id="rId154" Type="http://schemas.openxmlformats.org/officeDocument/2006/relationships/hyperlink" Target="http://www.sec.gov/Archives/edgar/data/1462418/000110465913027096/a13-9447_1ex10d4.htm" TargetMode="External"/><Relationship Id="rId155" Type="http://schemas.openxmlformats.org/officeDocument/2006/relationships/hyperlink" Target="http://www.sec.gov/Archives/edgar/data/1462418/000110465913027096/a13-9447_1ex10d5.htm" TargetMode="External"/><Relationship Id="rId156" Type="http://schemas.openxmlformats.org/officeDocument/2006/relationships/hyperlink" Target="http://www.sec.gov/Archives/edgar/data/1462418/000110465913027096/a13-9447_1ex10d6.htm" TargetMode="External"/><Relationship Id="rId159" Type="http://schemas.openxmlformats.org/officeDocument/2006/relationships/hyperlink" Target="http://www.sec.gov/Archives/edgar/data/1462418/000110465913027096/a13-9447_1ex10d7.htm" TargetMode="External"/><Relationship Id="rId160" Type="http://schemas.openxmlformats.org/officeDocument/2006/relationships/hyperlink" Target="http://www.sec.gov/Archives/edgar/data/1462418/000110465913027096/a13-9447_1ex10d8.htm" TargetMode="External"/><Relationship Id="rId161" Type="http://schemas.openxmlformats.org/officeDocument/2006/relationships/hyperlink" Target="http://www.sec.gov/Archives/edgar/data/1462418/000110465913030648/a13-10270_1ex10d1.htm" TargetMode="External"/><Relationship Id="rId162" Type="http://schemas.openxmlformats.org/officeDocument/2006/relationships/hyperlink" Target="http://www.sec.gov/Archives/edgar/data/1462418/000110465915029038/a15-9505_1ex10d1.htm" TargetMode="External"/><Relationship Id="rId163" Type="http://schemas.openxmlformats.org/officeDocument/2006/relationships/hyperlink" Target="http://www.sec.gov/Archives/edgar/data/1462418/000110465915029038/a15-9505_1ex10d2.htm" TargetMode="External"/><Relationship Id="rId164" Type="http://schemas.openxmlformats.org/officeDocument/2006/relationships/hyperlink" Target="http://www.sec.gov/Archives/edgar/data/1462418/000162828015005394/ex103formofnon-qualifiedst.htm" TargetMode="External"/><Relationship Id="rId165" Type="http://schemas.openxmlformats.org/officeDocument/2006/relationships/hyperlink" Target="http://www.sec.gov/Archives/edgar/data/1462418/000162828016012704/employmentagreementgritt.htm" TargetMode="External"/><Relationship Id="rId166" Type="http://schemas.openxmlformats.org/officeDocument/2006/relationships/hyperlink" Target="http://www.sec.gov/Archives/edgar/data/1462418/000146241816000015/asps-9302016xex101.htm" TargetMode="External"/><Relationship Id="rId167" Type="http://schemas.openxmlformats.org/officeDocument/2006/relationships/hyperlink" Target="http://www.sec.gov/Archives/edgar/data/1462418/000146241816000007/ex101formofdirectorrestric.htm" TargetMode="External"/><Relationship Id="rId168" Type="http://schemas.openxmlformats.org/officeDocument/2006/relationships/hyperlink" Target="http://www.sec.gov/Archives/edgar/data/1462418/000146241816000009/exhibit101agreementwithalt.htm" TargetMode="External"/><Relationship Id="rId169" Type="http://schemas.openxmlformats.org/officeDocument/2006/relationships/hyperlink" Target="http://www.sec.gov/Archives/edgar/data/1462418/000146241817000010/exhibit10-1.htm" TargetMode="External"/><Relationship Id="rId170" Type="http://schemas.openxmlformats.org/officeDocument/2006/relationships/hyperlink" Target="http://www.sec.gov/Archives/edgar/data/1462418/000146241817000010/exhibit10-2.htm" TargetMode="External"/><Relationship Id="rId171" Type="http://schemas.openxmlformats.org/officeDocument/2006/relationships/hyperlink" Target="http://www.sec.gov/Archives/edgar/data/1462418/000146241817000010/exhibit10-3.htm" TargetMode="External"/><Relationship Id="rId172" Type="http://schemas.openxmlformats.org/officeDocument/2006/relationships/hyperlink" Target="http://www.sec.gov/Archives/edgar/data/1462418/000146241817000010/exhibit10-4.htm" TargetMode="External"/><Relationship Id="rId173" Type="http://schemas.openxmlformats.org/officeDocument/2006/relationships/hyperlink" Target="http://www.sec.gov/Archives/edgar/data/1462418/000146241817000039/asps-9302017ex108.htm" TargetMode="External"/><Relationship Id="rId174" Type="http://schemas.openxmlformats.org/officeDocument/2006/relationships/hyperlink" Target="http://www.sec.gov/Archives/edgar/data/1462418/000146241817000039/asps-9302017ex109.htm" TargetMode="External"/><Relationship Id="rId175" Type="http://schemas.openxmlformats.org/officeDocument/2006/relationships/hyperlink" Target="http://www.sec.gov/Archives/edgar/data/1462418/000146241818000011/asps-12312017ex1071.htm" TargetMode="External"/><Relationship Id="rId176" Type="http://schemas.openxmlformats.org/officeDocument/2006/relationships/hyperlink" Target="http://www.sec.gov/Archives/edgar/data/1462418/000146241818000011/asps-12312017ex1072.htm" TargetMode="External"/><Relationship Id="rId177" Type="http://schemas.openxmlformats.org/officeDocument/2006/relationships/hyperlink" Target="http://www.sec.gov/Archives/edgar/data/1462418/000146241818000021/asps-3312018ex101.htm" TargetMode="External"/><Relationship Id="rId178" Type="http://schemas.openxmlformats.org/officeDocument/2006/relationships/hyperlink" Target="http://www.sec.gov/Archives/edgar/data/1462418/000146241818000021/asps-3312018ex102.htm" TargetMode="External"/><Relationship Id="rId181" Type="http://schemas.openxmlformats.org/officeDocument/2006/relationships/hyperlink" Target="http://www.sec.gov/Archives/edgar/data/1462418/000146241818000021/asps-3312018ex103.htm" TargetMode="External"/><Relationship Id="rId182" Type="http://schemas.openxmlformats.org/officeDocument/2006/relationships/hyperlink" Target="http://www.sec.gov/Archives/edgar/data/1462418/000146241818000016/exhibit101_432018.htm" TargetMode="External"/><Relationship Id="rId183" Type="http://schemas.openxmlformats.org/officeDocument/2006/relationships/hyperlink" Target="http://www.sec.gov/Archives/edgar/data/1462418/000146241818000033/asps-6302018ex101.htm" TargetMode="External"/><Relationship Id="rId184" Type="http://schemas.openxmlformats.org/officeDocument/2006/relationships/hyperlink" Target="http://www.sec.gov/Archives/edgar/data/1462418/000146241818000033/asps-6302018ex103.htm" TargetMode="External"/><Relationship Id="rId185" Type="http://schemas.openxmlformats.org/officeDocument/2006/relationships/hyperlink" Target="http://www.sec.gov/Archives/edgar/data/1462418/000146241818000036/ex101resiomnibusamendment.htm" TargetMode="External"/><Relationship Id="rId186" Type="http://schemas.openxmlformats.org/officeDocument/2006/relationships/hyperlink" Target="http://www.sec.gov/Archives/edgar/data/1462418/000146241818000055/asps-9302018ex104.htm" TargetMode="External"/><Relationship Id="rId187" Type="http://schemas.openxmlformats.org/officeDocument/2006/relationships/hyperlink" Target="http://www.sec.gov/Archives/edgar/data/1462418/000146241818000055/asps-9302018ex105.htm" TargetMode="External"/><Relationship Id="rId188" Type="http://schemas.openxmlformats.org/officeDocument/2006/relationships/hyperlink" Target="http://www.sec.gov/Archives/edgar/data/1462418/000146241819000009/asps-12312018xex1078.htm" TargetMode="External"/><Relationship Id="rId189" Type="http://schemas.openxmlformats.org/officeDocument/2006/relationships/hyperlink" Target="http://www.sec.gov/Archives/edgar/data/1462418/000146241819000009/asps-12312018xex1079.htm" TargetMode="External"/><Relationship Id="rId190" Type="http://schemas.openxmlformats.org/officeDocument/2006/relationships/hyperlink" Target="http://www.sec.gov/Archives/edgar/data/1462418/000146241819000009/aspa-12312018xex1080.htm" TargetMode="External"/><Relationship Id="rId191" Type="http://schemas.openxmlformats.org/officeDocument/2006/relationships/hyperlink" Target="http://www.sec.gov/Archives/edgar/data/1462418/000146241819000009/aspa-12312018xex1081.htm" TargetMode="External"/><Relationship Id="rId192" Type="http://schemas.openxmlformats.org/officeDocument/2006/relationships/hyperlink" Target="http://www.sec.gov/Archives/edgar/data/1462418/000146241819000009/asps-12312018xex1082.htm" TargetMode="External"/><Relationship Id="rId193" Type="http://schemas.openxmlformats.org/officeDocument/2006/relationships/hyperlink" Target="http://www.sec.gov/Archives/edgar/data/1462418/000146241819000024/asps-03312019xex101.htm" TargetMode="External"/><Relationship Id="rId194" Type="http://schemas.openxmlformats.org/officeDocument/2006/relationships/hyperlink" Target="http://www.sec.gov/Archives/edgar/data/1462418/000146241819000024/asps-03312019xex102.htm" TargetMode="External"/><Relationship Id="rId195" Type="http://schemas.openxmlformats.org/officeDocument/2006/relationships/hyperlink" Target="http://www.sec.gov/Archives/edgar/data/1462418/000146241819000024/asps-03312019xex103.htm" TargetMode="External"/><Relationship Id="rId196" Type="http://schemas.openxmlformats.org/officeDocument/2006/relationships/hyperlink" Target="http://www.sec.gov/Archives/edgar/data/1462418/000146241819000024/asps-03312019xex104.htm" TargetMode="External"/><Relationship Id="rId197" Type="http://schemas.openxmlformats.org/officeDocument/2006/relationships/hyperlink" Target="http://www.sec.gov/Archives/edgar/data/1462418/000146241819000024/asps-03312019xex105.htm" TargetMode="External"/><Relationship Id="rId198" Type="http://schemas.openxmlformats.org/officeDocument/2006/relationships/hyperlink" Target="http://www.sec.gov/Archives/edgar/data/1462418/000146241819000024/asps-03312019xex106.htm" TargetMode="External"/><Relationship Id="rId199" Type="http://schemas.openxmlformats.org/officeDocument/2006/relationships/hyperlink" Target="http://www.sec.gov/Archives/edgar/data/1462418/000146241819000037/asps-06302019xex101.htm" TargetMode="External"/><Relationship Id="rId202" Type="http://schemas.openxmlformats.org/officeDocument/2006/relationships/hyperlink" Target="http://www.sec.gov/Archives/edgar/data/1462418/000146241819000054/asps-09302019xex101.htm" TargetMode="External"/><Relationship Id="rId203" Type="http://schemas.openxmlformats.org/officeDocument/2006/relationships/hyperlink" Target="https://www.sec.gov/Archives/edgar/data/0001462418/000146241821000019/asps-03312021xex101.htm" TargetMode="External"/><Relationship Id="rId204" Type="http://schemas.openxmlformats.org/officeDocument/2006/relationships/hyperlink" Target="https://www.sec.gov/Archives/edgar/data/0001462418/000146241821000019/asps-03312021xex102.htm" TargetMode="External"/><Relationship Id="rId205" Type="http://schemas.openxmlformats.org/officeDocument/2006/relationships/hyperlink" Target="https://www.sec.gov/Archives/edgar/data/0001462418/000146241821000019/asps-03312021xex103.htm" TargetMode="External"/><Relationship Id="rId206" Type="http://schemas.openxmlformats.org/officeDocument/2006/relationships/hyperlink" Target="https://www.sec.gov/Archives/edgar/data/0001462418/000146241821000025/ex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2022-03-03T06:07:43Z</dcterms:created>
  <dcterms:modified xsi:type="dcterms:W3CDTF">2022-03-03T06:07:43Z</dcterms:modified>
</cp:coreProperties>
</file>