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 INFORMATION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Exchange Act of 1934</w:t>
      </w:r>
    </w:p>
    <w:p>
      <w:pPr>
        <w:spacing w:after="0" w:line="45"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Filed by a Party other than the Registrant o</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92" w:lineRule="exact"/>
        <w:rPr>
          <w:sz w:val="20"/>
          <w:szCs w:val="20"/>
          <w:color w:val="auto"/>
        </w:rPr>
      </w:pPr>
    </w:p>
    <w:p>
      <w:pPr>
        <w:ind w:left="1140" w:hanging="454"/>
        <w:spacing w:after="0"/>
        <w:tabs>
          <w:tab w:leader="none" w:pos="1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102" w:lineRule="exact"/>
        <w:rPr>
          <w:rFonts w:ascii="Arial" w:cs="Arial" w:eastAsia="Arial" w:hAnsi="Arial"/>
          <w:sz w:val="13"/>
          <w:szCs w:val="13"/>
          <w:color w:val="auto"/>
        </w:rPr>
      </w:pPr>
    </w:p>
    <w:p>
      <w:pPr>
        <w:ind w:left="1140" w:hanging="454"/>
        <w:spacing w:after="0"/>
        <w:tabs>
          <w:tab w:leader="none" w:pos="1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Confidential, For Use of the Commission only (as permitted by Rule 14a-6(e)(2))</w:t>
      </w:r>
    </w:p>
    <w:p>
      <w:pPr>
        <w:spacing w:after="0" w:line="102" w:lineRule="exact"/>
        <w:rPr>
          <w:sz w:val="20"/>
          <w:szCs w:val="20"/>
          <w:color w:val="auto"/>
        </w:rPr>
      </w:pPr>
    </w:p>
    <w:p>
      <w:pPr>
        <w:ind w:left="1140" w:hanging="454"/>
        <w:spacing w:after="0"/>
        <w:tabs>
          <w:tab w:leader="none" w:pos="11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02" w:lineRule="exact"/>
        <w:rPr>
          <w:sz w:val="20"/>
          <w:szCs w:val="20"/>
          <w:color w:val="auto"/>
        </w:rPr>
      </w:pPr>
    </w:p>
    <w:p>
      <w:pPr>
        <w:ind w:left="1140" w:hanging="454"/>
        <w:spacing w:after="0"/>
        <w:tabs>
          <w:tab w:leader="none" w:pos="1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02" w:lineRule="exact"/>
        <w:rPr>
          <w:rFonts w:ascii="Arial" w:cs="Arial" w:eastAsia="Arial" w:hAnsi="Arial"/>
          <w:sz w:val="13"/>
          <w:szCs w:val="13"/>
          <w:color w:val="auto"/>
        </w:rPr>
      </w:pPr>
    </w:p>
    <w:p>
      <w:pPr>
        <w:ind w:left="1140" w:hanging="454"/>
        <w:spacing w:after="0"/>
        <w:tabs>
          <w:tab w:leader="none" w:pos="1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Pursuant to ss.240.14a-12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ALTISOURCE PORTFOLIO SOLUTIONS S.A.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(Name of Registrant as Specified in its Charter)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92" w:lineRule="exact"/>
        <w:rPr>
          <w:sz w:val="20"/>
          <w:szCs w:val="20"/>
          <w:color w:val="auto"/>
        </w:rPr>
      </w:pPr>
    </w:p>
    <w:p>
      <w:pPr>
        <w:ind w:left="240" w:hanging="239"/>
        <w:spacing w:after="0"/>
        <w:tabs>
          <w:tab w:leader="none" w:pos="2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02" w:lineRule="exact"/>
        <w:rPr>
          <w:sz w:val="20"/>
          <w:szCs w:val="20"/>
          <w:color w:val="auto"/>
        </w:rPr>
      </w:pPr>
    </w:p>
    <w:p>
      <w:pPr>
        <w:ind w:left="240" w:hanging="239"/>
        <w:spacing w:after="0"/>
        <w:tabs>
          <w:tab w:leader="none" w:pos="2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02" w:lineRule="exact"/>
        <w:rPr>
          <w:sz w:val="20"/>
          <w:szCs w:val="20"/>
          <w:color w:val="auto"/>
        </w:rPr>
      </w:pPr>
    </w:p>
    <w:p>
      <w:pPr>
        <w:ind w:left="240" w:hanging="239"/>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Aggregate number of securities to which the transaction applies: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 N/A</w:t>
      </w:r>
    </w:p>
    <w:p>
      <w:pPr>
        <w:spacing w:after="0" w:line="113" w:lineRule="exact"/>
        <w:rPr>
          <w:rFonts w:ascii="Arial" w:cs="Arial" w:eastAsia="Arial" w:hAnsi="Arial"/>
          <w:sz w:val="12"/>
          <w:szCs w:val="12"/>
          <w:color w:val="auto"/>
        </w:rPr>
      </w:pPr>
    </w:p>
    <w:p>
      <w:pPr>
        <w:ind w:left="240" w:hanging="239"/>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Proposed maximum aggregate value of transaction: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92" w:lineRule="exact"/>
        <w:rPr>
          <w:rFonts w:ascii="Arial" w:cs="Arial" w:eastAsia="Arial" w:hAnsi="Arial"/>
          <w:sz w:val="13"/>
          <w:szCs w:val="13"/>
          <w:color w:val="auto"/>
        </w:rPr>
      </w:pPr>
    </w:p>
    <w:p>
      <w:pPr>
        <w:ind w:left="220"/>
        <w:spacing w:after="0"/>
        <w:rPr>
          <w:rFonts w:ascii="Arial" w:cs="Arial" w:eastAsia="Arial" w:hAnsi="Arial"/>
          <w:sz w:val="13"/>
          <w:szCs w:val="13"/>
          <w:color w:val="auto"/>
        </w:rPr>
      </w:pPr>
      <w:r>
        <w:rPr>
          <w:rFonts w:ascii="Arial" w:cs="Arial" w:eastAsia="Arial" w:hAnsi="Arial"/>
          <w:sz w:val="13"/>
          <w:szCs w:val="13"/>
          <w:color w:val="auto"/>
        </w:rPr>
        <w:t>o</w:t>
      </w:r>
      <w:r>
        <w:rPr>
          <w:rFonts w:ascii="Arial" w:cs="Arial" w:eastAsia="Arial" w:hAnsi="Arial"/>
          <w:sz w:val="12"/>
          <w:szCs w:val="12"/>
          <w:color w:val="auto"/>
        </w:rPr>
        <w:t>Fee paid previously with preliminary materials.</w:t>
      </w:r>
    </w:p>
    <w:p>
      <w:pPr>
        <w:spacing w:after="0" w:line="102" w:lineRule="exact"/>
        <w:rPr>
          <w:sz w:val="20"/>
          <w:szCs w:val="20"/>
          <w:color w:val="auto"/>
        </w:rPr>
      </w:pPr>
    </w:p>
    <w:p>
      <w:pPr>
        <w:ind w:left="680" w:hanging="458"/>
        <w:spacing w:after="0" w:line="294" w:lineRule="auto"/>
        <w:tabs>
          <w:tab w:leader="none" w:pos="680" w:val="left"/>
        </w:tabs>
        <w:numPr>
          <w:ilvl w:val="1"/>
          <w:numId w:val="7"/>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 w:lineRule="exact"/>
        <w:rPr>
          <w:rFonts w:ascii="Arial" w:cs="Arial" w:eastAsia="Arial" w:hAnsi="Arial"/>
          <w:sz w:val="13"/>
          <w:szCs w:val="13"/>
          <w:color w:val="auto"/>
        </w:rPr>
      </w:pPr>
    </w:p>
    <w:p>
      <w:pPr>
        <w:ind w:left="240" w:hanging="239"/>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 Previously Paid: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Form, Schedule or Registration Statement No.: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Filing Party: N/A</w:t>
      </w:r>
    </w:p>
    <w:p>
      <w:pPr>
        <w:spacing w:after="0" w:line="102" w:lineRule="exact"/>
        <w:rPr>
          <w:rFonts w:ascii="Arial" w:cs="Arial" w:eastAsia="Arial" w:hAnsi="Arial"/>
          <w:sz w:val="13"/>
          <w:szCs w:val="13"/>
          <w:color w:val="auto"/>
        </w:rPr>
      </w:pPr>
    </w:p>
    <w:p>
      <w:pPr>
        <w:ind w:left="240" w:hanging="239"/>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156210</wp:posOffset>
            </wp:positionV>
            <wp:extent cx="1343660" cy="390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366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April 7, 2010</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Dear Fellow Shareholder:</w:t>
      </w:r>
    </w:p>
    <w:p>
      <w:pPr>
        <w:spacing w:after="0" w:line="102"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On behalf of the Board of Directors, we cordially invite you to attend the Annual Meeting of Shareholders of Altisource Portfolio Solutions S.A. which will be held at the offices of the Company located at 2, rue Jean Bertholet, L-1233 Luxembourg, Grand Duchy of Luxembourg on Wednesday, May 19, 2010, at 9:00 a.m., Central European Time. The matters to be considered by shareholders at the Annual Meeting are described in detail in the accompanying materials.</w:t>
      </w:r>
    </w:p>
    <w:p>
      <w:pPr>
        <w:spacing w:after="0" w:line="59"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It is very important that you be represented at the Annual Meeting regardless of the number of shares you own or whether you are able to attend the Annual Meeting in person. Let us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Your support of and interest in Altisource Portfolio Solutions S.A. are sincerely appreciated.</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71755</wp:posOffset>
            </wp:positionV>
            <wp:extent cx="364490" cy="370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William C. Erbey</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167640</wp:posOffset>
            </wp:positionV>
            <wp:extent cx="678180" cy="300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180"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William B. Shepro</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62" w:lineRule="exact"/>
        <w:rPr>
          <w:sz w:val="20"/>
          <w:szCs w:val="20"/>
          <w:color w:val="auto"/>
        </w:rPr>
      </w:pPr>
    </w:p>
    <w:p>
      <w:pPr>
        <w:ind w:right="459"/>
        <w:spacing w:after="0" w:line="245"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NOTICE OF ANNUAL MEETING OF SHAREHOLDERS AND IMPORTANT NOTICE REGARDING THE AVAILABILITY OF</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PROXY MATERIALS FOR THE SHAREHOLDER MEETING TO BE HELD ON MAY 19, 2010</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PROXY STATEMENT</w:t>
        </w:r>
      </w:hyperlink>
    </w:p>
    <w:p>
      <w:pPr>
        <w:spacing w:after="0" w:line="180"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ANNUAL MEETING OF SHAREHOLDERS</w:t>
        </w:r>
      </w:hyperlink>
    </w:p>
    <w:p>
      <w:pPr>
        <w:spacing w:after="0" w:line="236" w:lineRule="auto"/>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ELECTION OF DIRECTORS</w:t>
        </w:r>
      </w:hyperlink>
    </w:p>
    <w:p>
      <w:pPr>
        <w:spacing w:after="0" w:line="237" w:lineRule="auto"/>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BOARD OF DIRECTORS AND CORPORATE GOVERNANCE</w:t>
        </w:r>
      </w:hyperlink>
    </w:p>
    <w:p>
      <w:pPr>
        <w:spacing w:after="0" w:line="236"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BOARD OF DIRECTORS COMPENSATION</w:t>
        </w:r>
      </w:hyperlink>
    </w:p>
    <w:p>
      <w:pPr>
        <w:spacing w:after="0" w:line="237"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EXECUTIVE OFFICERS WHO ARE NOT DIRECTORS</w:t>
        </w:r>
      </w:hyperlink>
    </w:p>
    <w:p>
      <w:pPr>
        <w:spacing w:after="0" w:line="236" w:lineRule="auto"/>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SECURITY OWNERSHIP OF CERTAIN BENEFICIAL OWNERS AND RELATED SHAREHOLDER MATTERS</w:t>
        </w:r>
      </w:hyperlink>
    </w:p>
    <w:p>
      <w:pPr>
        <w:spacing w:after="0" w:line="237" w:lineRule="auto"/>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COMPENSATION DISCUSSION AND ANALYSIS</w:t>
        </w:r>
      </w:hyperlink>
    </w:p>
    <w:p>
      <w:pPr>
        <w:spacing w:after="0" w:line="237" w:lineRule="auto"/>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EXECUTIVE COMPENSATION</w:t>
        </w:r>
      </w:hyperlink>
    </w:p>
    <w:p>
      <w:pPr>
        <w:spacing w:after="0" w:line="236" w:lineRule="auto"/>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APPOINTMENT OF INDEPENDENT REGISTERED CERTIFIED PUBLIC ACCOUNTING FIRM (Proposal Two)</w:t>
        </w:r>
      </w:hyperlink>
    </w:p>
    <w:p>
      <w:pPr>
        <w:spacing w:after="0" w:line="237" w:lineRule="auto"/>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APPROVAL AND RATIFICATION OF SHARE REPURCHASE PROGRAM (Proposal Three)</w:t>
        </w:r>
      </w:hyperlink>
    </w:p>
    <w:p>
      <w:pPr>
        <w:ind w:right="319"/>
        <w:spacing w:after="0" w:line="236"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RECEIPT OF THE DIRECTORS’ REPORTS (“RAPPORTS DE GESTION”) ON THE LUXEMBOURG STATUTORY ACCOUNTS</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FOR THE YEARS ENDED DECEMBER 31, 2009, DECEMBER 31, 2008 AND DECEMBER 31, 2007 (THE “DIRECTORS’</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REPORTS”) (Proposal Four)</w:t>
        </w:r>
      </w:hyperlink>
    </w:p>
    <w:p>
      <w:pPr>
        <w:spacing w:after="0" w:line="1" w:lineRule="exact"/>
        <w:rPr>
          <w:rFonts w:ascii="Arial" w:cs="Arial" w:eastAsia="Arial" w:hAnsi="Arial"/>
          <w:sz w:val="16"/>
          <w:szCs w:val="16"/>
          <w:u w:val="single" w:color="auto"/>
          <w:color w:val="0000EE"/>
        </w:rPr>
      </w:pPr>
    </w:p>
    <w:p>
      <w:pPr>
        <w:ind w:right="239"/>
        <w:spacing w:after="0" w:line="236"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APPROVAL OF THE LUXEMBOURG STATUTORY ACCOUNTS FOR THE YEARS ENDED DECEMBER 31, 2009, DECEMBER</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31, 2008 AND DECEMBER 31, 2007 AND ALLOCATION OF THE RESULTS OF THE YEARS ENDED DECEMBER 31, 2009,</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DECEMBER 31, 2008 AND DECEMBER 31, 2007 (Proposal Five)</w:t>
        </w:r>
      </w:hyperlink>
    </w:p>
    <w:p>
      <w:pPr>
        <w:spacing w:after="0" w:line="1" w:lineRule="exact"/>
        <w:rPr>
          <w:rFonts w:ascii="Arial" w:cs="Arial" w:eastAsia="Arial" w:hAnsi="Arial"/>
          <w:sz w:val="16"/>
          <w:szCs w:val="16"/>
          <w:u w:val="single" w:color="auto"/>
          <w:color w:val="0000EE"/>
        </w:rPr>
      </w:pPr>
    </w:p>
    <w:p>
      <w:pPr>
        <w:ind w:right="299"/>
        <w:spacing w:after="0" w:line="236" w:lineRule="auto"/>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DISCHARGE OF EACH OF THE CURRENT AND PAST DIRECTORS OF ALTISOURCE FOR THE PERFORMANCE OF THEIR</w:t>
        </w:r>
      </w:hyperlink>
      <w:r>
        <w:rPr>
          <w:rFonts w:ascii="Arial" w:cs="Arial" w:eastAsia="Arial" w:hAnsi="Arial"/>
          <w:sz w:val="16"/>
          <w:szCs w:val="16"/>
          <w:u w:val="single" w:color="auto"/>
          <w:color w:val="0000EE"/>
        </w:rPr>
        <w:t xml:space="preserve"> </w:t>
      </w:r>
      <w:hyperlink w:anchor="page35">
        <w:r>
          <w:rPr>
            <w:rFonts w:ascii="Arial" w:cs="Arial" w:eastAsia="Arial" w:hAnsi="Arial"/>
            <w:sz w:val="16"/>
            <w:szCs w:val="16"/>
            <w:u w:val="single" w:color="auto"/>
            <w:color w:val="0000EE"/>
          </w:rPr>
          <w:t>MANDATE DURING THE YEAR ENDED DECEMBER 31, 2009</w:t>
        </w:r>
      </w:hyperlink>
      <w:r>
        <w:rPr>
          <w:rFonts w:ascii="Arial" w:cs="Arial" w:eastAsia="Arial" w:hAnsi="Arial"/>
          <w:sz w:val="16"/>
          <w:szCs w:val="16"/>
          <w:u w:val="single" w:color="auto"/>
          <w:color w:val="0000EE"/>
        </w:rPr>
        <w:t xml:space="preserve"> </w:t>
      </w:r>
      <w:hyperlink w:anchor="page36">
        <w:r>
          <w:rPr>
            <w:rFonts w:ascii="Arial" w:cs="Arial" w:eastAsia="Arial" w:hAnsi="Arial"/>
            <w:sz w:val="16"/>
            <w:szCs w:val="16"/>
            <w:u w:val="single" w:color="auto"/>
            <w:color w:val="0000EE"/>
          </w:rPr>
          <w:t>BUSINESS RELATIONSHIPS AND RELATED TRANSACTIONS</w:t>
        </w:r>
      </w:hyperlink>
    </w:p>
    <w:p>
      <w:pPr>
        <w:spacing w:after="0" w:line="238" w:lineRule="auto"/>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SHAREHOLDER PROPOSALS</w:t>
        </w:r>
      </w:hyperlink>
    </w:p>
    <w:p>
      <w:pPr>
        <w:spacing w:after="0" w:line="236" w:lineRule="auto"/>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ANNUAL REPORTS</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OTHER MATTERS</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-316230</wp:posOffset>
            </wp:positionH>
            <wp:positionV relativeFrom="paragraph">
              <wp:posOffset>99060</wp:posOffset>
            </wp:positionV>
            <wp:extent cx="63404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047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ALTISOURCE PORTFOLIO SOLUTIONS S.A.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2, rue Jean Bertholet</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L-1233 Luxembourg</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Grand Duchy of Luxembourg</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R.C.S. Luxembourg B. 72.391</w:t>
      </w:r>
    </w:p>
    <w:p>
      <w:pPr>
        <w:spacing w:after="0" w:line="163" w:lineRule="exact"/>
        <w:rPr>
          <w:sz w:val="20"/>
          <w:szCs w:val="20"/>
          <w:color w:val="auto"/>
        </w:rPr>
      </w:pPr>
    </w:p>
    <w:p>
      <w:pPr>
        <w:jc w:val="center"/>
        <w:ind w:left="2820"/>
        <w:spacing w:after="0" w:line="253" w:lineRule="auto"/>
        <w:rPr>
          <w:sz w:val="20"/>
          <w:szCs w:val="20"/>
          <w:color w:val="auto"/>
        </w:rPr>
      </w:pPr>
      <w:r>
        <w:rPr>
          <w:rFonts w:ascii="Arial" w:cs="Arial" w:eastAsia="Arial" w:hAnsi="Arial"/>
          <w:sz w:val="16"/>
          <w:szCs w:val="16"/>
          <w:b w:val="1"/>
          <w:bCs w:val="1"/>
          <w:color w:val="auto"/>
        </w:rPr>
        <w:t>NOTICE OF ANNUAL MEETING OF SHAREHOLDERS AND IMPORTANT NOTICE REGARDING THE AVAILABILITY OF PROXY MATERIALS FOR THE SHAREHOLDER MEETING TO BE HELD ON MAY 19, 2010</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NOTICE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Annual Meeting of Shareholders (“Annual Meeting”) will be held:</w:t>
      </w:r>
    </w:p>
    <w:p>
      <w:pPr>
        <w:sectPr>
          <w:pgSz w:w="11900" w:h="16838" w:orient="portrait"/>
          <w:cols w:equalWidth="0" w:num="1">
            <w:col w:w="9940"/>
          </w:cols>
          <w:pgMar w:left="900" w:top="349" w:right="105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Wednesday, May 19, 2010</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9:00 a.m., Central European Time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Altisource Portfolio Solutions S.A.</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2, rue Jean Bertholet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L-1233 Luxembourg</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Grand Duchy of Luxembourg</w:t>
      </w:r>
    </w:p>
    <w:p>
      <w:pPr>
        <w:spacing w:after="0" w:line="171" w:lineRule="exact"/>
        <w:rPr>
          <w:sz w:val="20"/>
          <w:szCs w:val="20"/>
          <w:color w:val="auto"/>
        </w:rPr>
      </w:pPr>
    </w:p>
    <w:p>
      <w:pPr>
        <w:sectPr>
          <w:pgSz w:w="11900" w:h="16838" w:orient="portrait"/>
          <w:cols w:equalWidth="0" w:num="2">
            <w:col w:w="580" w:space="720"/>
            <w:col w:w="8640"/>
          </w:cols>
          <w:pgMar w:left="900" w:top="349" w:right="1059" w:bottom="1440" w:gutter="0" w:footer="0" w:header="0"/>
          <w:type w:val="continuous"/>
        </w:sectPr>
      </w:pPr>
    </w:p>
    <w:p>
      <w:pPr>
        <w:spacing w:after="0"/>
        <w:rPr>
          <w:sz w:val="20"/>
          <w:szCs w:val="20"/>
          <w:color w:val="auto"/>
        </w:rPr>
      </w:pPr>
      <w:r>
        <w:rPr>
          <w:rFonts w:ascii="Arial" w:cs="Arial" w:eastAsia="Arial" w:hAnsi="Arial"/>
          <w:sz w:val="13"/>
          <w:szCs w:val="13"/>
          <w:b w:val="1"/>
          <w:bCs w:val="1"/>
          <w:u w:val="single" w:color="auto"/>
          <w:color w:val="auto"/>
        </w:rPr>
        <w:t>PURPOSE</w:t>
      </w:r>
    </w:p>
    <w:p>
      <w:pPr>
        <w:spacing w:after="0" w:line="104" w:lineRule="exact"/>
        <w:rPr>
          <w:sz w:val="20"/>
          <w:szCs w:val="20"/>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elect five (5) Directors for a one (1) year term and/or until their successors are elected and qualified;</w:t>
      </w:r>
    </w:p>
    <w:p>
      <w:pPr>
        <w:spacing w:after="0" w:line="92" w:lineRule="exact"/>
        <w:rPr>
          <w:rFonts w:ascii="Arial" w:cs="Arial" w:eastAsia="Arial" w:hAnsi="Arial"/>
          <w:sz w:val="13"/>
          <w:szCs w:val="13"/>
          <w:color w:val="auto"/>
        </w:rPr>
      </w:pPr>
    </w:p>
    <w:p>
      <w:pPr>
        <w:ind w:left="620" w:right="80" w:hanging="208"/>
        <w:spacing w:after="0" w:line="294" w:lineRule="auto"/>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ratify the appointment by the Audit Committee of our Board of Directors of Deloitte &amp; Touche LLP as the independent external auditor of Altisource Portfolio Solutions S.A. for the financial year ending December 31, 2010;</w:t>
      </w:r>
    </w:p>
    <w:p>
      <w:pPr>
        <w:spacing w:after="0" w:line="36"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approve a share repurchase program whereby Altisource Portfolio Solutions S.A. may purchase outstanding shares of its common stock within certain limits;</w:t>
      </w:r>
    </w:p>
    <w:p>
      <w:pPr>
        <w:spacing w:after="0" w:line="92" w:lineRule="exact"/>
        <w:rPr>
          <w:rFonts w:ascii="Arial" w:cs="Arial" w:eastAsia="Arial" w:hAnsi="Arial"/>
          <w:sz w:val="13"/>
          <w:szCs w:val="13"/>
          <w:color w:val="auto"/>
        </w:rPr>
      </w:pPr>
    </w:p>
    <w:p>
      <w:pPr>
        <w:ind w:left="620" w:right="680" w:hanging="208"/>
        <w:spacing w:after="0" w:line="294" w:lineRule="auto"/>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receive the Directors’ reports (</w:t>
      </w:r>
      <w:r>
        <w:rPr>
          <w:rFonts w:ascii="Arial" w:cs="Arial" w:eastAsia="Arial" w:hAnsi="Arial"/>
          <w:sz w:val="13"/>
          <w:szCs w:val="13"/>
          <w:i w:val="1"/>
          <w:iCs w:val="1"/>
          <w:color w:val="auto"/>
        </w:rPr>
        <w:t>“rapports de gestion”</w:t>
      </w:r>
      <w:r>
        <w:rPr>
          <w:rFonts w:ascii="Arial" w:cs="Arial" w:eastAsia="Arial" w:hAnsi="Arial"/>
          <w:sz w:val="13"/>
          <w:szCs w:val="13"/>
          <w:color w:val="auto"/>
        </w:rPr>
        <w:t xml:space="preserve">) on the Luxembourg statutory accounts for the years ended December 31, 2009, December 31, 2008 and December 31, 2007 (the </w:t>
      </w:r>
      <w:r>
        <w:rPr>
          <w:rFonts w:ascii="Arial" w:cs="Arial" w:eastAsia="Arial" w:hAnsi="Arial"/>
          <w:sz w:val="13"/>
          <w:szCs w:val="13"/>
          <w:i w:val="1"/>
          <w:iCs w:val="1"/>
          <w:color w:val="auto"/>
        </w:rPr>
        <w:t>“Directors’ Reports”</w:t>
      </w:r>
      <w:r>
        <w:rPr>
          <w:rFonts w:ascii="Arial" w:cs="Arial" w:eastAsia="Arial" w:hAnsi="Arial"/>
          <w:sz w:val="13"/>
          <w:szCs w:val="13"/>
          <w:color w:val="auto"/>
        </w:rPr>
        <w:t>);</w:t>
      </w:r>
    </w:p>
    <w:p>
      <w:pPr>
        <w:spacing w:after="0" w:line="36" w:lineRule="exact"/>
        <w:rPr>
          <w:rFonts w:ascii="Arial" w:cs="Arial" w:eastAsia="Arial" w:hAnsi="Arial"/>
          <w:sz w:val="13"/>
          <w:szCs w:val="13"/>
          <w:color w:val="auto"/>
        </w:rPr>
      </w:pPr>
    </w:p>
    <w:p>
      <w:pPr>
        <w:ind w:left="620" w:right="60" w:hanging="208"/>
        <w:spacing w:after="0" w:line="294" w:lineRule="auto"/>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To approve the Luxembourg statutory accounts for the years ended December 31, 2009, December 31, 2008 and December 31, 2007 (the </w:t>
      </w:r>
      <w:r>
        <w:rPr>
          <w:rFonts w:ascii="Arial" w:cs="Arial" w:eastAsia="Arial" w:hAnsi="Arial"/>
          <w:sz w:val="13"/>
          <w:szCs w:val="13"/>
          <w:i w:val="1"/>
          <w:iCs w:val="1"/>
          <w:color w:val="auto"/>
        </w:rPr>
        <w:t>“Annual Statutory Accounts”</w:t>
      </w:r>
      <w:r>
        <w:rPr>
          <w:rFonts w:ascii="Arial" w:cs="Arial" w:eastAsia="Arial" w:hAnsi="Arial"/>
          <w:sz w:val="13"/>
          <w:szCs w:val="13"/>
          <w:color w:val="auto"/>
        </w:rPr>
        <w:t>) and to allocate the results of the years ended December 31, 2009, December 31, 2008 and December 31, 2007;</w:t>
      </w:r>
    </w:p>
    <w:p>
      <w:pPr>
        <w:spacing w:after="0" w:line="36"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discharge each of the current and past Directors of Altisource Portfolio Solutions S.A. for the performance of their mandate during the year ended December 31, 2009 and</w:t>
      </w:r>
    </w:p>
    <w:p>
      <w:pPr>
        <w:spacing w:after="0" w:line="103" w:lineRule="exact"/>
        <w:rPr>
          <w:rFonts w:ascii="Arial" w:cs="Arial" w:eastAsia="Arial" w:hAnsi="Arial"/>
          <w:sz w:val="12"/>
          <w:szCs w:val="12"/>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meeting and any adjournment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PROCEDURES</w:t>
      </w:r>
    </w:p>
    <w:p>
      <w:pPr>
        <w:spacing w:after="0" w:line="104" w:lineRule="exact"/>
        <w:rPr>
          <w:sz w:val="20"/>
          <w:szCs w:val="20"/>
          <w:color w:val="auto"/>
        </w:rPr>
      </w:pPr>
    </w:p>
    <w:p>
      <w:pPr>
        <w:ind w:left="620" w:hanging="208"/>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Board of Directors has fixed March 15, 2010 as the record date for the determination of shareholders entitled to notice of and to vote at the Annual Meeting.</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Only shareholders of record at the close of business on that date will be entitled to vote at the Annual Meeting.</w:t>
      </w:r>
    </w:p>
    <w:p>
      <w:pPr>
        <w:spacing w:after="0" w:line="92" w:lineRule="exact"/>
        <w:rPr>
          <w:rFonts w:ascii="Arial" w:cs="Arial" w:eastAsia="Arial" w:hAnsi="Arial"/>
          <w:sz w:val="13"/>
          <w:szCs w:val="13"/>
          <w:color w:val="auto"/>
        </w:rPr>
      </w:pPr>
    </w:p>
    <w:p>
      <w:pPr>
        <w:jc w:val="both"/>
        <w:ind w:left="620" w:right="40" w:hanging="208"/>
        <w:spacing w:after="0" w:line="276" w:lineRule="auto"/>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proxy statement for our 2010 Annual Meeting of Shareholders and our annual report to shareholders on Form 10-K for the year ended December 31, 2009 are available on our website at www.altisource.com under Investor Relations. Additionally, and in accordance with Securities and Exchange Commission rules, you may access our proxy statement at http://www.proxyvote.com,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85725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349" w:right="1059" w:bottom="1440" w:gutter="0" w:footer="0" w:header="0"/>
          <w:type w:val="continuous"/>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spacing w:after="0" w:line="294" w:lineRule="auto"/>
        <w:rPr>
          <w:sz w:val="20"/>
          <w:szCs w:val="20"/>
          <w:color w:val="auto"/>
        </w:rPr>
      </w:pPr>
      <w:r>
        <w:rPr>
          <w:rFonts w:ascii="Arial" w:cs="Arial" w:eastAsia="Arial" w:hAnsi="Arial"/>
          <w:sz w:val="13"/>
          <w:szCs w:val="13"/>
          <w:color w:val="auto"/>
        </w:rPr>
        <w:t>website that does not identify or track visitors of the site, by entering the 12 digit Control Number found on your Beneficial Notice Card or on your Proxy Card in the space provided.</w:t>
      </w:r>
    </w:p>
    <w:p>
      <w:pPr>
        <w:spacing w:after="0" w:line="47" w:lineRule="exact"/>
        <w:rPr>
          <w:sz w:val="20"/>
          <w:szCs w:val="20"/>
          <w:color w:val="auto"/>
        </w:rPr>
      </w:pPr>
    </w:p>
    <w:p>
      <w:pPr>
        <w:ind w:left="5580" w:right="1020" w:hanging="4488"/>
        <w:spacing w:after="0" w:line="828" w:lineRule="auto"/>
        <w:tabs>
          <w:tab w:leader="none" w:pos="129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Directors’ Reports and the draft Annual Statutory Accounts are available for inspection at the Altisource Portfolio Solutions S.A.’s registered office. By Order of the Board of Directors,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Kevin J. Wilcox</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Kevin J.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Secretary</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7, 2010</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Luxembourg,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9"/>
          <w:szCs w:val="19"/>
          <w:b w:val="1"/>
          <w:bCs w:val="1"/>
          <w:color w:val="auto"/>
        </w:rPr>
        <w:t>ALTISOURCE PORTFOLIO SOLUTIONS S.A.</w:t>
      </w:r>
    </w:p>
    <w:p>
      <w:pPr>
        <w:spacing w:after="0" w:line="90"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PROXY STATEMENT</w:t>
      </w:r>
    </w:p>
    <w:p>
      <w:pPr>
        <w:spacing w:after="0" w:line="88"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ANNUAL MEETING OF SHAREHOLDERS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Information</w:t>
      </w:r>
    </w:p>
    <w:p>
      <w:pPr>
        <w:spacing w:after="0" w:line="10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made this proxy statement available to you on or about April 7, 2010 as a holder of common stock of Altisource Portfolio Solutions S.A. because our Board of Directors is soliciting your proxy to be used at our Annual Meeting of Shareholders (the “Annual Meeting”) and at any adjournment of this meeting. The Annual Meeting will be held at our offices located at 2, rue Jean Bertholet, L-1233 Luxembourg, Grand Duchy of Luxembourg on Wednesday, May 19, 2010, at 9:00 a.m., Central European Time for the purposes listed in the Notice of Annual Meeting of Shareholders.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How a Proxy Works</w:t>
      </w:r>
    </w:p>
    <w:p>
      <w:pPr>
        <w:spacing w:after="0" w:line="10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If you properly complete, sign and return your proxy to Altisource Portfolio Solutions S.A. (“Altisource” or the “Company”) and do not revoke it prior to its use, it will be voted in accordance with your instructions. If no contrary instructions are given, each proxy received will be voted:</w:t>
      </w:r>
    </w:p>
    <w:p>
      <w:pPr>
        <w:spacing w:after="0" w:line="47"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each of the nominees for Director;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ratification of the appointment of Deloitte &amp; Touche LLP as our independent registered certified public accounting firm for 2010;</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approval of the share repurchase program whereby Altisource may purchase outstanding shares of its common stock (“Common Stock”);</w:t>
      </w:r>
    </w:p>
    <w:p>
      <w:pPr>
        <w:spacing w:after="0" w:line="92" w:lineRule="exact"/>
        <w:rPr>
          <w:rFonts w:ascii="Arial" w:cs="Arial" w:eastAsia="Arial" w:hAnsi="Arial"/>
          <w:sz w:val="13"/>
          <w:szCs w:val="13"/>
          <w:color w:val="auto"/>
        </w:rPr>
      </w:pPr>
    </w:p>
    <w:p>
      <w:pPr>
        <w:ind w:left="1300" w:right="500" w:hanging="208"/>
        <w:spacing w:after="0" w:line="294"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approval of the Directors’ reports (“</w:t>
      </w:r>
      <w:r>
        <w:rPr>
          <w:rFonts w:ascii="Arial" w:cs="Arial" w:eastAsia="Arial" w:hAnsi="Arial"/>
          <w:sz w:val="13"/>
          <w:szCs w:val="13"/>
          <w:i w:val="1"/>
          <w:iCs w:val="1"/>
          <w:color w:val="auto"/>
        </w:rPr>
        <w:t>rapports de gestion</w:t>
      </w:r>
      <w:r>
        <w:rPr>
          <w:rFonts w:ascii="Arial" w:cs="Arial" w:eastAsia="Arial" w:hAnsi="Arial"/>
          <w:sz w:val="13"/>
          <w:szCs w:val="13"/>
          <w:color w:val="auto"/>
        </w:rPr>
        <w:t>”) on the Luxembourg statutory accounts for the years ended December 31, 2009, December 31, 2008 and December 31, 2007;</w:t>
      </w:r>
    </w:p>
    <w:p>
      <w:pPr>
        <w:spacing w:after="0" w:line="36" w:lineRule="exact"/>
        <w:rPr>
          <w:rFonts w:ascii="Arial" w:cs="Arial" w:eastAsia="Arial" w:hAnsi="Arial"/>
          <w:sz w:val="13"/>
          <w:szCs w:val="13"/>
          <w:color w:val="auto"/>
        </w:rPr>
      </w:pPr>
    </w:p>
    <w:p>
      <w:pPr>
        <w:ind w:left="1300" w:right="300" w:hanging="208"/>
        <w:spacing w:after="0" w:line="294"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approval of the Luxembourg statutory accounts for the years ended December 31, 2009, December 31, 2008 and December 31, 2007 and to allocate the results of the years ended December 31, 2009, December 31, 2008 and December 31, 2007;</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approval of the discharge of each of the current and past Directors of Altisource for the performance of their mandate during the year ended December 31, 2009 and</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with regard to any other business that properly comes before the meeting in accordance with the best judgment of the persons appointed as proxies.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How to Revoke a Proxy</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Your proxy may be used only at the Annual Meeting and any adjournment of this meeting and will not be used for any other meeting. You have the power to revoke your proxy at any time before it is exercised by:</w:t>
      </w:r>
    </w:p>
    <w:p>
      <w:pPr>
        <w:spacing w:after="0" w:line="47"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filing written notice with our Corporate Secretary at the following address:</w:t>
      </w:r>
    </w:p>
    <w:p>
      <w:pPr>
        <w:spacing w:after="0" w:line="102" w:lineRule="exact"/>
        <w:rPr>
          <w:rFonts w:ascii="Arial" w:cs="Arial" w:eastAsia="Arial" w:hAnsi="Arial"/>
          <w:sz w:val="13"/>
          <w:szCs w:val="13"/>
          <w:color w:val="auto"/>
        </w:rPr>
      </w:pPr>
    </w:p>
    <w:p>
      <w:pPr>
        <w:ind w:left="1280" w:right="7360"/>
        <w:spacing w:after="0" w:line="286" w:lineRule="auto"/>
        <w:rPr>
          <w:rFonts w:ascii="Arial" w:cs="Arial" w:eastAsia="Arial" w:hAnsi="Arial"/>
          <w:sz w:val="13"/>
          <w:szCs w:val="13"/>
          <w:color w:val="auto"/>
        </w:rPr>
      </w:pPr>
      <w:r>
        <w:rPr>
          <w:rFonts w:ascii="Arial" w:cs="Arial" w:eastAsia="Arial" w:hAnsi="Arial"/>
          <w:sz w:val="12"/>
          <w:szCs w:val="12"/>
          <w:color w:val="auto"/>
        </w:rPr>
        <w:t>Kevin J. Wilcox, Corporate Secretary Altisource Portfolio Solutions S.A. 2, rue Jean Bertholet</w:t>
      </w:r>
    </w:p>
    <w:p>
      <w:pPr>
        <w:ind w:left="1280"/>
        <w:spacing w:after="0"/>
        <w:rPr>
          <w:rFonts w:ascii="Arial" w:cs="Arial" w:eastAsia="Arial" w:hAnsi="Arial"/>
          <w:sz w:val="13"/>
          <w:szCs w:val="13"/>
          <w:color w:val="auto"/>
        </w:rPr>
      </w:pPr>
      <w:r>
        <w:rPr>
          <w:rFonts w:ascii="Arial" w:cs="Arial" w:eastAsia="Arial" w:hAnsi="Arial"/>
          <w:sz w:val="13"/>
          <w:szCs w:val="13"/>
          <w:color w:val="auto"/>
        </w:rPr>
        <w:t>L-1233 Luxembourg,</w:t>
      </w:r>
    </w:p>
    <w:p>
      <w:pPr>
        <w:spacing w:after="0" w:line="11"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Grand Duchy of Luxembourg</w:t>
      </w:r>
    </w:p>
    <w:p>
      <w:pPr>
        <w:spacing w:after="0" w:line="91"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submitting a properly executed proxy bearing a later date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appearing at the Annual Meeting and giving the Corporate Secretary notice of your intention to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Who May Vote</w:t>
      </w:r>
    </w:p>
    <w:p>
      <w:pPr>
        <w:spacing w:after="0" w:line="104" w:lineRule="exact"/>
        <w:rPr>
          <w:sz w:val="20"/>
          <w:szCs w:val="20"/>
          <w:color w:val="auto"/>
        </w:rPr>
      </w:pPr>
    </w:p>
    <w:p>
      <w:pPr>
        <w:ind w:left="680" w:right="360" w:firstLine="399"/>
        <w:spacing w:after="0" w:line="309" w:lineRule="auto"/>
        <w:rPr>
          <w:sz w:val="20"/>
          <w:szCs w:val="20"/>
          <w:color w:val="auto"/>
        </w:rPr>
      </w:pPr>
      <w:r>
        <w:rPr>
          <w:rFonts w:ascii="Arial" w:cs="Arial" w:eastAsia="Arial" w:hAnsi="Arial"/>
          <w:sz w:val="12"/>
          <w:szCs w:val="12"/>
          <w:color w:val="auto"/>
        </w:rPr>
        <w:t>You are entitled to vote at the Annual Meeting or any adjournment of the Annual Meeting if you are a holder of record of our Common Stock at the close of business on March 15, 2010. At the close of business on March 15, 2010, there were 25,172,846 shares of Common Stock issued, outstanding and able to be voted and no other class of equity securities outstanding. Each share of our Common Stock is entitled to one (1) vote at the Annual Meeting on all matters properly presented.</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Quorum and Voting Information</w:t>
      </w:r>
    </w:p>
    <w:p>
      <w:pPr>
        <w:spacing w:after="0" w:line="104"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The presence at the Annual Meeting of a majority of the votes of our Common Stock entitled to be cast, represented in person or by proxy, will constitute a quorum for the transaction of business at the Annual Meeting.</w:t>
      </w:r>
    </w:p>
    <w:p>
      <w:pPr>
        <w:spacing w:after="0" w:line="47"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Assuming a quorum, the five (5) nominees for Director will be elected as Directors of Altisource so long as the votes cast in favor of each such person exceeds the votes cast to withhold authority for such person. You may vote in favor of or withhold authority to vote for one (1) or more nominees for Director. The proposal to approve the appointment of Deloitte &amp; Touche LLP as our independent registered certified public accounting firm for 2010, the proposal to approve the share repurchase program whereby Altisource may purchase outstanding shares of its Common Stock, the proposal to approve the Directors’ reports (</w:t>
      </w:r>
      <w:r>
        <w:rPr>
          <w:rFonts w:ascii="Arial" w:cs="Arial" w:eastAsia="Arial" w:hAnsi="Arial"/>
          <w:sz w:val="12"/>
          <w:szCs w:val="12"/>
          <w:i w:val="1"/>
          <w:iCs w:val="1"/>
          <w:color w:val="auto"/>
        </w:rPr>
        <w:t>“rapports de gestion”</w:t>
      </w:r>
      <w:r>
        <w:rPr>
          <w:rFonts w:ascii="Arial" w:cs="Arial" w:eastAsia="Arial" w:hAnsi="Arial"/>
          <w:sz w:val="12"/>
          <w:szCs w:val="12"/>
          <w:color w:val="auto"/>
        </w:rPr>
        <w:t>) on the Luxembourg statutory accounts for the years ended December 31, 2009, December 31, 2008 and December 31, 2007, the proposal to approve the Luxembourg statutory accounts for the years ended December 31, 2009, December 31, 2008 and December 31, 2007 and to allocate the results of the years ended December 31, 2009, December 31, 2008 and December 31, 2007, the proposal to approve the discharge all of the current and past Directors of Altisource for the performance of their mandate during the years ended December 31, 2009 and any other matter properly submitted for your consideration at the Annual Meeting (other than the election of Directors), will be approved if the votes cast in favor of the action exceed the votes cast opposing the action.</w:t>
      </w:r>
    </w:p>
    <w:p>
      <w:pPr>
        <w:spacing w:after="0" w:line="56"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NASDAQ Stock Market precludes brokers from giving a proxy to vote on non-routine items.</w:t>
      </w:r>
    </w:p>
    <w:p>
      <w:pPr>
        <w:spacing w:after="0" w:line="2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ELECTION OF DIRECTORS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One)</w:t>
      </w:r>
    </w:p>
    <w:p>
      <w:pPr>
        <w:spacing w:after="0" w:line="104"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Our Articles of Association provide that our Board of Directors shall consist of no less than three (3) and no more than eight (8) members with the exact number to be fixed by our Board of Directors.</w:t>
      </w:r>
    </w:p>
    <w:p>
      <w:pPr>
        <w:spacing w:after="0" w:line="47"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We will propose the five (5) nominees listed below for election as Directors at the Annual Meeting. All nominees other than Mrs. Andresen-Kienz currently serve as our Directors. There are no arrangements or understandings between any nominee and any other person for selection as a nominee.</w:t>
      </w:r>
    </w:p>
    <w:p>
      <w:pPr>
        <w:spacing w:after="0" w:line="4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Nominees for Director</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information concerning our nominees for Director:</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Director</w:t>
            </w:r>
          </w:p>
        </w:tc>
        <w:tc>
          <w:tcPr>
            <w:tcW w:w="3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Executive</w:t>
            </w:r>
          </w:p>
        </w:tc>
        <w:tc>
          <w:tcPr>
            <w:tcW w:w="3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Audit</w:t>
            </w:r>
          </w:p>
        </w:tc>
        <w:tc>
          <w:tcPr>
            <w:tcW w:w="3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Compensation</w:t>
            </w:r>
          </w:p>
        </w:tc>
        <w:tc>
          <w:tcPr>
            <w:tcW w:w="3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Nomination/</w:t>
            </w:r>
          </w:p>
        </w:tc>
        <w:tc>
          <w:tcPr>
            <w:tcW w:w="0" w:type="dxa"/>
            <w:vAlign w:val="bottom"/>
          </w:tcPr>
          <w:p>
            <w:pPr>
              <w:spacing w:after="0"/>
              <w:rPr>
                <w:sz w:val="1"/>
                <w:szCs w:val="1"/>
                <w:color w:val="auto"/>
              </w:rPr>
            </w:pPr>
          </w:p>
        </w:tc>
      </w:tr>
      <w:tr>
        <w:trPr>
          <w:trHeight w:val="121"/>
        </w:trPr>
        <w:tc>
          <w:tcPr>
            <w:tcW w:w="4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Governance</w:t>
            </w:r>
          </w:p>
        </w:tc>
        <w:tc>
          <w:tcPr>
            <w:tcW w:w="0" w:type="dxa"/>
            <w:vAlign w:val="bottom"/>
          </w:tcPr>
          <w:p>
            <w:pPr>
              <w:spacing w:after="0"/>
              <w:rPr>
                <w:sz w:val="1"/>
                <w:szCs w:val="1"/>
                <w:color w:val="auto"/>
              </w:rPr>
            </w:pPr>
          </w:p>
        </w:tc>
      </w:tr>
      <w:tr>
        <w:trPr>
          <w:trHeight w:val="128"/>
        </w:trPr>
        <w:tc>
          <w:tcPr>
            <w:tcW w:w="4380" w:type="dxa"/>
            <w:vAlign w:val="bottom"/>
            <w:gridSpan w:val="2"/>
            <w:vMerge w:val="continue"/>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Age(1)</w:t>
            </w:r>
          </w:p>
        </w:tc>
        <w:tc>
          <w:tcPr>
            <w:tcW w:w="30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Since</w:t>
            </w:r>
          </w:p>
        </w:tc>
        <w:tc>
          <w:tcPr>
            <w:tcW w:w="30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Committee</w:t>
            </w:r>
          </w:p>
        </w:tc>
        <w:tc>
          <w:tcPr>
            <w:tcW w:w="30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Committee</w:t>
            </w:r>
          </w:p>
        </w:tc>
        <w:tc>
          <w:tcPr>
            <w:tcW w:w="30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Committee</w:t>
            </w:r>
          </w:p>
        </w:tc>
        <w:tc>
          <w:tcPr>
            <w:tcW w:w="30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Committee</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William C. Erbey</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60</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3"/>
                <w:szCs w:val="13"/>
                <w:color w:val="auto"/>
                <w:w w:val="89"/>
              </w:rPr>
              <w:t>2009</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X(2)</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X(2)</w:t>
            </w:r>
          </w:p>
        </w:tc>
        <w:tc>
          <w:tcPr>
            <w:tcW w:w="0" w:type="dxa"/>
            <w:vAlign w:val="bottom"/>
          </w:tcPr>
          <w:p>
            <w:pPr>
              <w:spacing w:after="0"/>
              <w:rPr>
                <w:sz w:val="1"/>
                <w:szCs w:val="1"/>
                <w:color w:val="auto"/>
              </w:rPr>
            </w:pPr>
          </w:p>
        </w:tc>
      </w:tr>
      <w:tr>
        <w:trPr>
          <w:trHeight w:val="161"/>
        </w:trPr>
        <w:tc>
          <w:tcPr>
            <w:tcW w:w="4380" w:type="dxa"/>
            <w:vAlign w:val="bottom"/>
            <w:gridSpan w:val="2"/>
          </w:tcPr>
          <w:p>
            <w:pPr>
              <w:spacing w:after="0"/>
              <w:rPr>
                <w:sz w:val="20"/>
                <w:szCs w:val="20"/>
                <w:color w:val="auto"/>
              </w:rPr>
            </w:pPr>
            <w:r>
              <w:rPr>
                <w:rFonts w:ascii="Arial" w:cs="Arial" w:eastAsia="Arial" w:hAnsi="Arial"/>
                <w:sz w:val="13"/>
                <w:szCs w:val="13"/>
                <w:color w:val="auto"/>
              </w:rPr>
              <w:t>William B. Shepro</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40</w:t>
            </w:r>
          </w:p>
        </w:tc>
        <w:tc>
          <w:tcPr>
            <w:tcW w:w="940" w:type="dxa"/>
            <w:vAlign w:val="bottom"/>
            <w:gridSpan w:val="2"/>
          </w:tcPr>
          <w:p>
            <w:pPr>
              <w:jc w:val="center"/>
              <w:ind w:left="253"/>
              <w:spacing w:after="0"/>
              <w:rPr>
                <w:sz w:val="20"/>
                <w:szCs w:val="20"/>
                <w:color w:val="auto"/>
              </w:rPr>
            </w:pPr>
            <w:r>
              <w:rPr>
                <w:rFonts w:ascii="Arial" w:cs="Arial" w:eastAsia="Arial" w:hAnsi="Arial"/>
                <w:sz w:val="13"/>
                <w:szCs w:val="13"/>
                <w:color w:val="auto"/>
                <w:w w:val="89"/>
              </w:rPr>
              <w:t>2009</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Roland Müller-Ineichen</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49</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3"/>
                <w:szCs w:val="13"/>
                <w:color w:val="auto"/>
                <w:w w:val="89"/>
              </w:rPr>
              <w:t>2009</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X(2)</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4380" w:type="dxa"/>
            <w:vAlign w:val="bottom"/>
            <w:gridSpan w:val="2"/>
          </w:tcPr>
          <w:p>
            <w:pPr>
              <w:spacing w:after="0"/>
              <w:rPr>
                <w:sz w:val="20"/>
                <w:szCs w:val="20"/>
                <w:color w:val="auto"/>
              </w:rPr>
            </w:pPr>
            <w:r>
              <w:rPr>
                <w:rFonts w:ascii="Arial" w:cs="Arial" w:eastAsia="Arial" w:hAnsi="Arial"/>
                <w:sz w:val="13"/>
                <w:szCs w:val="13"/>
                <w:color w:val="auto"/>
              </w:rPr>
              <w:t>Timo Vättö</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45</w:t>
            </w:r>
          </w:p>
        </w:tc>
        <w:tc>
          <w:tcPr>
            <w:tcW w:w="940" w:type="dxa"/>
            <w:vAlign w:val="bottom"/>
            <w:gridSpan w:val="2"/>
          </w:tcPr>
          <w:p>
            <w:pPr>
              <w:jc w:val="center"/>
              <w:ind w:left="253"/>
              <w:spacing w:after="0"/>
              <w:rPr>
                <w:sz w:val="20"/>
                <w:szCs w:val="20"/>
                <w:color w:val="auto"/>
              </w:rPr>
            </w:pPr>
            <w:r>
              <w:rPr>
                <w:rFonts w:ascii="Arial" w:cs="Arial" w:eastAsia="Arial" w:hAnsi="Arial"/>
                <w:sz w:val="13"/>
                <w:szCs w:val="13"/>
                <w:color w:val="auto"/>
                <w:w w:val="89"/>
              </w:rPr>
              <w:t>2009</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Silke Andresen-Kienz</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52</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3"/>
                <w:szCs w:val="13"/>
                <w:color w:val="auto"/>
                <w:w w:val="89"/>
              </w:rPr>
              <w:t>2010</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-613410</wp:posOffset>
            </wp:positionV>
            <wp:extent cx="254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hanging="266"/>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March 15, 2010</w:t>
      </w:r>
    </w:p>
    <w:p>
      <w:pPr>
        <w:spacing w:after="0" w:line="62" w:lineRule="exact"/>
        <w:rPr>
          <w:rFonts w:ascii="Arial" w:cs="Arial" w:eastAsia="Arial" w:hAnsi="Arial"/>
          <w:sz w:val="13"/>
          <w:szCs w:val="13"/>
          <w:color w:val="auto"/>
        </w:rPr>
      </w:pPr>
    </w:p>
    <w:p>
      <w:pPr>
        <w:ind w:left="1000" w:hanging="266"/>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Committee Chairman for 2009. Mr. DeNormandie served as Committee Chairman for the Compensation Committee for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principal occupation for the last five (5) years and additional biographical information of each Director of Altisource is set forth below.</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our Directors bring to Altisource’s Board of Directors a wealth of executive leadership experience derived from their service as executives of large corporations.</w:t>
      </w:r>
    </w:p>
    <w:p>
      <w:pPr>
        <w:spacing w:after="0" w:line="102" w:lineRule="exact"/>
        <w:rPr>
          <w:sz w:val="20"/>
          <w:szCs w:val="20"/>
          <w:color w:val="auto"/>
        </w:rPr>
      </w:pPr>
    </w:p>
    <w:p>
      <w:pPr>
        <w:ind w:left="680" w:right="240" w:firstLine="399"/>
        <w:spacing w:after="0" w:line="265" w:lineRule="auto"/>
        <w:rPr>
          <w:sz w:val="20"/>
          <w:szCs w:val="20"/>
          <w:color w:val="auto"/>
        </w:rPr>
      </w:pPr>
      <w:r>
        <w:rPr>
          <w:rFonts w:ascii="Arial" w:cs="Arial" w:eastAsia="Arial" w:hAnsi="Arial"/>
          <w:sz w:val="13"/>
          <w:szCs w:val="13"/>
          <w:i w:val="1"/>
          <w:iCs w:val="1"/>
          <w:color w:val="auto"/>
        </w:rPr>
        <w:t xml:space="preserve">William C. Erbey. </w:t>
      </w:r>
      <w:r>
        <w:rPr>
          <w:rFonts w:ascii="Arial" w:cs="Arial" w:eastAsia="Arial" w:hAnsi="Arial"/>
          <w:sz w:val="13"/>
          <w:szCs w:val="13"/>
          <w:color w:val="auto"/>
        </w:rPr>
        <w:t>Mr. Erbey was appointed as the Chairman of the Board of Altisource in July, 2009. He has served as the Chairman of the Board of Directors of Ocwen</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Corporation (“Ocwen”), Altisource’s former parent company, since September 1996 and as the Chief Executive Officer of Ocwen since January 1988. He served as the President of Ocwen from January 1988 to May 1998. From 1983 to 1985,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He holds a Bachelor of Arts in Economics from Allegheny College and a Masters of Business Administration from Harvard University.</w:t>
      </w:r>
    </w:p>
    <w:p>
      <w:pPr>
        <w:spacing w:after="0" w:line="68"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47" w:lineRule="exact"/>
        <w:rPr>
          <w:sz w:val="20"/>
          <w:szCs w:val="20"/>
          <w:color w:val="auto"/>
        </w:rPr>
      </w:pPr>
    </w:p>
    <w:p>
      <w:pPr>
        <w:jc w:val="both"/>
        <w:ind w:left="680" w:right="200" w:firstLine="399"/>
        <w:spacing w:after="0" w:line="309" w:lineRule="auto"/>
        <w:rPr>
          <w:sz w:val="20"/>
          <w:szCs w:val="20"/>
          <w:color w:val="auto"/>
        </w:rPr>
      </w:pPr>
      <w:r>
        <w:rPr>
          <w:rFonts w:ascii="Arial" w:cs="Arial" w:eastAsia="Arial" w:hAnsi="Arial"/>
          <w:sz w:val="12"/>
          <w:szCs w:val="12"/>
          <w:i w:val="1"/>
          <w:iCs w:val="1"/>
          <w:color w:val="auto"/>
        </w:rPr>
        <w:t xml:space="preserve">William B. Shepro. </w:t>
      </w:r>
      <w:r>
        <w:rPr>
          <w:rFonts w:ascii="Arial" w:cs="Arial" w:eastAsia="Arial" w:hAnsi="Arial"/>
          <w:sz w:val="12"/>
          <w:szCs w:val="12"/>
          <w:color w:val="auto"/>
        </w:rPr>
        <w:t>Mr. Shepro was appointed to the Board of Altisource in July, 2009. Mr. Shepro serves as a Director and Chief Executive Officer of Altisource. Mr. Shepro</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served as 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60"/>
        <w:spacing w:after="0" w:line="294" w:lineRule="auto"/>
        <w:rPr>
          <w:sz w:val="20"/>
          <w:szCs w:val="20"/>
          <w:color w:val="auto"/>
        </w:rPr>
      </w:pPr>
      <w:r>
        <w:rPr>
          <w:rFonts w:ascii="Arial" w:cs="Arial" w:eastAsia="Arial" w:hAnsi="Arial"/>
          <w:sz w:val="13"/>
          <w:szCs w:val="13"/>
          <w:color w:val="auto"/>
        </w:rPr>
        <w:t>Director, Senior Manager of Commercial Servicing and Counsel in the Law Department since joining Ocwen in 1997. He holds a Bachelor of Science in Business from Skidmore College and a Juris Doctorate from the Florida State University College of Law.</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Mr. Shepro’s day-to-day leadership and intimate knowledge of our business and operations provides the Board of Directors with Company-specific experience and expertise. Furthermore, Mr. Shepro’s legal background and experience in the residential and commercial mortgage servicing industries provides the Board of Directors with valuable strategic and operational insights.</w:t>
      </w:r>
    </w:p>
    <w:p>
      <w:pPr>
        <w:spacing w:after="0" w:line="59"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i w:val="1"/>
          <w:iCs w:val="1"/>
          <w:color w:val="auto"/>
        </w:rPr>
        <w:t xml:space="preserve">Roland Müller-Ineichen. </w:t>
      </w:r>
      <w:r>
        <w:rPr>
          <w:rFonts w:ascii="Arial" w:cs="Arial" w:eastAsia="Arial" w:hAnsi="Arial"/>
          <w:sz w:val="13"/>
          <w:szCs w:val="13"/>
          <w:color w:val="auto"/>
        </w:rPr>
        <w:t>Mr. Müller-Ineichen was appointed to the Board of Altisource in July, 2009. Mr. Müller-Ineichen most recently served as a Partner with KPMG</w:t>
      </w:r>
      <w:r>
        <w:rPr>
          <w:rFonts w:ascii="Arial" w:cs="Arial" w:eastAsia="Arial" w:hAnsi="Arial"/>
          <w:sz w:val="13"/>
          <w:szCs w:val="13"/>
          <w:i w:val="1"/>
          <w:iCs w:val="1"/>
          <w:color w:val="auto"/>
        </w:rPr>
        <w:t xml:space="preserve"> </w:t>
      </w:r>
      <w:r>
        <w:rPr>
          <w:rFonts w:ascii="Arial" w:cs="Arial" w:eastAsia="Arial" w:hAnsi="Arial"/>
          <w:sz w:val="13"/>
          <w:szCs w:val="13"/>
          <w:color w:val="auto"/>
        </w:rPr>
        <w:t>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 based financial institutions. Mr. Müller-Ineichen is a Swiss Certified Public Accountant. He completed a commercial and banking business apprenticeship with UBS in 1980. Mr. Müller-Ineichen holds a Business Commerce degree.</w:t>
      </w:r>
    </w:p>
    <w:p>
      <w:pPr>
        <w:spacing w:after="0" w:line="6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w:t>
      </w:r>
    </w:p>
    <w:p>
      <w:pPr>
        <w:spacing w:after="0" w:line="59"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i w:val="1"/>
          <w:iCs w:val="1"/>
          <w:color w:val="auto"/>
        </w:rPr>
        <w:t xml:space="preserve">Timo Vättö. </w:t>
      </w:r>
      <w:r>
        <w:rPr>
          <w:rFonts w:ascii="Arial" w:cs="Arial" w:eastAsia="Arial" w:hAnsi="Arial"/>
          <w:sz w:val="13"/>
          <w:szCs w:val="13"/>
          <w:color w:val="auto"/>
        </w:rPr>
        <w:t>Mr. Vättö was appointed to the Board of Altisource in August, 2009. He is the founder and owner of Vättö Management Services AG, a provider of independent</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68"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Mr. Vättö’s experience with Vättö Management Services AG and Citigroup makes him financially literate as required pursuant to the NASDAQ listing standards, and his knowledge of the financial services industry provides the Board of Directors with subject matter expertise.</w:t>
      </w:r>
    </w:p>
    <w:p>
      <w:pPr>
        <w:spacing w:after="0" w:line="47"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i w:val="1"/>
          <w:iCs w:val="1"/>
          <w:color w:val="auto"/>
        </w:rPr>
        <w:t xml:space="preserve">Silke Andresen-Kienz. </w:t>
      </w:r>
      <w:r>
        <w:rPr>
          <w:rFonts w:ascii="Arial" w:cs="Arial" w:eastAsia="Arial" w:hAnsi="Arial"/>
          <w:sz w:val="12"/>
          <w:szCs w:val="12"/>
          <w:color w:val="auto"/>
        </w:rPr>
        <w:t>Mrs. Andresen-Kienz is the Managing Director of North Channel Bank. Prior to joining North Channel Bank in December, 2009, Mrs. Andersen-Kienz</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Managing Director of Ocwen Germany Holdings GmbH, a wholly owned subsidiary of Ocwen Financial Corporation and the General Partner of Bankhaus Oswald Kruber GmbH &amp; Co. KG (“BOK”), where she was responsible for the business operations of BOK, from 2006 to 2009. From 2000 to 2006, Mrs. Andresen-Kienz served as Director of the Executive Board and General Manager of Wohnungsbaukredtianstalt, a public bank for real estate financing in Hamburg, Germany. Mrs. Andresen-Kienz has many years’ experience in organizing banking business processes with a specific expertise in organization, information technology, project management, credit monitoring, risk management and regulatory requirements. Mrs. Andresen-Kienz holds a Masters Degree of National Economics from the University of Hamburg (Germany).</w:t>
      </w:r>
    </w:p>
    <w:p>
      <w:pPr>
        <w:spacing w:after="0" w:line="51"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Mrs. Andresen-Kienz’s extensive experience in the financial services and real estate financing industries provides the Board of Directors with valuable insights. Furthermore, her experience in the banking industry makes her financially literate as required by the NASDAQ listing standards.</w:t>
      </w:r>
    </w:p>
    <w:p>
      <w:pPr>
        <w:spacing w:after="0" w:line="20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THAT YOU VOTE “FOR” EACH OF THE NOMINEES FOR DIRECTOR</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BOARD OF DIRECTORS AND CORPORATE GOVERNANCE</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 of the Board of Directors</w:t>
      </w:r>
    </w:p>
    <w:p>
      <w:pPr>
        <w:spacing w:after="0" w:line="104"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24"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Following the separation of Altisource from Ocwen, our Board of Directors held one (1) meeting during 2009. Each incumbent Director attended this meeting and each of the meetings held by all committees of our Board of Directors on which he served during the period. Although we do not have a formal policy regarding Director attendance at the Annual Meeting, our Directors are expected to attend.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Independence of Directors</w:t>
      </w:r>
    </w:p>
    <w:p>
      <w:pPr>
        <w:spacing w:after="0" w:line="104"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Our Corporate Governance Guidelines provide that our Board of Directors must be comprised of a majority of Directors who qualify as independent Directors under the listing standards of the NASDAQ Stock Market and applicable law.</w:t>
      </w:r>
    </w:p>
    <w:p>
      <w:pPr>
        <w:spacing w:after="0" w:line="4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Stock Market and applicable law. Our current Board of Directors has determined Mr. Müller-Ineichen, Mr. Vättö and Mrs. Andresen-Kienz are independent Directors.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04"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Our Board of Directors has established an Executive Committee, an Audit Committee, a Compensation Committee and a Nomination/Governance Committee. A brief description of these Committees is provided below.</w:t>
      </w:r>
    </w:p>
    <w:p>
      <w:pPr>
        <w:spacing w:after="0" w:line="47"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Executive Committee. </w:t>
      </w:r>
      <w:r>
        <w:rPr>
          <w:rFonts w:ascii="Arial" w:cs="Arial" w:eastAsia="Arial" w:hAnsi="Arial"/>
          <w:sz w:val="12"/>
          <w:szCs w:val="12"/>
          <w:color w:val="auto"/>
        </w:rPr>
        <w:t>Our Executive Committee is generally responsible to act on behalf of our Board of Directors during the intervals between meetings of our Board of</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On September 22, 2009, our Board of Directors authorized the Committee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In 2009, no transactions were approved in this manner on behalf of the Board of Directors.</w:t>
      </w:r>
    </w:p>
    <w:p>
      <w:pPr>
        <w:spacing w:after="0" w:line="4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i w:val="1"/>
          <w:iCs w:val="1"/>
          <w:color w:val="auto"/>
        </w:rPr>
        <w:t xml:space="preserve">Audit Committee. </w:t>
      </w:r>
      <w:r>
        <w:rPr>
          <w:rFonts w:ascii="Arial" w:cs="Arial" w:eastAsia="Arial" w:hAnsi="Arial"/>
          <w:sz w:val="12"/>
          <w:szCs w:val="12"/>
          <w:color w:val="auto"/>
        </w:rPr>
        <w:t>The Audit Committee of our Board of Directors oversees the relationship with our independent registered certified public accounting firm, reviews and advises</w:t>
      </w:r>
      <w:r>
        <w:rPr>
          <w:rFonts w:ascii="Arial" w:cs="Arial" w:eastAsia="Arial" w:hAnsi="Arial"/>
          <w:sz w:val="12"/>
          <w:szCs w:val="12"/>
          <w:i w:val="1"/>
          <w:iCs w:val="1"/>
          <w:color w:val="auto"/>
        </w:rPr>
        <w:t xml:space="preserve"> </w:t>
      </w:r>
      <w:r>
        <w:rPr>
          <w:rFonts w:ascii="Arial" w:cs="Arial" w:eastAsia="Arial" w:hAnsi="Arial"/>
          <w:sz w:val="12"/>
          <w:szCs w:val="12"/>
          <w:color w:val="auto"/>
        </w:rPr>
        <w:t>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 independent as defined in regulations adopted by the Securities and Exchange Commission and the listing standards of the NASDAQ Stock Market. Our Board of Directors has</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67" w:lineRule="auto"/>
        <w:rPr>
          <w:sz w:val="20"/>
          <w:szCs w:val="20"/>
          <w:color w:val="auto"/>
        </w:rPr>
      </w:pPr>
      <w:r>
        <w:rPr>
          <w:rFonts w:ascii="Arial" w:cs="Arial" w:eastAsia="Arial" w:hAnsi="Arial"/>
          <w:sz w:val="13"/>
          <w:szCs w:val="13"/>
          <w:color w:val="auto"/>
        </w:rPr>
        <w:t>determined that all members of our Audit Committee are financially literate. Further, our Board of Directors has determined that Mr. Müller-Ineichen possesses accounting or related financial management expertise within the meaning of the listing standards of the NASDAQ Stock Market and qualifies as an audit committee financial expert as that term is defined in Securities and Exchange Commission rules implementing requirements of the Sarbanes-Oxley Act of 2002. Our Audit Committee operates under a written charter approved by our Board of Directors a copy of which is available on our website at www.altisource.com and is available in print to any shareholder who requests it. This Committee met two (2) times during 2009.</w:t>
      </w:r>
    </w:p>
    <w:p>
      <w:pPr>
        <w:spacing w:after="0" w:line="65"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Compensation Committee of our Board of Directors oversees our compensation and employee benefit plans and practices. Our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also evaluates and makes recommendations to our Board of Directors for human resource and compensation matters relating to our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56" w:lineRule="exact"/>
        <w:rPr>
          <w:sz w:val="20"/>
          <w:szCs w:val="20"/>
          <w:color w:val="auto"/>
        </w:rPr>
      </w:pPr>
    </w:p>
    <w:p>
      <w:pPr>
        <w:ind w:left="680" w:right="120" w:firstLine="399"/>
        <w:spacing w:after="0" w:line="290" w:lineRule="auto"/>
        <w:rPr>
          <w:sz w:val="20"/>
          <w:szCs w:val="20"/>
          <w:color w:val="auto"/>
        </w:rPr>
      </w:pPr>
      <w:r>
        <w:rPr>
          <w:rFonts w:ascii="Arial" w:cs="Arial" w:eastAsia="Arial" w:hAnsi="Arial"/>
          <w:sz w:val="12"/>
          <w:szCs w:val="12"/>
          <w:color w:val="auto"/>
        </w:rPr>
        <w:t>The members of the Compensation Committee for 2009 were Messrs. Müller-Ineichen, Vättö and DeNormandie. Each member of the Compensation Committee is independent as defined in the listing standards of the NASDAQ Stock Market.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5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Compensation Committee operates under a written charter approved by our Board of Directors a copy of which is available on our website at www.altisource.com and is available in print to any shareholder who requests it. This Committee did not meet in 2009.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approved by the Board of Directors in September 2009.</w:t>
      </w:r>
    </w:p>
    <w:p>
      <w:pPr>
        <w:spacing w:after="0" w:line="48"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68"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i w:val="1"/>
          <w:iCs w:val="1"/>
          <w:color w:val="auto"/>
        </w:rPr>
        <w:t xml:space="preserve">Compensation Committee Interlocks and Insider Participation. </w:t>
      </w:r>
      <w:r>
        <w:rPr>
          <w:rFonts w:ascii="Arial" w:cs="Arial" w:eastAsia="Arial" w:hAnsi="Arial"/>
          <w:sz w:val="13"/>
          <w:szCs w:val="13"/>
          <w:color w:val="auto"/>
        </w:rPr>
        <w:t>No member of the Compensation Committee was, at any time during the 2009 fiscal year or at any other time, an</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or employee of the Company, and no member had any relationship with us requiring disclosure under Item 404 of Securities and</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20"/>
        <w:spacing w:after="0" w:line="294" w:lineRule="auto"/>
        <w:rPr>
          <w:sz w:val="20"/>
          <w:szCs w:val="20"/>
          <w:color w:val="auto"/>
        </w:rPr>
      </w:pPr>
      <w:r>
        <w:rPr>
          <w:rFonts w:ascii="Arial" w:cs="Arial" w:eastAsia="Arial" w:hAnsi="Arial"/>
          <w:sz w:val="13"/>
          <w:szCs w:val="13"/>
          <w:color w:val="auto"/>
        </w:rPr>
        <w:t>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2009 fiscal year.</w:t>
      </w:r>
    </w:p>
    <w:p>
      <w:pPr>
        <w:spacing w:after="0" w:line="47"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i w:val="1"/>
          <w:iCs w:val="1"/>
          <w:color w:val="auto"/>
        </w:rPr>
        <w:t xml:space="preserve">Nomination/Governance Committee. </w:t>
      </w:r>
      <w:r>
        <w:rPr>
          <w:rFonts w:ascii="Arial" w:cs="Arial" w:eastAsia="Arial" w:hAnsi="Arial"/>
          <w:sz w:val="12"/>
          <w:szCs w:val="12"/>
          <w:color w:val="auto"/>
        </w:rPr>
        <w:t>The Nomination/Governance Committee of our Board of Directors makes recommendations to our Board of Directors of individuals</w:t>
      </w:r>
      <w:r>
        <w:rPr>
          <w:rFonts w:ascii="Arial" w:cs="Arial" w:eastAsia="Arial" w:hAnsi="Arial"/>
          <w:sz w:val="12"/>
          <w:szCs w:val="12"/>
          <w:i w:val="1"/>
          <w:iCs w:val="1"/>
          <w:color w:val="auto"/>
        </w:rPr>
        <w:t xml:space="preserve"> </w:t>
      </w:r>
      <w:r>
        <w:rPr>
          <w:rFonts w:ascii="Arial" w:cs="Arial" w:eastAsia="Arial" w:hAnsi="Arial"/>
          <w:sz w:val="12"/>
          <w:szCs w:val="12"/>
          <w:color w:val="auto"/>
        </w:rPr>
        <w:t>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Other than Mr. Erbey, each member of our Nomination/Governance Committee is independent as defined in the listing standards of the NASDAQ Stock Market. The Board of Directors found that, on the basis of the limited and exceptional circumstance described below, Mr. Erbey’s membership on the Nomination/Governance Committee is required by the best interests of Altisource and its shareholders. In making the finding of limited and exceptional circumstances, the Board found that the limited size of the Board of Directors immediately following the separation from Ocwen necessitated Mr. Erbey’s inclusion on the Nomination/Governance Committee for a limited period of time. Our Nomination/Governance Committee operates under a written charter approved by our Board of Directors, a copy of which is available on our web site at www.altisource.com and is available in print to any shareholder who requests it. This Committee did not meet in 2009.</w:t>
      </w:r>
    </w:p>
    <w:p>
      <w:pPr>
        <w:spacing w:after="0" w:line="5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NASDAQ Stock Market.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views diversity in an expansive way to include differences in prior work experience, view point, education and skills.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52"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70"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If you want to recommend persons for consideration by our Nomination/Governance Committee as nominees for election to our Board of Directors, you can do so by writing to our Corporate Secretary at Altisource Portfolio Solutions S.A., 2, rue Jean Bertholet, L-1233 Luxembourg,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2011 Annual Meeting, we must receive your recommendations by November 1, 2010.</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Corporate Governance Guidelines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Nomination/Governance Committee will review our Corporate Governance Guidelines at least once a year and, if necessary, recommends changes to our Board of Directors. Our Corporate Governance Guidelines are available on our web site at www.altisource.com and are available to any shareholder who requests them by writing to our Corporate Secretary at Altisource Portfolio Solutions S.A., 2, rue Jean Bertholet, L-1233 Luxembourg, Grand Duchy of Luxembourg.</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Sessions of Non-Management Directors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Non-management Directors met in executive session without management one (1) time during 2009.</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Communications with Directors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If you desire to contact our Board of Directors or any individual Director regarding Altisource, you may do so by mail addressed to our Corporate Secretary at Altisource Portfolio Solutions S.A., 2, rue Jean Bertholet, L-1233 Luxembourg Grand Duchy of Luxembourg. Communications received in writing are distributed to our Board of Directors or to individual Directors, as appropriate, depending on the facts and circumstances outlined in the communication received.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Ethics</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adopted a Code of Business Conduct and Ethics that applies to our Directors, officers and employees as required by the NASDAQ Stock Market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www.altisource.com and are available to any shareholder who requests a copy by writing to our Corporate Secretary at 2, rue Jean Bertholet, L-1233 Luxembourg, Grand Duchy of Luxembourg. Any amendments to the Code of Business Conduct and Ethics or the Code of Ethics for Senior Financial Officers, as well as any waivers that are required to be disclosed under the rules of the Securities and Exchange Commission or the NASDAQ Stock Market, will be posted on our website.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Management and Oversight Process</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entire Board of Directors and each of its committees are involved in overseeing risk associated with Altisource. The Board of Directors and the Audit Committee monitor Altisource’s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Altisource’s governance and succession risk by regular review with management. The Board of Directors and the Compensation Committee monitor Altisource’s compensation policies and related risks by regular reviews with management.</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BOARD OF DIRECTORS COMPENSATION</w:t>
      </w:r>
    </w:p>
    <w:p>
      <w:pPr>
        <w:spacing w:after="0" w:line="84"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The following table discloses compensation received by each non-management member of our Board of Directors who served as a Director during fiscal year 2009. Our management Directors do not receive an annual retainer or any other compensation for their service on the Board of Directors.</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0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4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5"/>
              </w:rPr>
              <w:t>Fees Earned</w:t>
            </w:r>
          </w:p>
        </w:tc>
        <w:tc>
          <w:tcPr>
            <w:tcW w:w="80" w:type="dxa"/>
            <w:vAlign w:val="bottom"/>
          </w:tcPr>
          <w:p>
            <w:pPr>
              <w:spacing w:after="0"/>
              <w:rPr>
                <w:sz w:val="10"/>
                <w:szCs w:val="10"/>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3"/>
              </w:rPr>
              <w:t>Stock</w:t>
            </w:r>
          </w:p>
        </w:tc>
        <w:tc>
          <w:tcPr>
            <w:tcW w:w="120" w:type="dxa"/>
            <w:vAlign w:val="bottom"/>
          </w:tcPr>
          <w:p>
            <w:pPr>
              <w:spacing w:after="0"/>
              <w:rPr>
                <w:sz w:val="10"/>
                <w:szCs w:val="10"/>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4"/>
              </w:rPr>
              <w:t>All Other</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2"/>
              </w:rPr>
              <w:t>Or Paid in Cash</w:t>
            </w:r>
          </w:p>
        </w:tc>
        <w:tc>
          <w:tcPr>
            <w:tcW w:w="8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0"/>
              </w:rPr>
              <w:t>Awards</w:t>
            </w:r>
          </w:p>
        </w:tc>
        <w:tc>
          <w:tcPr>
            <w:tcW w:w="12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6"/>
              </w:rPr>
              <w:t>Compensation</w:t>
            </w:r>
          </w:p>
        </w:tc>
        <w:tc>
          <w:tcPr>
            <w:tcW w:w="140" w:type="dxa"/>
            <w:vAlign w:val="bottom"/>
          </w:tcPr>
          <w:p>
            <w:pPr>
              <w:spacing w:after="0"/>
              <w:rPr>
                <w:sz w:val="11"/>
                <w:szCs w:val="11"/>
                <w:color w:val="auto"/>
              </w:rPr>
            </w:pP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Roland Müller-Ineichen</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32,083</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20"/>
                <w:szCs w:val="20"/>
                <w:color w:val="auto"/>
              </w:rPr>
            </w:pPr>
            <w:r>
              <w:rPr>
                <w:rFonts w:ascii="Arial" w:cs="Arial" w:eastAsia="Arial" w:hAnsi="Arial"/>
                <w:sz w:val="13"/>
                <w:szCs w:val="13"/>
                <w:color w:val="auto"/>
              </w:rPr>
              <w:t>Timo Vättö</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15,000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6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Robert L. DeNormandie(1)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16,667</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Arial" w:cs="Arial" w:eastAsia="Arial" w:hAnsi="Arial"/>
                <w:sz w:val="13"/>
                <w:szCs w:val="13"/>
                <w:color w:val="auto"/>
              </w:rPr>
              <w:t>William C. Erbey</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39,167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50800</wp:posOffset>
            </wp:positionV>
            <wp:extent cx="8255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Mr. DeNormandie is not seeking reelection to the Board of Directors.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Compensation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provide the following cash compensation to our non-management Directors in quarterly installments:</w:t>
      </w:r>
    </w:p>
    <w:p>
      <w:pPr>
        <w:spacing w:after="0" w:line="102"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annual retainer of $40,000;</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additional $50,000 to the Chairman of the Board;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additional $12,500 to the Audit Committee chairperson;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additional $5,000 to all committee chairpersons (other than the Audit Committee chairperson)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additional $5,000 to all Audit Committee members.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Compensation Issues</w:t>
      </w:r>
    </w:p>
    <w:p>
      <w:pPr>
        <w:spacing w:after="0" w:line="104"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41"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As part of Director compensation, non-Management Directors receive shares of Common Stock of Altisource with a fair market value of $45,000. “Fair Market Value” is defined as the average of the high and low prices of the Common Stock as reported on the NASDAQ Stock Exchange on the award date.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award period.</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OFFICERS WHO ARE NOT DIRECTORS</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Altisource or any of its subsidiaries by blood, marriage or adoption.</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2760" w:type="dxa"/>
            <w:vAlign w:val="bottom"/>
          </w:tcPr>
          <w:p>
            <w:pPr>
              <w:spacing w:after="0"/>
              <w:rPr>
                <w:sz w:val="20"/>
                <w:szCs w:val="20"/>
                <w:color w:val="auto"/>
              </w:rPr>
            </w:pPr>
            <w:r>
              <w:rPr>
                <w:rFonts w:ascii="Arial" w:cs="Arial" w:eastAsia="Arial" w:hAnsi="Arial"/>
                <w:sz w:val="11"/>
                <w:szCs w:val="11"/>
                <w:b w:val="1"/>
                <w:bCs w:val="1"/>
                <w:color w:val="auto"/>
              </w:rPr>
              <w:t>Name(1)</w:t>
            </w:r>
          </w:p>
        </w:tc>
        <w:tc>
          <w:tcPr>
            <w:tcW w:w="1740" w:type="dxa"/>
            <w:vAlign w:val="bottom"/>
          </w:tcPr>
          <w:p>
            <w:pPr>
              <w:jc w:val="right"/>
              <w:ind w:right="16"/>
              <w:spacing w:after="0"/>
              <w:rPr>
                <w:sz w:val="20"/>
                <w:szCs w:val="20"/>
                <w:color w:val="auto"/>
              </w:rPr>
            </w:pPr>
            <w:r>
              <w:rPr>
                <w:rFonts w:ascii="Arial" w:cs="Arial" w:eastAsia="Arial" w:hAnsi="Arial"/>
                <w:sz w:val="11"/>
                <w:szCs w:val="11"/>
                <w:b w:val="1"/>
                <w:bCs w:val="1"/>
                <w:color w:val="auto"/>
              </w:rPr>
              <w:t>Age</w:t>
            </w:r>
          </w:p>
        </w:tc>
        <w:tc>
          <w:tcPr>
            <w:tcW w:w="5480" w:type="dxa"/>
            <w:vAlign w:val="bottom"/>
          </w:tcPr>
          <w:p>
            <w:pPr>
              <w:ind w:left="276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r>
      <w:tr>
        <w:trPr>
          <w:trHeight w:val="49"/>
        </w:trPr>
        <w:tc>
          <w:tcPr>
            <w:tcW w:w="2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161"/>
        </w:trPr>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Robert D. Stiles</w:t>
            </w:r>
          </w:p>
        </w:tc>
        <w:tc>
          <w:tcPr>
            <w:tcW w:w="1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37</w:t>
            </w:r>
          </w:p>
        </w:tc>
        <w:tc>
          <w:tcPr>
            <w:tcW w:w="5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Financial Officer</w:t>
            </w:r>
          </w:p>
        </w:tc>
      </w:tr>
      <w:tr>
        <w:trPr>
          <w:trHeight w:val="161"/>
        </w:trPr>
        <w:tc>
          <w:tcPr>
            <w:tcW w:w="2760" w:type="dxa"/>
            <w:vAlign w:val="bottom"/>
          </w:tcPr>
          <w:p>
            <w:pPr>
              <w:spacing w:after="0"/>
              <w:rPr>
                <w:sz w:val="20"/>
                <w:szCs w:val="20"/>
                <w:color w:val="auto"/>
              </w:rPr>
            </w:pPr>
            <w:r>
              <w:rPr>
                <w:rFonts w:ascii="Arial" w:cs="Arial" w:eastAsia="Arial" w:hAnsi="Arial"/>
                <w:sz w:val="13"/>
                <w:szCs w:val="13"/>
                <w:color w:val="auto"/>
              </w:rPr>
              <w:t>Kevin J. Wilcox</w:t>
            </w:r>
          </w:p>
        </w:tc>
        <w:tc>
          <w:tcPr>
            <w:tcW w:w="1740" w:type="dxa"/>
            <w:vAlign w:val="bottom"/>
          </w:tcPr>
          <w:p>
            <w:pPr>
              <w:jc w:val="right"/>
              <w:ind w:right="116"/>
              <w:spacing w:after="0"/>
              <w:rPr>
                <w:sz w:val="20"/>
                <w:szCs w:val="20"/>
                <w:color w:val="auto"/>
              </w:rPr>
            </w:pPr>
            <w:r>
              <w:rPr>
                <w:rFonts w:ascii="Arial" w:cs="Arial" w:eastAsia="Arial" w:hAnsi="Arial"/>
                <w:sz w:val="13"/>
                <w:szCs w:val="13"/>
                <w:color w:val="auto"/>
              </w:rPr>
              <w:t>46</w:t>
            </w:r>
          </w:p>
        </w:tc>
        <w:tc>
          <w:tcPr>
            <w:tcW w:w="5480" w:type="dxa"/>
            <w:vAlign w:val="bottom"/>
          </w:tcPr>
          <w:p>
            <w:pPr>
              <w:ind w:left="100"/>
              <w:spacing w:after="0"/>
              <w:rPr>
                <w:sz w:val="20"/>
                <w:szCs w:val="20"/>
                <w:color w:val="auto"/>
              </w:rPr>
            </w:pPr>
            <w:r>
              <w:rPr>
                <w:rFonts w:ascii="Arial" w:cs="Arial" w:eastAsia="Arial" w:hAnsi="Arial"/>
                <w:sz w:val="13"/>
                <w:szCs w:val="13"/>
                <w:color w:val="auto"/>
              </w:rPr>
              <w:t>Chief Administration Officer and General Counsel</w:t>
            </w:r>
          </w:p>
        </w:tc>
      </w:tr>
      <w:tr>
        <w:trPr>
          <w:trHeight w:val="161"/>
        </w:trPr>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John T. McRae II</w:t>
            </w:r>
          </w:p>
        </w:tc>
        <w:tc>
          <w:tcPr>
            <w:tcW w:w="1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40</w:t>
            </w:r>
          </w:p>
        </w:tc>
        <w:tc>
          <w:tcPr>
            <w:tcW w:w="5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of Nationwide Credit, Inc.</w:t>
            </w:r>
          </w:p>
        </w:tc>
      </w:tr>
      <w:tr>
        <w:trPr>
          <w:trHeight w:val="172"/>
        </w:trPr>
        <w:tc>
          <w:tcPr>
            <w:tcW w:w="2760" w:type="dxa"/>
            <w:vAlign w:val="bottom"/>
          </w:tcPr>
          <w:p>
            <w:pPr>
              <w:spacing w:after="0"/>
              <w:rPr>
                <w:sz w:val="20"/>
                <w:szCs w:val="20"/>
                <w:color w:val="auto"/>
              </w:rPr>
            </w:pPr>
            <w:r>
              <w:rPr>
                <w:rFonts w:ascii="Arial" w:cs="Arial" w:eastAsia="Arial" w:hAnsi="Arial"/>
                <w:sz w:val="13"/>
                <w:szCs w:val="13"/>
                <w:color w:val="auto"/>
              </w:rPr>
              <w:t>Shekar Sivasubramanian</w:t>
            </w:r>
          </w:p>
        </w:tc>
        <w:tc>
          <w:tcPr>
            <w:tcW w:w="1740" w:type="dxa"/>
            <w:vAlign w:val="bottom"/>
          </w:tcPr>
          <w:p>
            <w:pPr>
              <w:jc w:val="right"/>
              <w:ind w:right="116"/>
              <w:spacing w:after="0"/>
              <w:rPr>
                <w:sz w:val="20"/>
                <w:szCs w:val="20"/>
                <w:color w:val="auto"/>
              </w:rPr>
            </w:pPr>
            <w:r>
              <w:rPr>
                <w:rFonts w:ascii="Arial" w:cs="Arial" w:eastAsia="Arial" w:hAnsi="Arial"/>
                <w:sz w:val="13"/>
                <w:szCs w:val="13"/>
                <w:color w:val="auto"/>
              </w:rPr>
              <w:t>46</w:t>
            </w:r>
          </w:p>
        </w:tc>
        <w:tc>
          <w:tcPr>
            <w:tcW w:w="5480" w:type="dxa"/>
            <w:vAlign w:val="bottom"/>
          </w:tcPr>
          <w:p>
            <w:pPr>
              <w:ind w:left="100"/>
              <w:spacing w:after="0"/>
              <w:rPr>
                <w:sz w:val="20"/>
                <w:szCs w:val="20"/>
                <w:color w:val="auto"/>
              </w:rPr>
            </w:pPr>
            <w:r>
              <w:rPr>
                <w:rFonts w:ascii="Arial" w:cs="Arial" w:eastAsia="Arial" w:hAnsi="Arial"/>
                <w:sz w:val="13"/>
                <w:szCs w:val="13"/>
                <w:color w:val="auto"/>
              </w:rPr>
              <w:t>President of Mortgage Services and Technology Products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-447675</wp:posOffset>
            </wp:positionV>
            <wp:extent cx="254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All information set forth herein is as of March 15, 2010.</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principal occupation for the last five (5) years, as well as certain other biographical information, for each of our executive officers that is not a Director is set forth below.</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i w:val="1"/>
          <w:iCs w:val="1"/>
          <w:color w:val="auto"/>
        </w:rPr>
        <w:t xml:space="preserve">Robert D. Stiles. </w:t>
      </w:r>
      <w:r>
        <w:rPr>
          <w:rFonts w:ascii="Arial" w:cs="Arial" w:eastAsia="Arial" w:hAnsi="Arial"/>
          <w:sz w:val="13"/>
          <w:szCs w:val="13"/>
          <w:color w:val="auto"/>
        </w:rPr>
        <w:t>Mr. Stiles serves as Chief Financial Officer of Altisource. Prior to joining Altisource in March of 2009, Mr. Stiles served as Director, Controller for Centerline</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Group since October 2007, as Vice President and Assistant Controller for Viacom Inc. from April 2006 to May 2007 and in various positions within Time Warner Inc.’s financial reporting and tax policy groups from August 2002 to April 2006. Mr. Stiles began his career with KPMG LLP and is a Certified Public Accountant (Virginia). He holds a Bachelor of Business Administration in Accounting with a concentration in Information Systems from James Madison University and a Masters of Business Administration from Columbia University.</w:t>
      </w:r>
    </w:p>
    <w:p>
      <w:pPr>
        <w:spacing w:after="0" w:line="65"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i w:val="1"/>
          <w:iCs w:val="1"/>
          <w:color w:val="auto"/>
        </w:rPr>
        <w:t xml:space="preserve">Kevin J. Wilcox. </w:t>
      </w:r>
      <w:r>
        <w:rPr>
          <w:rFonts w:ascii="Arial" w:cs="Arial" w:eastAsia="Arial" w:hAnsi="Arial"/>
          <w:sz w:val="12"/>
          <w:szCs w:val="12"/>
          <w:color w:val="auto"/>
        </w:rPr>
        <w:t>Mr. Wilcox serves as Chief Administration Officer and General Counsel of Altisource. Before joining Altisource in August of 2009, he served as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48"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i w:val="1"/>
          <w:iCs w:val="1"/>
          <w:color w:val="auto"/>
        </w:rPr>
        <w:t xml:space="preserve">John T. McRae II. </w:t>
      </w:r>
      <w:r>
        <w:rPr>
          <w:rFonts w:ascii="Arial" w:cs="Arial" w:eastAsia="Arial" w:hAnsi="Arial"/>
          <w:sz w:val="13"/>
          <w:szCs w:val="13"/>
          <w:color w:val="auto"/>
        </w:rPr>
        <w:t>Mr. McRae serves as the Chief Executive Officer of Nationwide Credit, Inc. (“NCI”), a subsidiary of Altisource. Prior to joining NCI in August of 2008,</w:t>
      </w:r>
      <w:r>
        <w:rPr>
          <w:rFonts w:ascii="Arial" w:cs="Arial" w:eastAsia="Arial" w:hAnsi="Arial"/>
          <w:sz w:val="13"/>
          <w:szCs w:val="13"/>
          <w:i w:val="1"/>
          <w:iCs w:val="1"/>
          <w:color w:val="auto"/>
        </w:rPr>
        <w:t xml:space="preserve"> </w:t>
      </w:r>
      <w:r>
        <w:rPr>
          <w:rFonts w:ascii="Arial" w:cs="Arial" w:eastAsia="Arial" w:hAnsi="Arial"/>
          <w:sz w:val="13"/>
          <w:szCs w:val="13"/>
          <w:color w:val="auto"/>
        </w:rPr>
        <w:t>Mr. McRae served as Senior Vice President of Global Operations for Syniverse Technologies from December 2007 and as Senior Vice President of Operations for Emdeon Business Services and Chief Operating Officer of Emdeon Data Capturing Solutions division from December 2003. Mr. McRae served as Senior Vice President and General Manager of National Processing Company’s Corporate Outsourcing and Payments Services division from March 2000. He holds a Bachelor of Science in Business Administration from the University of Michigan and a Masters of Business Administration from Case Western University.</w:t>
      </w:r>
    </w:p>
    <w:p>
      <w:pPr>
        <w:spacing w:after="0" w:line="65"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i w:val="1"/>
          <w:iCs w:val="1"/>
          <w:color w:val="auto"/>
        </w:rPr>
        <w:t xml:space="preserve">Shekar Sivasubramanian. </w:t>
      </w:r>
      <w:r>
        <w:rPr>
          <w:rFonts w:ascii="Arial" w:cs="Arial" w:eastAsia="Arial" w:hAnsi="Arial"/>
          <w:sz w:val="13"/>
          <w:szCs w:val="13"/>
          <w:color w:val="auto"/>
        </w:rPr>
        <w:t>Mr. Sivasubramanian has served as the President of Mortgage Services and Technology Products of Altisource since November 2008. He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and Chief Information Officer of Ocwen from 2002 through November 2008. Prior to joining Ocwen in June 2002, he was Chief Operating Officer of Mascot Systems. Mr. Sivasubramanian is currently pursuing his Ph.D. in Knowledge Management and Information Retrieval from Carnegie Mellon University. He holds a Bachelor’s degree in Technology from the Indian Institute of Technology and a Masters of Business Administration in Finance from the Bloch School of Business.</w:t>
      </w:r>
    </w:p>
    <w:p>
      <w:pPr>
        <w:spacing w:after="0" w:line="22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SECURITY OWNERSHIP OF CERTAIN BENEFICIAL OWNERS</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AND RELATED SHAREHOLDER MATTERS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information regarding the beneficial ownership of our Common Stock as of the record date by:</w:t>
      </w:r>
    </w:p>
    <w:p>
      <w:pPr>
        <w:spacing w:after="0" w:line="102" w:lineRule="exact"/>
        <w:rPr>
          <w:sz w:val="20"/>
          <w:szCs w:val="20"/>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each Director and named executive officer of Altisource;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Directors and named executive officers of Altisource as a group and</w:t>
      </w:r>
    </w:p>
    <w:p>
      <w:pPr>
        <w:spacing w:after="0" w:line="92" w:lineRule="exact"/>
        <w:rPr>
          <w:rFonts w:ascii="Arial" w:cs="Arial" w:eastAsia="Arial" w:hAnsi="Arial"/>
          <w:sz w:val="13"/>
          <w:szCs w:val="13"/>
          <w:color w:val="auto"/>
        </w:rPr>
      </w:pPr>
    </w:p>
    <w:p>
      <w:pPr>
        <w:ind w:left="1300" w:right="200" w:hanging="208"/>
        <w:spacing w:after="0" w:line="294"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persons known by Altisource to own beneficially 5% or more of the outstanding Common Stock or to have a Schedule 13D or Schedule 13G on file with the Securities and Exchange Commission.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is based upon information supplied to us by Directors, executive officers and principal shareholders and filings under the Securities Exchange Act of 1934, as amended.</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4200" w:type="dxa"/>
            <w:vAlign w:val="bottom"/>
            <w:gridSpan w:val="3"/>
          </w:tcPr>
          <w:p>
            <w:pPr>
              <w:spacing w:after="0"/>
              <w:rPr>
                <w:sz w:val="20"/>
                <w:szCs w:val="20"/>
                <w:color w:val="auto"/>
              </w:rPr>
            </w:pPr>
            <w:r>
              <w:rPr>
                <w:rFonts w:ascii="Arial" w:cs="Arial" w:eastAsia="Arial" w:hAnsi="Arial"/>
                <w:sz w:val="11"/>
                <w:szCs w:val="11"/>
                <w:b w:val="1"/>
                <w:bCs w:val="1"/>
                <w:color w:val="auto"/>
              </w:rPr>
              <w:t>Shares Beneficially Owned as of March 1, 2010(1)</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94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280" w:type="dxa"/>
            <w:vAlign w:val="bottom"/>
          </w:tcPr>
          <w:p>
            <w:pPr>
              <w:ind w:left="460"/>
              <w:spacing w:after="0" w:line="111" w:lineRule="exact"/>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9"/>
                <w:szCs w:val="9"/>
                <w:color w:val="auto"/>
              </w:rPr>
            </w:pPr>
          </w:p>
        </w:tc>
        <w:tc>
          <w:tcPr>
            <w:tcW w:w="560" w:type="dxa"/>
            <w:vAlign w:val="bottom"/>
          </w:tcPr>
          <w:p>
            <w:pPr>
              <w:ind w:left="120"/>
              <w:spacing w:after="0" w:line="111" w:lineRule="exact"/>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Wellington Management Company, LLP(2)</w:t>
            </w:r>
          </w:p>
        </w:tc>
        <w:tc>
          <w:tcPr>
            <w:tcW w:w="1280" w:type="dxa"/>
            <w:vAlign w:val="bottom"/>
          </w:tcPr>
          <w:p>
            <w:pPr>
              <w:jc w:val="right"/>
              <w:ind w:right="234"/>
              <w:spacing w:after="0"/>
              <w:rPr>
                <w:sz w:val="20"/>
                <w:szCs w:val="20"/>
                <w:color w:val="auto"/>
              </w:rPr>
            </w:pPr>
            <w:r>
              <w:rPr>
                <w:rFonts w:ascii="Arial" w:cs="Arial" w:eastAsia="Arial" w:hAnsi="Arial"/>
                <w:sz w:val="13"/>
                <w:szCs w:val="13"/>
                <w:color w:val="auto"/>
              </w:rPr>
              <w:t>2,334,448</w:t>
            </w:r>
          </w:p>
        </w:tc>
        <w:tc>
          <w:tcPr>
            <w:tcW w:w="900" w:type="dxa"/>
            <w:vAlign w:val="bottom"/>
            <w:gridSpan w:val="2"/>
          </w:tcPr>
          <w:p>
            <w:pPr>
              <w:jc w:val="right"/>
              <w:ind w:right="26"/>
              <w:spacing w:after="0"/>
              <w:rPr>
                <w:sz w:val="20"/>
                <w:szCs w:val="20"/>
                <w:color w:val="auto"/>
              </w:rPr>
            </w:pPr>
            <w:r>
              <w:rPr>
                <w:rFonts w:ascii="Arial" w:cs="Arial" w:eastAsia="Arial" w:hAnsi="Arial"/>
                <w:sz w:val="13"/>
                <w:szCs w:val="13"/>
                <w:color w:val="auto"/>
              </w:rPr>
              <w:t>8.8%</w:t>
            </w:r>
          </w:p>
        </w:tc>
      </w:tr>
      <w:tr>
        <w:trPr>
          <w:trHeight w:val="172"/>
        </w:trPr>
        <w:tc>
          <w:tcPr>
            <w:tcW w:w="7800" w:type="dxa"/>
            <w:vAlign w:val="bottom"/>
            <w:gridSpan w:val="3"/>
          </w:tcPr>
          <w:p>
            <w:pPr>
              <w:spacing w:after="0"/>
              <w:rPr>
                <w:sz w:val="20"/>
                <w:szCs w:val="20"/>
                <w:color w:val="auto"/>
              </w:rPr>
            </w:pPr>
            <w:r>
              <w:rPr>
                <w:rFonts w:ascii="Arial" w:cs="Arial" w:eastAsia="Arial" w:hAnsi="Arial"/>
                <w:sz w:val="13"/>
                <w:szCs w:val="13"/>
                <w:color w:val="auto"/>
              </w:rPr>
              <w:t>The Bank of New York Mellon Corporation(3)</w:t>
            </w:r>
          </w:p>
        </w:tc>
        <w:tc>
          <w:tcPr>
            <w:tcW w:w="1280" w:type="dxa"/>
            <w:vAlign w:val="bottom"/>
          </w:tcPr>
          <w:p>
            <w:pPr>
              <w:jc w:val="right"/>
              <w:ind w:right="234"/>
              <w:spacing w:after="0"/>
              <w:rPr>
                <w:sz w:val="20"/>
                <w:szCs w:val="20"/>
                <w:color w:val="auto"/>
              </w:rPr>
            </w:pPr>
            <w:r>
              <w:rPr>
                <w:rFonts w:ascii="Arial" w:cs="Arial" w:eastAsia="Arial" w:hAnsi="Arial"/>
                <w:sz w:val="13"/>
                <w:szCs w:val="13"/>
                <w:color w:val="auto"/>
              </w:rPr>
              <w:t>1,202,708</w:t>
            </w:r>
          </w:p>
        </w:tc>
        <w:tc>
          <w:tcPr>
            <w:tcW w:w="900" w:type="dxa"/>
            <w:vAlign w:val="bottom"/>
            <w:gridSpan w:val="2"/>
          </w:tcPr>
          <w:p>
            <w:pPr>
              <w:jc w:val="right"/>
              <w:ind w:right="26"/>
              <w:spacing w:after="0"/>
              <w:rPr>
                <w:sz w:val="20"/>
                <w:szCs w:val="20"/>
                <w:color w:val="auto"/>
              </w:rPr>
            </w:pPr>
            <w:r>
              <w:rPr>
                <w:rFonts w:ascii="Arial" w:cs="Arial" w:eastAsia="Arial" w:hAnsi="Arial"/>
                <w:sz w:val="13"/>
                <w:szCs w:val="13"/>
                <w:color w:val="auto"/>
              </w:rPr>
              <w:t>4.6%</w:t>
            </w:r>
          </w:p>
        </w:tc>
      </w:tr>
      <w:tr>
        <w:trPr>
          <w:trHeight w:val="303"/>
        </w:trPr>
        <w:tc>
          <w:tcPr>
            <w:tcW w:w="7800" w:type="dxa"/>
            <w:vAlign w:val="bottom"/>
            <w:gridSpan w:val="3"/>
          </w:tcPr>
          <w:p>
            <w:pPr>
              <w:spacing w:after="0"/>
              <w:rPr>
                <w:sz w:val="20"/>
                <w:szCs w:val="20"/>
                <w:color w:val="auto"/>
              </w:rPr>
            </w:pPr>
            <w:r>
              <w:rPr>
                <w:rFonts w:ascii="Arial" w:cs="Arial" w:eastAsia="Arial" w:hAnsi="Arial"/>
                <w:sz w:val="11"/>
                <w:szCs w:val="11"/>
                <w:b w:val="1"/>
                <w:bCs w:val="1"/>
                <w:color w:val="auto"/>
              </w:rPr>
              <w:t>Directors and Named Executive Officers:</w:t>
            </w:r>
          </w:p>
        </w:tc>
        <w:tc>
          <w:tcPr>
            <w:tcW w:w="1280" w:type="dxa"/>
            <w:vAlign w:val="bottom"/>
          </w:tcPr>
          <w:p>
            <w:pPr>
              <w:jc w:val="right"/>
              <w:ind w:right="374"/>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24"/>
                <w:szCs w:val="2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Percent</w:t>
            </w:r>
          </w:p>
        </w:tc>
      </w:tr>
      <w:tr>
        <w:trPr>
          <w:trHeight w:val="30"/>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William C. Erbey(4)</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6,292,670</w:t>
            </w:r>
          </w:p>
        </w:tc>
        <w:tc>
          <w:tcPr>
            <w:tcW w:w="90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23.8%</w:t>
            </w:r>
          </w:p>
        </w:tc>
      </w:t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William B. Shepro(5)</w:t>
            </w:r>
          </w:p>
        </w:tc>
        <w:tc>
          <w:tcPr>
            <w:tcW w:w="1280" w:type="dxa"/>
            <w:vAlign w:val="bottom"/>
          </w:tcPr>
          <w:p>
            <w:pPr>
              <w:jc w:val="right"/>
              <w:ind w:right="294"/>
              <w:spacing w:after="0"/>
              <w:rPr>
                <w:sz w:val="20"/>
                <w:szCs w:val="20"/>
                <w:color w:val="auto"/>
              </w:rPr>
            </w:pPr>
            <w:r>
              <w:rPr>
                <w:rFonts w:ascii="Arial" w:cs="Arial" w:eastAsia="Arial" w:hAnsi="Arial"/>
                <w:sz w:val="13"/>
                <w:szCs w:val="13"/>
                <w:color w:val="auto"/>
              </w:rPr>
              <w:t>154,994</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Roland Müller-Ineichen</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Timo Vättö</w:t>
            </w:r>
          </w:p>
        </w:tc>
        <w:tc>
          <w:tcPr>
            <w:tcW w:w="1280" w:type="dxa"/>
            <w:vAlign w:val="bottom"/>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Robert L. DeNormandie(6)</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Silke Andresen-Kienz(7)</w:t>
            </w:r>
          </w:p>
        </w:tc>
        <w:tc>
          <w:tcPr>
            <w:tcW w:w="1280" w:type="dxa"/>
            <w:vAlign w:val="bottom"/>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Robert D. Stiles</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Kevin J. Wilcox(8)</w:t>
            </w:r>
          </w:p>
        </w:tc>
        <w:tc>
          <w:tcPr>
            <w:tcW w:w="1280" w:type="dxa"/>
            <w:vAlign w:val="bottom"/>
          </w:tcPr>
          <w:p>
            <w:pPr>
              <w:jc w:val="right"/>
              <w:ind w:right="294"/>
              <w:spacing w:after="0"/>
              <w:rPr>
                <w:sz w:val="20"/>
                <w:szCs w:val="20"/>
                <w:color w:val="auto"/>
              </w:rPr>
            </w:pPr>
            <w:r>
              <w:rPr>
                <w:rFonts w:ascii="Arial" w:cs="Arial" w:eastAsia="Arial" w:hAnsi="Arial"/>
                <w:sz w:val="13"/>
                <w:szCs w:val="13"/>
                <w:color w:val="auto"/>
              </w:rPr>
              <w:t>84,376</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John T. McRae II</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0</w:t>
            </w:r>
          </w:p>
        </w:tc>
        <w:tc>
          <w:tcPr>
            <w:tcW w:w="9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tcPr>
          <w:p>
            <w:pPr>
              <w:spacing w:after="0"/>
              <w:rPr>
                <w:sz w:val="20"/>
                <w:szCs w:val="20"/>
                <w:color w:val="auto"/>
              </w:rPr>
            </w:pPr>
            <w:r>
              <w:rPr>
                <w:rFonts w:ascii="Arial" w:cs="Arial" w:eastAsia="Arial" w:hAnsi="Arial"/>
                <w:sz w:val="13"/>
                <w:szCs w:val="13"/>
                <w:color w:val="auto"/>
              </w:rPr>
              <w:t>Shekar Sivasubramanian(9)</w:t>
            </w:r>
          </w:p>
        </w:tc>
        <w:tc>
          <w:tcPr>
            <w:tcW w:w="1280" w:type="dxa"/>
            <w:vAlign w:val="bottom"/>
          </w:tcPr>
          <w:p>
            <w:pPr>
              <w:jc w:val="right"/>
              <w:ind w:right="294"/>
              <w:spacing w:after="0"/>
              <w:rPr>
                <w:sz w:val="20"/>
                <w:szCs w:val="20"/>
                <w:color w:val="auto"/>
              </w:rPr>
            </w:pPr>
            <w:r>
              <w:rPr>
                <w:rFonts w:ascii="Arial" w:cs="Arial" w:eastAsia="Arial" w:hAnsi="Arial"/>
                <w:sz w:val="13"/>
                <w:szCs w:val="13"/>
                <w:color w:val="auto"/>
              </w:rPr>
              <w:t>22,710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(9 persons)</w:t>
            </w:r>
          </w:p>
        </w:tc>
        <w:tc>
          <w:tcPr>
            <w:tcW w:w="12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6,554,750</w:t>
            </w:r>
          </w:p>
        </w:tc>
        <w:tc>
          <w:tcPr>
            <w:tcW w:w="90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24.8%</w:t>
            </w:r>
          </w:p>
        </w:tc>
      </w:tr>
      <w:tr>
        <w:trPr>
          <w:trHeight w:val="101"/>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40"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w:t>
      </w:r>
    </w:p>
    <w:p>
      <w:pPr>
        <w:spacing w:after="0" w:line="52" w:lineRule="exact"/>
        <w:rPr>
          <w:sz w:val="20"/>
          <w:szCs w:val="20"/>
          <w:color w:val="auto"/>
        </w:rPr>
      </w:pPr>
    </w:p>
    <w:p>
      <w:pPr>
        <w:ind w:left="1000" w:right="120" w:hanging="266"/>
        <w:spacing w:after="0" w:line="303" w:lineRule="auto"/>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1" w:lineRule="exact"/>
        <w:rPr>
          <w:rFonts w:ascii="Arial" w:cs="Arial" w:eastAsia="Arial" w:hAnsi="Arial"/>
          <w:sz w:val="12"/>
          <w:szCs w:val="12"/>
          <w:color w:val="auto"/>
        </w:rPr>
      </w:pPr>
    </w:p>
    <w:p>
      <w:pPr>
        <w:ind w:left="1000" w:right="40" w:hanging="266"/>
        <w:spacing w:after="0" w:line="291"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information contained in a Schedule 13G filed with the Securities and Exchange Commission on February 12, 2010 by Wellington Management Company, LLP. Includes 2,247,748 shares as to which sole voting power is claimed and 2,334,448 shares as to which sole dispositive power is claimed.</w:t>
      </w:r>
    </w:p>
    <w:p>
      <w:pPr>
        <w:ind w:left="1000" w:right="400" w:hanging="266"/>
        <w:spacing w:after="0" w:line="29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information contained in a Schedule 13G filed with the Securities and Exchange Commission on February 4, 2010 by The Bank of New York Mellon Corporation. Includes 1,143,405 shares as to which sole voting power is claimed and 1,180,475 shares as to which sole dispositive power is claimed.</w:t>
      </w:r>
    </w:p>
    <w:p>
      <w:pPr>
        <w:spacing w:after="0" w:line="6" w:lineRule="exact"/>
        <w:rPr>
          <w:rFonts w:ascii="Arial" w:cs="Arial" w:eastAsia="Arial" w:hAnsi="Arial"/>
          <w:sz w:val="13"/>
          <w:szCs w:val="13"/>
          <w:color w:val="auto"/>
        </w:rPr>
      </w:pPr>
    </w:p>
    <w:p>
      <w:pPr>
        <w:ind w:left="1000" w:right="100" w:hanging="266"/>
        <w:spacing w:after="0" w:line="270"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4,108,748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1,803,234 shares held by Erbey Holding Corporation, a corporation wholly-owned by William C. Erbey. Includes options to acquire 379,108 shares which are exercisable on or within 60 days after March 1, 2010.</w:t>
      </w:r>
    </w:p>
    <w:p>
      <w:pPr>
        <w:spacing w:after="0" w:line="2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options to acquire 130,123 shares which are exercisable on or within 60 days after March 1, 2010.</w:t>
      </w:r>
    </w:p>
    <w:p>
      <w:pPr>
        <w:spacing w:after="0" w:line="6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DeNormandie currently serves as a Director but is not seeking reelection to the Board of Directors.</w:t>
      </w:r>
    </w:p>
    <w:p>
      <w:pPr>
        <w:spacing w:after="0" w:line="6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Mrs. Andresen-Kienz does not currently serve as a Director but is seeking election to the Board of Directors.</w:t>
      </w:r>
    </w:p>
    <w:p>
      <w:pPr>
        <w:spacing w:after="0" w:line="6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options to acquire 83,644 shares which are exercisable on or within 60 days after March 1, 2010.</w:t>
      </w:r>
    </w:p>
    <w:p>
      <w:pPr>
        <w:spacing w:after="0" w:line="62" w:lineRule="exact"/>
        <w:rPr>
          <w:rFonts w:ascii="Arial" w:cs="Arial" w:eastAsia="Arial" w:hAnsi="Arial"/>
          <w:sz w:val="13"/>
          <w:szCs w:val="13"/>
          <w:color w:val="auto"/>
        </w:rPr>
      </w:pPr>
    </w:p>
    <w:p>
      <w:pPr>
        <w:ind w:left="1000" w:hanging="266"/>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options to acquire 22,710 shares which are exercisable on or within 60 days after March 1, 2010.</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4"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86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Securities to be</w:t>
            </w:r>
          </w:p>
        </w:tc>
        <w:tc>
          <w:tcPr>
            <w:tcW w:w="24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Weighted Average</w:t>
            </w:r>
          </w:p>
        </w:tc>
        <w:tc>
          <w:tcPr>
            <w:tcW w:w="240" w:type="dxa"/>
            <w:vAlign w:val="bottom"/>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Number of Securities</w:t>
            </w: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Issued Upon</w:t>
            </w: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Exercise of</w:t>
            </w:r>
          </w:p>
        </w:tc>
        <w:tc>
          <w:tcPr>
            <w:tcW w:w="240" w:type="dxa"/>
            <w:vAlign w:val="bottom"/>
          </w:tcPr>
          <w:p>
            <w:pPr>
              <w:spacing w:after="0"/>
              <w:rPr>
                <w:sz w:val="9"/>
                <w:szCs w:val="9"/>
                <w:color w:val="auto"/>
              </w:rPr>
            </w:pPr>
          </w:p>
        </w:tc>
        <w:tc>
          <w:tcPr>
            <w:tcW w:w="15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240" w:type="dxa"/>
            <w:vAlign w:val="bottom"/>
          </w:tcPr>
          <w:p>
            <w:pPr>
              <w:spacing w:after="0"/>
              <w:rPr>
                <w:sz w:val="9"/>
                <w:szCs w:val="9"/>
                <w:color w:val="auto"/>
              </w:rPr>
            </w:pPr>
          </w:p>
        </w:tc>
        <w:tc>
          <w:tcPr>
            <w:tcW w:w="20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Remaining Available</w:t>
            </w: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Outstanding</w:t>
            </w:r>
          </w:p>
        </w:tc>
        <w:tc>
          <w:tcPr>
            <w:tcW w:w="240" w:type="dxa"/>
            <w:vAlign w:val="bottom"/>
          </w:tcPr>
          <w:p>
            <w:pPr>
              <w:spacing w:after="0"/>
              <w:rPr>
                <w:sz w:val="9"/>
                <w:szCs w:val="9"/>
                <w:color w:val="auto"/>
              </w:rPr>
            </w:pPr>
          </w:p>
        </w:tc>
        <w:tc>
          <w:tcPr>
            <w:tcW w:w="15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Outstanding</w:t>
            </w:r>
          </w:p>
        </w:tc>
        <w:tc>
          <w:tcPr>
            <w:tcW w:w="240" w:type="dxa"/>
            <w:vAlign w:val="bottom"/>
          </w:tcPr>
          <w:p>
            <w:pPr>
              <w:spacing w:after="0"/>
              <w:rPr>
                <w:sz w:val="9"/>
                <w:szCs w:val="9"/>
                <w:color w:val="auto"/>
              </w:rPr>
            </w:pPr>
          </w:p>
        </w:tc>
        <w:tc>
          <w:tcPr>
            <w:tcW w:w="20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for Future Issuance</w:t>
            </w:r>
          </w:p>
        </w:tc>
        <w:tc>
          <w:tcPr>
            <w:tcW w:w="0" w:type="dxa"/>
            <w:vAlign w:val="bottom"/>
          </w:tcPr>
          <w:p>
            <w:pPr>
              <w:spacing w:after="0"/>
              <w:rPr>
                <w:sz w:val="1"/>
                <w:szCs w:val="1"/>
                <w:color w:val="auto"/>
              </w:rPr>
            </w:pPr>
          </w:p>
        </w:tc>
      </w:tr>
      <w:tr>
        <w:trPr>
          <w:trHeight w:val="121"/>
        </w:trPr>
        <w:tc>
          <w:tcPr>
            <w:tcW w:w="40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8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Options, Warrants</w:t>
            </w:r>
          </w:p>
        </w:tc>
        <w:tc>
          <w:tcPr>
            <w:tcW w:w="240" w:type="dxa"/>
            <w:vAlign w:val="bottom"/>
          </w:tcPr>
          <w:p>
            <w:pPr>
              <w:spacing w:after="0"/>
              <w:rPr>
                <w:sz w:val="10"/>
                <w:szCs w:val="10"/>
                <w:color w:val="auto"/>
              </w:rPr>
            </w:pPr>
          </w:p>
        </w:tc>
        <w:tc>
          <w:tcPr>
            <w:tcW w:w="1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Options, Warrants</w:t>
            </w:r>
          </w:p>
        </w:tc>
        <w:tc>
          <w:tcPr>
            <w:tcW w:w="240" w:type="dxa"/>
            <w:vAlign w:val="bottom"/>
          </w:tcPr>
          <w:p>
            <w:pPr>
              <w:spacing w:after="0"/>
              <w:rPr>
                <w:sz w:val="10"/>
                <w:szCs w:val="10"/>
                <w:color w:val="auto"/>
              </w:rPr>
            </w:pPr>
          </w:p>
        </w:tc>
        <w:tc>
          <w:tcPr>
            <w:tcW w:w="20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Under Equity</w:t>
            </w:r>
          </w:p>
        </w:tc>
        <w:tc>
          <w:tcPr>
            <w:tcW w:w="0" w:type="dxa"/>
            <w:vAlign w:val="bottom"/>
          </w:tcPr>
          <w:p>
            <w:pPr>
              <w:spacing w:after="0"/>
              <w:rPr>
                <w:sz w:val="1"/>
                <w:szCs w:val="1"/>
                <w:color w:val="auto"/>
              </w:rPr>
            </w:pPr>
          </w:p>
        </w:tc>
      </w:tr>
      <w:tr>
        <w:trPr>
          <w:trHeight w:val="128"/>
        </w:trPr>
        <w:tc>
          <w:tcPr>
            <w:tcW w:w="4040" w:type="dxa"/>
            <w:vAlign w:val="bottom"/>
            <w:vMerge w:val="continue"/>
          </w:tcPr>
          <w:p>
            <w:pPr>
              <w:spacing w:after="0"/>
              <w:rPr>
                <w:sz w:val="11"/>
                <w:szCs w:val="11"/>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and Rights</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And Rights</w:t>
            </w:r>
          </w:p>
        </w:tc>
        <w:tc>
          <w:tcPr>
            <w:tcW w:w="240" w:type="dxa"/>
            <w:vAlign w:val="bottom"/>
          </w:tcPr>
          <w:p>
            <w:pPr>
              <w:spacing w:after="0"/>
              <w:rPr>
                <w:sz w:val="11"/>
                <w:szCs w:val="1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Compensation Plans</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860" w:type="dxa"/>
            <w:vAlign w:val="bottom"/>
            <w:shd w:val="clear" w:color="auto" w:fill="CCEEFF"/>
          </w:tcPr>
          <w:p>
            <w:pPr>
              <w:jc w:val="right"/>
              <w:ind w:right="602"/>
              <w:spacing w:after="0"/>
              <w:rPr>
                <w:sz w:val="20"/>
                <w:szCs w:val="20"/>
                <w:color w:val="auto"/>
              </w:rPr>
            </w:pPr>
            <w:r>
              <w:rPr>
                <w:rFonts w:ascii="Arial" w:cs="Arial" w:eastAsia="Arial" w:hAnsi="Arial"/>
                <w:sz w:val="13"/>
                <w:szCs w:val="13"/>
                <w:color w:val="auto"/>
              </w:rPr>
              <w:t>3,190,639</w:t>
            </w:r>
          </w:p>
        </w:tc>
        <w:tc>
          <w:tcPr>
            <w:tcW w:w="1800" w:type="dxa"/>
            <w:vAlign w:val="bottom"/>
            <w:gridSpan w:val="2"/>
            <w:shd w:val="clear" w:color="auto" w:fill="CCEEFF"/>
          </w:tcPr>
          <w:p>
            <w:pPr>
              <w:jc w:val="right"/>
              <w:ind w:right="604"/>
              <w:spacing w:after="0"/>
              <w:rPr>
                <w:sz w:val="20"/>
                <w:szCs w:val="20"/>
                <w:color w:val="auto"/>
              </w:rPr>
            </w:pPr>
            <w:r>
              <w:rPr>
                <w:rFonts w:ascii="Arial" w:cs="Arial" w:eastAsia="Arial" w:hAnsi="Arial"/>
                <w:sz w:val="13"/>
                <w:szCs w:val="13"/>
                <w:color w:val="auto"/>
              </w:rPr>
              <w:t>$9.89</w:t>
            </w:r>
          </w:p>
        </w:tc>
        <w:tc>
          <w:tcPr>
            <w:tcW w:w="2280" w:type="dxa"/>
            <w:vAlign w:val="bottom"/>
            <w:gridSpan w:val="2"/>
            <w:shd w:val="clear" w:color="auto" w:fill="CCEEFF"/>
          </w:tcPr>
          <w:p>
            <w:pPr>
              <w:jc w:val="right"/>
              <w:ind w:right="684"/>
              <w:spacing w:after="0"/>
              <w:rPr>
                <w:sz w:val="20"/>
                <w:szCs w:val="20"/>
                <w:color w:val="auto"/>
              </w:rPr>
            </w:pPr>
            <w:r>
              <w:rPr>
                <w:rFonts w:ascii="Arial" w:cs="Arial" w:eastAsia="Arial" w:hAnsi="Arial"/>
                <w:sz w:val="13"/>
                <w:szCs w:val="13"/>
                <w:color w:val="auto"/>
              </w:rPr>
              <w:t>3,405,449</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860" w:type="dxa"/>
            <w:vAlign w:val="bottom"/>
          </w:tcPr>
          <w:p>
            <w:pPr>
              <w:jc w:val="right"/>
              <w:ind w:right="602"/>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560" w:type="dxa"/>
            <w:vAlign w:val="bottom"/>
          </w:tcPr>
          <w:p>
            <w:pPr>
              <w:jc w:val="right"/>
              <w:ind w:right="60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40" w:type="dxa"/>
            <w:vAlign w:val="bottom"/>
          </w:tcPr>
          <w:p>
            <w:pPr>
              <w:jc w:val="right"/>
              <w:ind w:right="68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860" w:type="dxa"/>
            <w:vAlign w:val="bottom"/>
            <w:shd w:val="clear" w:color="auto" w:fill="CCEEFF"/>
          </w:tcPr>
          <w:p>
            <w:pPr>
              <w:jc w:val="right"/>
              <w:ind w:right="602"/>
              <w:spacing w:after="0"/>
              <w:rPr>
                <w:sz w:val="20"/>
                <w:szCs w:val="20"/>
                <w:color w:val="auto"/>
              </w:rPr>
            </w:pPr>
            <w:r>
              <w:rPr>
                <w:rFonts w:ascii="Arial" w:cs="Arial" w:eastAsia="Arial" w:hAnsi="Arial"/>
                <w:sz w:val="13"/>
                <w:szCs w:val="13"/>
                <w:color w:val="auto"/>
              </w:rPr>
              <w:t>3,190,639</w:t>
            </w:r>
          </w:p>
        </w:tc>
        <w:tc>
          <w:tcPr>
            <w:tcW w:w="1800" w:type="dxa"/>
            <w:vAlign w:val="bottom"/>
            <w:gridSpan w:val="2"/>
            <w:shd w:val="clear" w:color="auto" w:fill="CCEEFF"/>
          </w:tcPr>
          <w:p>
            <w:pPr>
              <w:jc w:val="right"/>
              <w:ind w:right="604"/>
              <w:spacing w:after="0"/>
              <w:rPr>
                <w:sz w:val="20"/>
                <w:szCs w:val="20"/>
                <w:color w:val="auto"/>
              </w:rPr>
            </w:pPr>
            <w:r>
              <w:rPr>
                <w:rFonts w:ascii="Arial" w:cs="Arial" w:eastAsia="Arial" w:hAnsi="Arial"/>
                <w:sz w:val="13"/>
                <w:szCs w:val="13"/>
                <w:color w:val="auto"/>
              </w:rPr>
              <w:t>$9.89</w:t>
            </w:r>
          </w:p>
        </w:tc>
        <w:tc>
          <w:tcPr>
            <w:tcW w:w="2280" w:type="dxa"/>
            <w:vAlign w:val="bottom"/>
            <w:gridSpan w:val="2"/>
            <w:shd w:val="clear" w:color="auto" w:fill="CCEEFF"/>
          </w:tcPr>
          <w:p>
            <w:pPr>
              <w:jc w:val="right"/>
              <w:ind w:right="684"/>
              <w:spacing w:after="0"/>
              <w:rPr>
                <w:sz w:val="20"/>
                <w:szCs w:val="20"/>
                <w:color w:val="auto"/>
              </w:rPr>
            </w:pPr>
            <w:r>
              <w:rPr>
                <w:rFonts w:ascii="Arial" w:cs="Arial" w:eastAsia="Arial" w:hAnsi="Arial"/>
                <w:sz w:val="13"/>
                <w:szCs w:val="13"/>
                <w:color w:val="auto"/>
              </w:rPr>
              <w:t>3,405,449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Section 16(a) of the Exchange Act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59"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To our knowledge, based solely upon review of the copies of such reports furnished to us and written representations that no other reports were required, all Section 16(a) filing requirements applicable to its executive officers, Directors and greater than 10% shareholders were complied with during 2009.</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section provides information regarding the following:</w:t>
      </w:r>
    </w:p>
    <w:p>
      <w:pPr>
        <w:spacing w:after="0" w:line="102"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compensation programs for our Chief Executive Officer, Chief Financial Officer and three (3) other most highly compensated executive officers;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overall objectives of our compensation program and what it is designed to reward;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element of compensation that we provide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reasons for the compensation decisions we have made regarding these individuals.</w:t>
      </w:r>
    </w:p>
    <w:p>
      <w:pPr>
        <w:spacing w:after="0" w:line="102" w:lineRule="exact"/>
        <w:rPr>
          <w:sz w:val="20"/>
          <w:szCs w:val="20"/>
          <w:color w:val="auto"/>
        </w:rPr>
      </w:pPr>
    </w:p>
    <w:p>
      <w:pPr>
        <w:ind w:left="680" w:right="1180" w:firstLine="399"/>
        <w:spacing w:after="0" w:line="294" w:lineRule="auto"/>
        <w:rPr>
          <w:sz w:val="20"/>
          <w:szCs w:val="20"/>
          <w:color w:val="auto"/>
        </w:rPr>
      </w:pPr>
      <w:r>
        <w:rPr>
          <w:rFonts w:ascii="Arial" w:cs="Arial" w:eastAsia="Arial" w:hAnsi="Arial"/>
          <w:sz w:val="13"/>
          <w:szCs w:val="13"/>
          <w:color w:val="auto"/>
        </w:rPr>
        <w:t>Until August, 2009, Altisource was a wholly-owned subsidiary of Ocwen. Consequently, compensation for our executive officers prior to the separation of Altisource from Ocwen was set by the Board of Directors of Ocwen.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named executive officers for 2009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80" w:type="dxa"/>
            <w:vAlign w:val="bottom"/>
          </w:tcPr>
          <w:p>
            <w:pPr>
              <w:spacing w:after="0"/>
              <w:rPr>
                <w:sz w:val="12"/>
                <w:szCs w:val="12"/>
                <w:color w:val="auto"/>
              </w:rPr>
            </w:pPr>
          </w:p>
        </w:tc>
        <w:tc>
          <w:tcPr>
            <w:tcW w:w="2980" w:type="dxa"/>
            <w:vAlign w:val="bottom"/>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7000" w:type="dxa"/>
            <w:vAlign w:val="bottom"/>
          </w:tcPr>
          <w:p>
            <w:pPr>
              <w:ind w:left="458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800" w:type="dxa"/>
            <w:vAlign w:val="bottom"/>
          </w:tcPr>
          <w:p>
            <w:pPr>
              <w:spacing w:after="0"/>
              <w:rPr>
                <w:sz w:val="12"/>
                <w:szCs w:val="12"/>
                <w:color w:val="auto"/>
              </w:rPr>
            </w:pPr>
          </w:p>
        </w:tc>
      </w:tr>
      <w:tr>
        <w:trPr>
          <w:trHeight w:val="49"/>
        </w:trPr>
        <w:tc>
          <w:tcPr>
            <w:tcW w:w="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0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61"/>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William B. Shepro</w:t>
            </w:r>
          </w:p>
        </w:tc>
        <w:tc>
          <w:tcPr>
            <w:tcW w:w="70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Chief Executive Officer</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Robert D. Stiles</w:t>
            </w:r>
          </w:p>
        </w:tc>
        <w:tc>
          <w:tcPr>
            <w:tcW w:w="7000" w:type="dxa"/>
            <w:vAlign w:val="bottom"/>
          </w:tcPr>
          <w:p>
            <w:pPr>
              <w:ind w:left="2220"/>
              <w:spacing w:after="0"/>
              <w:rPr>
                <w:sz w:val="20"/>
                <w:szCs w:val="20"/>
                <w:color w:val="auto"/>
              </w:rPr>
            </w:pPr>
            <w:r>
              <w:rPr>
                <w:rFonts w:ascii="Arial" w:cs="Arial" w:eastAsia="Arial" w:hAnsi="Arial"/>
                <w:sz w:val="13"/>
                <w:szCs w:val="13"/>
                <w:color w:val="auto"/>
              </w:rPr>
              <w:t>Chief Financial Officer</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Kevin J. Wilcox</w:t>
            </w:r>
          </w:p>
        </w:tc>
        <w:tc>
          <w:tcPr>
            <w:tcW w:w="70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Chief Administration Officer and General Counsel</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John T. McRae II</w:t>
            </w:r>
          </w:p>
        </w:tc>
        <w:tc>
          <w:tcPr>
            <w:tcW w:w="7000" w:type="dxa"/>
            <w:vAlign w:val="bottom"/>
          </w:tcPr>
          <w:p>
            <w:pPr>
              <w:ind w:left="2220"/>
              <w:spacing w:after="0"/>
              <w:rPr>
                <w:sz w:val="20"/>
                <w:szCs w:val="20"/>
                <w:color w:val="auto"/>
              </w:rPr>
            </w:pPr>
            <w:r>
              <w:rPr>
                <w:rFonts w:ascii="Arial" w:cs="Arial" w:eastAsia="Arial" w:hAnsi="Arial"/>
                <w:sz w:val="13"/>
                <w:szCs w:val="13"/>
                <w:color w:val="auto"/>
              </w:rPr>
              <w:t>Chief Executive Officer, Nationwide Credit, Inc.</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Richard D. Powers</w:t>
            </w:r>
          </w:p>
        </w:tc>
        <w:tc>
          <w:tcPr>
            <w:tcW w:w="70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Senior Vice President, Real Estate Services</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00" w:type="dxa"/>
            <w:vAlign w:val="bottom"/>
          </w:tcPr>
          <w:p>
            <w:pPr>
              <w:ind w:left="19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Philosophy and Objectives</w:t>
      </w:r>
    </w:p>
    <w:p>
      <w:pPr>
        <w:spacing w:after="0" w:line="104"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We believe that the most effective executive compensation program is one that aligns executives’ interests with those of the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Altisource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Compensation Decisions</w:t>
      </w:r>
    </w:p>
    <w:p>
      <w:pPr>
        <w:spacing w:after="0" w:line="104"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4"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As required by Luxembourg law, Altisource has entered into employment agreements with William B. Shepro, our Chief Executive Officer, Robert D. Stiles, our Chief Financial Officer and Kevin J. Wilcox, our Chief Administration Officer. The employment terms continue indefinitely until the executive’s separation. The contracts provide for base salary and an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employment with the Company including, without limitation, reimbursement of relocation expenses and the provision of certain allowances as described in the Executive Compensation section below.</w:t>
      </w:r>
    </w:p>
    <w:p>
      <w:pPr>
        <w:spacing w:after="0" w:line="4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order to terminate the contract, each party must provide notice in accordance with the time periods set forth in article L.124-1 of the Luxembourg Labour Code. In the event of the executive’s termination by the Company for “cause” (as such term is defined in the employment agreement), no notice is required. In addition, in the event that the executive’s employment is terminated by the Company without “cause” (as such term is defined in the employment agreement) or the executive resigns for “good reason” (as such term is defined in the employment agreement), the executive will receive severance benefits. Furthermore, the executive may be entitled to receive redundancy payments in accordance with article L.124-7 of the Luxembourg Labour Code upon certain terminations.</w:t>
      </w:r>
    </w:p>
    <w:p>
      <w:pPr>
        <w:spacing w:after="0" w:line="6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Compensation</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believe that the following</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elements of compensation are appropriate in light of our performance, industry, current challenges and environment.</w:t>
      </w:r>
    </w:p>
    <w:p>
      <w:pPr>
        <w:spacing w:after="0" w:line="102"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Base salaries for our executive officers are established based on individual qualifications and job responsibilities while taking into account compensation levels at</w:t>
      </w:r>
      <w:r>
        <w:rPr>
          <w:rFonts w:ascii="Arial" w:cs="Arial" w:eastAsia="Arial" w:hAnsi="Arial"/>
          <w:sz w:val="12"/>
          <w:szCs w:val="12"/>
          <w:i w:val="1"/>
          <w:iCs w:val="1"/>
          <w:color w:val="auto"/>
        </w:rPr>
        <w:t xml:space="preserve"> </w:t>
      </w:r>
      <w:r>
        <w:rPr>
          <w:rFonts w:ascii="Arial" w:cs="Arial" w:eastAsia="Arial" w:hAnsi="Arial"/>
          <w:sz w:val="12"/>
          <w:szCs w:val="12"/>
          <w:color w:val="auto"/>
        </w:rPr>
        <w:t>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5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Annual Incentive Compensation. </w:t>
      </w:r>
      <w:r>
        <w:rPr>
          <w:rFonts w:ascii="Arial" w:cs="Arial" w:eastAsia="Arial" w:hAnsi="Arial"/>
          <w:sz w:val="13"/>
          <w:szCs w:val="13"/>
          <w:color w:val="auto"/>
        </w:rPr>
        <w:t>Pursuant to Altisource’s annual incentive plan, a participant can earn cash, restricted stock and stock option awards as determined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The plan provides the Compensation Committee and our management with the authority to establish incentive award guidelines which are further discussed below.</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Each executive officer has a targeted annual incentive award that is expressed as a percentage of total target compensation for each executive officer. At the executive level in 2009, 30-60%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2009 and each executive officer’s actual total compensation that was allocated to each of base salary and incentive compensation in 2009:</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Base Salary % of</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87"/>
              </w:rPr>
              <w:t>Incentive</w:t>
            </w:r>
          </w:p>
        </w:tc>
        <w:tc>
          <w:tcPr>
            <w:tcW w:w="28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Base Salary % of</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Compensation % of</w:t>
            </w:r>
          </w:p>
        </w:tc>
        <w:tc>
          <w:tcPr>
            <w:tcW w:w="2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Compensation % of</w:t>
            </w: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13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Target Total</w:t>
            </w:r>
          </w:p>
        </w:tc>
        <w:tc>
          <w:tcPr>
            <w:tcW w:w="280" w:type="dxa"/>
            <w:vAlign w:val="bottom"/>
          </w:tcPr>
          <w:p>
            <w:pPr>
              <w:spacing w:after="0"/>
              <w:rPr>
                <w:sz w:val="9"/>
                <w:szCs w:val="9"/>
                <w:color w:val="auto"/>
              </w:rPr>
            </w:pPr>
          </w:p>
        </w:tc>
        <w:tc>
          <w:tcPr>
            <w:tcW w:w="15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Target Total</w:t>
            </w:r>
          </w:p>
        </w:tc>
        <w:tc>
          <w:tcPr>
            <w:tcW w:w="280" w:type="dxa"/>
            <w:vAlign w:val="bottom"/>
          </w:tcPr>
          <w:p>
            <w:pPr>
              <w:spacing w:after="0"/>
              <w:rPr>
                <w:sz w:val="9"/>
                <w:szCs w:val="9"/>
                <w:color w:val="auto"/>
              </w:rPr>
            </w:pPr>
          </w:p>
        </w:tc>
        <w:tc>
          <w:tcPr>
            <w:tcW w:w="13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Actual Total</w:t>
            </w:r>
          </w:p>
        </w:tc>
        <w:tc>
          <w:tcPr>
            <w:tcW w:w="280" w:type="dxa"/>
            <w:vAlign w:val="bottom"/>
          </w:tcPr>
          <w:p>
            <w:pPr>
              <w:spacing w:after="0"/>
              <w:rPr>
                <w:sz w:val="9"/>
                <w:szCs w:val="9"/>
                <w:color w:val="auto"/>
              </w:rPr>
            </w:pPr>
          </w:p>
        </w:tc>
        <w:tc>
          <w:tcPr>
            <w:tcW w:w="15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Actual Total</w:t>
            </w:r>
          </w:p>
        </w:tc>
        <w:tc>
          <w:tcPr>
            <w:tcW w:w="0" w:type="dxa"/>
            <w:vAlign w:val="bottom"/>
          </w:tcPr>
          <w:p>
            <w:pPr>
              <w:spacing w:after="0"/>
              <w:rPr>
                <w:sz w:val="1"/>
                <w:szCs w:val="1"/>
                <w:color w:val="auto"/>
              </w:rPr>
            </w:pPr>
          </w:p>
        </w:tc>
      </w:tr>
      <w:tr>
        <w:trPr>
          <w:trHeight w:val="121"/>
        </w:trPr>
        <w:tc>
          <w:tcPr>
            <w:tcW w:w="338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3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Compensation in</w:t>
            </w:r>
          </w:p>
        </w:tc>
        <w:tc>
          <w:tcPr>
            <w:tcW w:w="280" w:type="dxa"/>
            <w:vAlign w:val="bottom"/>
          </w:tcPr>
          <w:p>
            <w:pPr>
              <w:spacing w:after="0"/>
              <w:rPr>
                <w:sz w:val="10"/>
                <w:szCs w:val="10"/>
                <w:color w:val="auto"/>
              </w:rPr>
            </w:pPr>
          </w:p>
        </w:tc>
        <w:tc>
          <w:tcPr>
            <w:tcW w:w="1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Compensation in</w:t>
            </w:r>
          </w:p>
        </w:tc>
        <w:tc>
          <w:tcPr>
            <w:tcW w:w="280" w:type="dxa"/>
            <w:vAlign w:val="bottom"/>
          </w:tcPr>
          <w:p>
            <w:pPr>
              <w:spacing w:after="0"/>
              <w:rPr>
                <w:sz w:val="10"/>
                <w:szCs w:val="10"/>
                <w:color w:val="auto"/>
              </w:rPr>
            </w:pPr>
          </w:p>
        </w:tc>
        <w:tc>
          <w:tcPr>
            <w:tcW w:w="13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Compensation in</w:t>
            </w:r>
          </w:p>
        </w:tc>
        <w:tc>
          <w:tcPr>
            <w:tcW w:w="280" w:type="dxa"/>
            <w:vAlign w:val="bottom"/>
          </w:tcPr>
          <w:p>
            <w:pPr>
              <w:spacing w:after="0"/>
              <w:rPr>
                <w:sz w:val="10"/>
                <w:szCs w:val="10"/>
                <w:color w:val="auto"/>
              </w:rPr>
            </w:pPr>
          </w:p>
        </w:tc>
        <w:tc>
          <w:tcPr>
            <w:tcW w:w="15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Compensation in</w:t>
            </w:r>
          </w:p>
        </w:tc>
        <w:tc>
          <w:tcPr>
            <w:tcW w:w="0" w:type="dxa"/>
            <w:vAlign w:val="bottom"/>
          </w:tcPr>
          <w:p>
            <w:pPr>
              <w:spacing w:after="0"/>
              <w:rPr>
                <w:sz w:val="1"/>
                <w:szCs w:val="1"/>
                <w:color w:val="auto"/>
              </w:rPr>
            </w:pPr>
          </w:p>
        </w:tc>
      </w:tr>
      <w:tr>
        <w:trPr>
          <w:trHeight w:val="128"/>
        </w:trPr>
        <w:tc>
          <w:tcPr>
            <w:tcW w:w="3380" w:type="dxa"/>
            <w:vAlign w:val="bottom"/>
            <w:vMerge w:val="continue"/>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9"/>
              </w:rPr>
              <w:t>2009</w:t>
            </w:r>
          </w:p>
        </w:tc>
        <w:tc>
          <w:tcPr>
            <w:tcW w:w="182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89"/>
              </w:rPr>
              <w:t>2009</w:t>
            </w:r>
          </w:p>
        </w:tc>
        <w:tc>
          <w:tcPr>
            <w:tcW w:w="162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89"/>
              </w:rPr>
              <w:t>2009</w:t>
            </w:r>
          </w:p>
        </w:tc>
        <w:tc>
          <w:tcPr>
            <w:tcW w:w="1820" w:type="dxa"/>
            <w:vAlign w:val="bottom"/>
            <w:gridSpan w:val="2"/>
          </w:tcPr>
          <w:p>
            <w:pPr>
              <w:jc w:val="center"/>
              <w:ind w:left="235"/>
              <w:spacing w:after="0"/>
              <w:rPr>
                <w:sz w:val="20"/>
                <w:szCs w:val="20"/>
                <w:color w:val="auto"/>
              </w:rPr>
            </w:pPr>
            <w:r>
              <w:rPr>
                <w:rFonts w:ascii="Arial" w:cs="Arial" w:eastAsia="Arial" w:hAnsi="Arial"/>
                <w:sz w:val="11"/>
                <w:szCs w:val="11"/>
                <w:b w:val="1"/>
                <w:bCs w:val="1"/>
                <w:color w:val="auto"/>
                <w:w w:val="81"/>
              </w:rPr>
              <w:t>2009</w:t>
            </w: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William B. Shepro</w:t>
            </w:r>
          </w:p>
        </w:tc>
        <w:tc>
          <w:tcPr>
            <w:tcW w:w="134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40%</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60%</w:t>
            </w:r>
          </w:p>
        </w:tc>
        <w:tc>
          <w:tcPr>
            <w:tcW w:w="1620" w:type="dxa"/>
            <w:vAlign w:val="bottom"/>
            <w:gridSpan w:val="2"/>
            <w:shd w:val="clear" w:color="auto" w:fill="CCEEFF"/>
          </w:tcPr>
          <w:p>
            <w:pPr>
              <w:jc w:val="right"/>
              <w:ind w:right="426"/>
              <w:spacing w:after="0"/>
              <w:rPr>
                <w:sz w:val="20"/>
                <w:szCs w:val="20"/>
                <w:color w:val="auto"/>
              </w:rPr>
            </w:pPr>
            <w:r>
              <w:rPr>
                <w:rFonts w:ascii="Arial" w:cs="Arial" w:eastAsia="Arial" w:hAnsi="Arial"/>
                <w:sz w:val="13"/>
                <w:szCs w:val="13"/>
                <w:color w:val="auto"/>
              </w:rPr>
              <w:t>31%</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Kevin J. Wilcox</w:t>
            </w:r>
          </w:p>
        </w:tc>
        <w:tc>
          <w:tcPr>
            <w:tcW w:w="1340" w:type="dxa"/>
            <w:vAlign w:val="bottom"/>
          </w:tcPr>
          <w:p>
            <w:pPr>
              <w:jc w:val="right"/>
              <w:ind w:right="419"/>
              <w:spacing w:after="0"/>
              <w:rPr>
                <w:sz w:val="20"/>
                <w:szCs w:val="20"/>
                <w:color w:val="auto"/>
              </w:rPr>
            </w:pPr>
            <w:r>
              <w:rPr>
                <w:rFonts w:ascii="Arial" w:cs="Arial" w:eastAsia="Arial" w:hAnsi="Arial"/>
                <w:sz w:val="13"/>
                <w:szCs w:val="13"/>
                <w:color w:val="auto"/>
              </w:rPr>
              <w:t>50%</w:t>
            </w:r>
          </w:p>
        </w:tc>
        <w:tc>
          <w:tcPr>
            <w:tcW w:w="1820" w:type="dxa"/>
            <w:vAlign w:val="bottom"/>
            <w:gridSpan w:val="2"/>
          </w:tcPr>
          <w:p>
            <w:pPr>
              <w:jc w:val="right"/>
              <w:ind w:right="526"/>
              <w:spacing w:after="0"/>
              <w:rPr>
                <w:sz w:val="20"/>
                <w:szCs w:val="20"/>
                <w:color w:val="auto"/>
              </w:rPr>
            </w:pPr>
            <w:r>
              <w:rPr>
                <w:rFonts w:ascii="Arial" w:cs="Arial" w:eastAsia="Arial" w:hAnsi="Arial"/>
                <w:sz w:val="13"/>
                <w:szCs w:val="13"/>
                <w:color w:val="auto"/>
              </w:rPr>
              <w:t>50%</w:t>
            </w:r>
          </w:p>
        </w:tc>
        <w:tc>
          <w:tcPr>
            <w:tcW w:w="1620" w:type="dxa"/>
            <w:vAlign w:val="bottom"/>
            <w:gridSpan w:val="2"/>
          </w:tcPr>
          <w:p>
            <w:pPr>
              <w:jc w:val="right"/>
              <w:ind w:right="426"/>
              <w:spacing w:after="0"/>
              <w:rPr>
                <w:sz w:val="20"/>
                <w:szCs w:val="20"/>
                <w:color w:val="auto"/>
              </w:rPr>
            </w:pPr>
            <w:r>
              <w:rPr>
                <w:rFonts w:ascii="Arial" w:cs="Arial" w:eastAsia="Arial" w:hAnsi="Arial"/>
                <w:sz w:val="13"/>
                <w:szCs w:val="13"/>
                <w:color w:val="auto"/>
              </w:rPr>
              <w:t>41%</w:t>
            </w:r>
          </w:p>
        </w:tc>
        <w:tc>
          <w:tcPr>
            <w:tcW w:w="1820" w:type="dxa"/>
            <w:vAlign w:val="bottom"/>
            <w:gridSpan w:val="2"/>
          </w:tcPr>
          <w:p>
            <w:pPr>
              <w:jc w:val="right"/>
              <w:ind w:right="526"/>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Robert D. Stiles</w:t>
            </w:r>
          </w:p>
        </w:tc>
        <w:tc>
          <w:tcPr>
            <w:tcW w:w="134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60%</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40%</w:t>
            </w:r>
          </w:p>
        </w:tc>
        <w:tc>
          <w:tcPr>
            <w:tcW w:w="1620" w:type="dxa"/>
            <w:vAlign w:val="bottom"/>
            <w:gridSpan w:val="2"/>
            <w:shd w:val="clear" w:color="auto" w:fill="CCEEFF"/>
          </w:tcPr>
          <w:p>
            <w:pPr>
              <w:jc w:val="right"/>
              <w:ind w:right="426"/>
              <w:spacing w:after="0"/>
              <w:rPr>
                <w:sz w:val="20"/>
                <w:szCs w:val="20"/>
                <w:color w:val="auto"/>
              </w:rPr>
            </w:pPr>
            <w:r>
              <w:rPr>
                <w:rFonts w:ascii="Arial" w:cs="Arial" w:eastAsia="Arial" w:hAnsi="Arial"/>
                <w:sz w:val="13"/>
                <w:szCs w:val="13"/>
                <w:color w:val="auto"/>
              </w:rPr>
              <w:t>50%</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3"/>
                <w:szCs w:val="13"/>
                <w:color w:val="auto"/>
              </w:rPr>
              <w:t>John T. McRae II</w:t>
            </w:r>
          </w:p>
        </w:tc>
        <w:tc>
          <w:tcPr>
            <w:tcW w:w="1340" w:type="dxa"/>
            <w:vAlign w:val="bottom"/>
          </w:tcPr>
          <w:p>
            <w:pPr>
              <w:jc w:val="right"/>
              <w:ind w:right="419"/>
              <w:spacing w:after="0"/>
              <w:rPr>
                <w:sz w:val="20"/>
                <w:szCs w:val="20"/>
                <w:color w:val="auto"/>
              </w:rPr>
            </w:pPr>
            <w:r>
              <w:rPr>
                <w:rFonts w:ascii="Arial" w:cs="Arial" w:eastAsia="Arial" w:hAnsi="Arial"/>
                <w:sz w:val="13"/>
                <w:szCs w:val="13"/>
                <w:color w:val="auto"/>
              </w:rPr>
              <w:t>60%</w:t>
            </w:r>
          </w:p>
        </w:tc>
        <w:tc>
          <w:tcPr>
            <w:tcW w:w="1820" w:type="dxa"/>
            <w:vAlign w:val="bottom"/>
            <w:gridSpan w:val="2"/>
          </w:tcPr>
          <w:p>
            <w:pPr>
              <w:jc w:val="right"/>
              <w:ind w:right="526"/>
              <w:spacing w:after="0"/>
              <w:rPr>
                <w:sz w:val="20"/>
                <w:szCs w:val="20"/>
                <w:color w:val="auto"/>
              </w:rPr>
            </w:pPr>
            <w:r>
              <w:rPr>
                <w:rFonts w:ascii="Arial" w:cs="Arial" w:eastAsia="Arial" w:hAnsi="Arial"/>
                <w:sz w:val="13"/>
                <w:szCs w:val="13"/>
                <w:color w:val="auto"/>
              </w:rPr>
              <w:t>40%</w:t>
            </w:r>
          </w:p>
        </w:tc>
        <w:tc>
          <w:tcPr>
            <w:tcW w:w="1620" w:type="dxa"/>
            <w:vAlign w:val="bottom"/>
            <w:gridSpan w:val="2"/>
          </w:tcPr>
          <w:p>
            <w:pPr>
              <w:jc w:val="right"/>
              <w:ind w:right="426"/>
              <w:spacing w:after="0"/>
              <w:rPr>
                <w:sz w:val="20"/>
                <w:szCs w:val="20"/>
                <w:color w:val="auto"/>
              </w:rPr>
            </w:pPr>
            <w:r>
              <w:rPr>
                <w:rFonts w:ascii="Arial" w:cs="Arial" w:eastAsia="Arial" w:hAnsi="Arial"/>
                <w:sz w:val="13"/>
                <w:szCs w:val="13"/>
                <w:color w:val="auto"/>
              </w:rPr>
              <w:t>63%</w:t>
            </w:r>
          </w:p>
        </w:tc>
        <w:tc>
          <w:tcPr>
            <w:tcW w:w="1820" w:type="dxa"/>
            <w:vAlign w:val="bottom"/>
            <w:gridSpan w:val="2"/>
          </w:tcPr>
          <w:p>
            <w:pPr>
              <w:jc w:val="right"/>
              <w:ind w:right="52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Richard D. Powers</w:t>
            </w:r>
          </w:p>
        </w:tc>
        <w:tc>
          <w:tcPr>
            <w:tcW w:w="134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50%</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50%</w:t>
            </w:r>
          </w:p>
        </w:tc>
        <w:tc>
          <w:tcPr>
            <w:tcW w:w="1620" w:type="dxa"/>
            <w:vAlign w:val="bottom"/>
            <w:gridSpan w:val="2"/>
            <w:shd w:val="clear" w:color="auto" w:fill="CCEEFF"/>
          </w:tcPr>
          <w:p>
            <w:pPr>
              <w:jc w:val="right"/>
              <w:ind w:right="426"/>
              <w:spacing w:after="0"/>
              <w:rPr>
                <w:sz w:val="20"/>
                <w:szCs w:val="20"/>
                <w:color w:val="auto"/>
              </w:rPr>
            </w:pPr>
            <w:r>
              <w:rPr>
                <w:rFonts w:ascii="Arial" w:cs="Arial" w:eastAsia="Arial" w:hAnsi="Arial"/>
                <w:sz w:val="13"/>
                <w:szCs w:val="13"/>
                <w:color w:val="auto"/>
              </w:rPr>
              <w:t>46%</w:t>
            </w:r>
          </w:p>
        </w:tc>
        <w:tc>
          <w:tcPr>
            <w:tcW w:w="1820" w:type="dxa"/>
            <w:vAlign w:val="bottom"/>
            <w:gridSpan w:val="2"/>
            <w:shd w:val="clear" w:color="auto" w:fill="CCEEFF"/>
          </w:tcPr>
          <w:p>
            <w:pPr>
              <w:jc w:val="right"/>
              <w:ind w:right="526"/>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-542925</wp:posOffset>
            </wp:positionV>
            <wp:extent cx="190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Our annual incentive-based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2009, our corporate scorecard was initially approved by the Board of Directors of our former parent company, Ocwen, and was reviewed by our current Board of Directors following the separation of Altisource from Ocwen that was consummated as of August 10, 2009.</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corporate scorecard for 2009 and corresponding achievement levels are detailed below:</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220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3"/>
          </w:tcPr>
          <w:p>
            <w:pPr>
              <w:ind w:left="1160"/>
              <w:spacing w:after="0"/>
              <w:rPr>
                <w:sz w:val="20"/>
                <w:szCs w:val="20"/>
                <w:color w:val="auto"/>
              </w:rPr>
            </w:pPr>
            <w:r>
              <w:rPr>
                <w:rFonts w:ascii="Arial" w:cs="Arial" w:eastAsia="Arial" w:hAnsi="Arial"/>
                <w:sz w:val="9"/>
                <w:szCs w:val="9"/>
                <w:b w:val="1"/>
                <w:bCs w:val="1"/>
                <w:color w:val="auto"/>
              </w:rPr>
              <w:t>2009 Corporate Scorecard Elements</w:t>
            </w:r>
          </w:p>
        </w:tc>
        <w:tc>
          <w:tcPr>
            <w:tcW w:w="1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00" w:type="dxa"/>
            <w:vAlign w:val="bottom"/>
            <w:vMerge w:val="restart"/>
          </w:tcPr>
          <w:p>
            <w:pPr>
              <w:spacing w:after="0"/>
              <w:rPr>
                <w:sz w:val="20"/>
                <w:szCs w:val="20"/>
                <w:color w:val="auto"/>
              </w:rPr>
            </w:pPr>
            <w:r>
              <w:rPr>
                <w:rFonts w:ascii="Arial" w:cs="Arial" w:eastAsia="Arial" w:hAnsi="Arial"/>
                <w:sz w:val="9"/>
                <w:szCs w:val="9"/>
                <w:b w:val="1"/>
                <w:bCs w:val="1"/>
                <w:color w:val="auto"/>
              </w:rPr>
              <w:t>Element</w:t>
            </w:r>
          </w:p>
        </w:tc>
        <w:tc>
          <w:tcPr>
            <w:tcW w:w="1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9"/>
                <w:szCs w:val="9"/>
                <w:b w:val="1"/>
                <w:bCs w:val="1"/>
                <w:color w:val="auto"/>
                <w:w w:val="92"/>
              </w:rPr>
              <w:t>Achievement Levels</w:t>
            </w:r>
          </w:p>
        </w:tc>
        <w:tc>
          <w:tcPr>
            <w:tcW w:w="1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4"/>
              </w:rPr>
              <w:t>Level Achieved</w:t>
            </w:r>
          </w:p>
        </w:tc>
        <w:tc>
          <w:tcPr>
            <w:tcW w:w="0" w:type="dxa"/>
            <w:vAlign w:val="bottom"/>
          </w:tcPr>
          <w:p>
            <w:pPr>
              <w:spacing w:after="0"/>
              <w:rPr>
                <w:sz w:val="1"/>
                <w:szCs w:val="1"/>
                <w:color w:val="auto"/>
              </w:rPr>
            </w:pPr>
          </w:p>
        </w:tc>
      </w:tr>
      <w:tr>
        <w:trPr>
          <w:trHeight w:val="101"/>
        </w:trPr>
        <w:tc>
          <w:tcPr>
            <w:tcW w:w="2200" w:type="dxa"/>
            <w:vAlign w:val="bottom"/>
            <w:vMerge w:val="continue"/>
          </w:tcPr>
          <w:p>
            <w:pPr>
              <w:spacing w:after="0"/>
              <w:rPr>
                <w:sz w:val="8"/>
                <w:szCs w:val="8"/>
                <w:color w:val="auto"/>
              </w:rPr>
            </w:pPr>
          </w:p>
        </w:tc>
        <w:tc>
          <w:tcPr>
            <w:tcW w:w="18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6"/>
              </w:rPr>
              <w:t>Threshold</w:t>
            </w:r>
          </w:p>
        </w:tc>
        <w:tc>
          <w:tcPr>
            <w:tcW w:w="200" w:type="dxa"/>
            <w:vAlign w:val="bottom"/>
          </w:tcPr>
          <w:p>
            <w:pPr>
              <w:spacing w:after="0"/>
              <w:rPr>
                <w:sz w:val="8"/>
                <w:szCs w:val="8"/>
                <w:color w:val="auto"/>
              </w:rPr>
            </w:pPr>
          </w:p>
        </w:tc>
        <w:tc>
          <w:tcPr>
            <w:tcW w:w="182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Target</w:t>
            </w:r>
          </w:p>
        </w:tc>
        <w:tc>
          <w:tcPr>
            <w:tcW w:w="180" w:type="dxa"/>
            <w:vAlign w:val="bottom"/>
          </w:tcPr>
          <w:p>
            <w:pPr>
              <w:spacing w:after="0"/>
              <w:rPr>
                <w:sz w:val="8"/>
                <w:szCs w:val="8"/>
                <w:color w:val="auto"/>
              </w:rPr>
            </w:pPr>
          </w:p>
        </w:tc>
        <w:tc>
          <w:tcPr>
            <w:tcW w:w="18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Outstanding</w:t>
            </w:r>
          </w:p>
        </w:tc>
        <w:tc>
          <w:tcPr>
            <w:tcW w:w="180" w:type="dxa"/>
            <w:vAlign w:val="bottom"/>
          </w:tcPr>
          <w:p>
            <w:pPr>
              <w:spacing w:after="0"/>
              <w:rPr>
                <w:sz w:val="8"/>
                <w:szCs w:val="8"/>
                <w:color w:val="auto"/>
              </w:rPr>
            </w:pPr>
          </w:p>
        </w:tc>
        <w:tc>
          <w:tcPr>
            <w:tcW w:w="1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Arial" w:cs="Arial" w:eastAsia="Arial" w:hAnsi="Arial"/>
                <w:sz w:val="9"/>
                <w:szCs w:val="9"/>
                <w:color w:val="auto"/>
              </w:rPr>
              <w:t>Achieve revenue target</w:t>
            </w:r>
          </w:p>
        </w:tc>
        <w:tc>
          <w:tcPr>
            <w:tcW w:w="1800" w:type="dxa"/>
            <w:vAlign w:val="bottom"/>
          </w:tcPr>
          <w:p>
            <w:pPr>
              <w:jc w:val="center"/>
              <w:spacing w:after="0"/>
              <w:rPr>
                <w:sz w:val="20"/>
                <w:szCs w:val="20"/>
                <w:color w:val="auto"/>
              </w:rPr>
            </w:pPr>
            <w:r>
              <w:rPr>
                <w:rFonts w:ascii="Arial" w:cs="Arial" w:eastAsia="Arial" w:hAnsi="Arial"/>
                <w:sz w:val="9"/>
                <w:szCs w:val="9"/>
                <w:color w:val="auto"/>
                <w:w w:val="94"/>
              </w:rPr>
              <w:t>7% increase over</w:t>
            </w:r>
          </w:p>
        </w:tc>
        <w:tc>
          <w:tcPr>
            <w:tcW w:w="2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9"/>
                <w:szCs w:val="9"/>
                <w:color w:val="auto"/>
                <w:w w:val="93"/>
              </w:rPr>
              <w:t>15% increase over</w:t>
            </w:r>
          </w:p>
        </w:tc>
        <w:tc>
          <w:tcPr>
            <w:tcW w:w="18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9"/>
                <w:szCs w:val="9"/>
                <w:color w:val="auto"/>
                <w:w w:val="91"/>
              </w:rPr>
              <w:t>23% increase over</w:t>
            </w:r>
          </w:p>
        </w:tc>
        <w:tc>
          <w:tcPr>
            <w:tcW w:w="18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9"/>
                <w:szCs w:val="9"/>
                <w:color w:val="auto"/>
                <w:w w:val="94"/>
              </w:rPr>
              <w:t>$202,812,000 for 2009</w:t>
            </w: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2008 or $176,400,000</w:t>
            </w: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3"/>
              </w:rPr>
              <w:t>2008 or $188,800,000</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8"/>
              </w:rPr>
              <w:t>2008 or</w:t>
            </w: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80" w:type="dxa"/>
            <w:vAlign w:val="bottom"/>
            <w:gridSpan w:val="2"/>
          </w:tcPr>
          <w:p>
            <w:pPr>
              <w:jc w:val="right"/>
              <w:ind w:right="593"/>
              <w:spacing w:after="0" w:line="101" w:lineRule="exact"/>
              <w:rPr>
                <w:sz w:val="20"/>
                <w:szCs w:val="20"/>
                <w:color w:val="auto"/>
              </w:rPr>
            </w:pPr>
            <w:r>
              <w:rPr>
                <w:rFonts w:ascii="Arial" w:cs="Arial" w:eastAsia="Arial" w:hAnsi="Arial"/>
                <w:sz w:val="9"/>
                <w:szCs w:val="9"/>
                <w:color w:val="auto"/>
              </w:rPr>
              <w:t>$201,200,000</w:t>
            </w: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line="101" w:lineRule="exact"/>
              <w:rPr>
                <w:sz w:val="20"/>
                <w:szCs w:val="20"/>
                <w:color w:val="auto"/>
              </w:rPr>
            </w:pPr>
            <w:r>
              <w:rPr>
                <w:rFonts w:ascii="Arial" w:cs="Arial" w:eastAsia="Arial" w:hAnsi="Arial"/>
                <w:sz w:val="9"/>
                <w:szCs w:val="9"/>
                <w:color w:val="auto"/>
              </w:rPr>
              <w:t>Achieve EBITDA target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42% increase over</w:t>
            </w: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1"/>
              </w:rPr>
              <w:t>52% increase</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62% increase over</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$47,324,000 for 2009</w:t>
            </w: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2008 or $38,900,000</w:t>
            </w: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4"/>
              </w:rPr>
              <w:t>over 2008</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2008 or</w:t>
            </w: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5"/>
              </w:rPr>
              <w:t>or $41,700,000</w:t>
            </w:r>
          </w:p>
        </w:tc>
        <w:tc>
          <w:tcPr>
            <w:tcW w:w="1980" w:type="dxa"/>
            <w:vAlign w:val="bottom"/>
            <w:gridSpan w:val="2"/>
          </w:tcPr>
          <w:p>
            <w:pPr>
              <w:jc w:val="right"/>
              <w:ind w:right="613"/>
              <w:spacing w:after="0" w:line="101" w:lineRule="exact"/>
              <w:rPr>
                <w:sz w:val="20"/>
                <w:szCs w:val="20"/>
                <w:color w:val="auto"/>
              </w:rPr>
            </w:pPr>
            <w:r>
              <w:rPr>
                <w:rFonts w:ascii="Arial" w:cs="Arial" w:eastAsia="Arial" w:hAnsi="Arial"/>
                <w:sz w:val="9"/>
                <w:szCs w:val="9"/>
                <w:color w:val="auto"/>
              </w:rPr>
              <w:t>$44,600,000</w:t>
            </w: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line="101" w:lineRule="exact"/>
              <w:rPr>
                <w:sz w:val="20"/>
                <w:szCs w:val="20"/>
                <w:color w:val="auto"/>
              </w:rPr>
            </w:pPr>
            <w:r>
              <w:rPr>
                <w:rFonts w:ascii="Arial" w:cs="Arial" w:eastAsia="Arial" w:hAnsi="Arial"/>
                <w:sz w:val="9"/>
                <w:szCs w:val="9"/>
                <w:color w:val="auto"/>
              </w:rPr>
              <w:t>Separate Ocwen Solutions</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Completed by</w:t>
            </w: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6"/>
              </w:rPr>
              <w:t>Completed by 09/20/09</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Completed by 08/31/09</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Separation was completed on 08/10/09</w:t>
            </w: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6"/>
              </w:rPr>
              <w:t>10/31/09</w:t>
            </w: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line="101" w:lineRule="exact"/>
              <w:rPr>
                <w:sz w:val="20"/>
                <w:szCs w:val="20"/>
                <w:color w:val="auto"/>
              </w:rPr>
            </w:pPr>
            <w:r>
              <w:rPr>
                <w:rFonts w:ascii="Arial" w:cs="Arial" w:eastAsia="Arial" w:hAnsi="Arial"/>
                <w:sz w:val="9"/>
                <w:szCs w:val="9"/>
                <w:color w:val="auto"/>
              </w:rPr>
              <w:t>Successfully complete the key strategic initiatives of</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80% weighted</w:t>
            </w:r>
          </w:p>
        </w:tc>
        <w:tc>
          <w:tcPr>
            <w:tcW w:w="200" w:type="dxa"/>
            <w:vAlign w:val="bottom"/>
          </w:tcPr>
          <w:p>
            <w:pPr>
              <w:spacing w:after="0"/>
              <w:rPr>
                <w:sz w:val="8"/>
                <w:szCs w:val="8"/>
                <w:color w:val="auto"/>
              </w:rPr>
            </w:pPr>
          </w:p>
        </w:tc>
        <w:tc>
          <w:tcPr>
            <w:tcW w:w="1820" w:type="dxa"/>
            <w:vAlign w:val="bottom"/>
          </w:tcPr>
          <w:p>
            <w:pPr>
              <w:jc w:val="center"/>
              <w:spacing w:after="0" w:line="101" w:lineRule="exact"/>
              <w:rPr>
                <w:sz w:val="20"/>
                <w:szCs w:val="20"/>
                <w:color w:val="auto"/>
              </w:rPr>
            </w:pPr>
            <w:r>
              <w:rPr>
                <w:rFonts w:ascii="Arial" w:cs="Arial" w:eastAsia="Arial" w:hAnsi="Arial"/>
                <w:sz w:val="9"/>
                <w:szCs w:val="9"/>
                <w:color w:val="auto"/>
                <w:w w:val="93"/>
              </w:rPr>
              <w:t>90% weighted average</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100% weighted</w:t>
            </w:r>
          </w:p>
        </w:tc>
        <w:tc>
          <w:tcPr>
            <w:tcW w:w="18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142.8% weighted average score</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Arial" w:cs="Arial" w:eastAsia="Arial" w:hAnsi="Arial"/>
                <w:sz w:val="9"/>
                <w:szCs w:val="9"/>
                <w:color w:val="auto"/>
              </w:rPr>
              <w:t>the Company</w:t>
            </w:r>
          </w:p>
        </w:tc>
        <w:tc>
          <w:tcPr>
            <w:tcW w:w="1800" w:type="dxa"/>
            <w:vAlign w:val="bottom"/>
          </w:tcPr>
          <w:p>
            <w:pPr>
              <w:jc w:val="center"/>
              <w:spacing w:after="0"/>
              <w:rPr>
                <w:sz w:val="20"/>
                <w:szCs w:val="20"/>
                <w:color w:val="auto"/>
              </w:rPr>
            </w:pPr>
            <w:r>
              <w:rPr>
                <w:rFonts w:ascii="Arial" w:cs="Arial" w:eastAsia="Arial" w:hAnsi="Arial"/>
                <w:sz w:val="9"/>
                <w:szCs w:val="9"/>
                <w:color w:val="auto"/>
                <w:w w:val="87"/>
              </w:rPr>
              <w:t>average score</w:t>
            </w:r>
          </w:p>
        </w:tc>
        <w:tc>
          <w:tcPr>
            <w:tcW w:w="2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9"/>
                <w:szCs w:val="9"/>
                <w:color w:val="auto"/>
                <w:w w:val="90"/>
              </w:rPr>
              <w:t>score</w:t>
            </w:r>
          </w:p>
        </w:tc>
        <w:tc>
          <w:tcPr>
            <w:tcW w:w="18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9"/>
                <w:szCs w:val="9"/>
                <w:color w:val="auto"/>
                <w:w w:val="91"/>
              </w:rPr>
              <w:t>average score</w:t>
            </w:r>
          </w:p>
        </w:tc>
        <w:tc>
          <w:tcPr>
            <w:tcW w:w="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-676275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1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0" w:type="dxa"/>
            <w:vAlign w:val="bottom"/>
          </w:tcPr>
          <w:p>
            <w:pPr>
              <w:jc w:val="right"/>
              <w:ind w:right="673"/>
              <w:spacing w:after="0"/>
              <w:rPr>
                <w:sz w:val="20"/>
                <w:szCs w:val="20"/>
                <w:color w:val="auto"/>
              </w:rPr>
            </w:pPr>
            <w:r>
              <w:rPr>
                <w:rFonts w:ascii="Arial" w:cs="Arial" w:eastAsia="Arial" w:hAnsi="Arial"/>
                <w:sz w:val="9"/>
                <w:szCs w:val="9"/>
                <w:b w:val="1"/>
                <w:bCs w:val="1"/>
                <w:color w:val="auto"/>
              </w:rPr>
              <w:t>Strategic Initiatives</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Reduction of Variability: Improve average revenue</w:t>
            </w:r>
          </w:p>
        </w:tc>
        <w:tc>
          <w:tcPr>
            <w:tcW w:w="1960" w:type="dxa"/>
            <w:vAlign w:val="bottom"/>
          </w:tcPr>
          <w:p>
            <w:pPr>
              <w:ind w:left="640"/>
              <w:spacing w:after="0" w:line="101" w:lineRule="exact"/>
              <w:rPr>
                <w:sz w:val="20"/>
                <w:szCs w:val="20"/>
                <w:color w:val="auto"/>
              </w:rPr>
            </w:pPr>
            <w:r>
              <w:rPr>
                <w:rFonts w:ascii="Arial" w:cs="Arial" w:eastAsia="Arial" w:hAnsi="Arial"/>
                <w:sz w:val="9"/>
                <w:szCs w:val="9"/>
                <w:color w:val="auto"/>
              </w:rPr>
              <w:t>Average score of</w:t>
            </w:r>
          </w:p>
        </w:tc>
        <w:tc>
          <w:tcPr>
            <w:tcW w:w="2000" w:type="dxa"/>
            <w:vAlign w:val="bottom"/>
          </w:tcPr>
          <w:p>
            <w:pPr>
              <w:jc w:val="right"/>
              <w:ind w:right="633"/>
              <w:spacing w:after="0" w:line="101" w:lineRule="exact"/>
              <w:rPr>
                <w:sz w:val="20"/>
                <w:szCs w:val="20"/>
                <w:color w:val="auto"/>
              </w:rPr>
            </w:pPr>
            <w:r>
              <w:rPr>
                <w:rFonts w:ascii="Arial" w:cs="Arial" w:eastAsia="Arial" w:hAnsi="Arial"/>
                <w:sz w:val="9"/>
                <w:szCs w:val="9"/>
                <w:color w:val="auto"/>
              </w:rPr>
              <w:t>Average score of</w:t>
            </w:r>
          </w:p>
        </w:tc>
        <w:tc>
          <w:tcPr>
            <w:tcW w:w="2000" w:type="dxa"/>
            <w:vAlign w:val="bottom"/>
          </w:tcPr>
          <w:p>
            <w:pPr>
              <w:ind w:left="680"/>
              <w:spacing w:after="0" w:line="101" w:lineRule="exact"/>
              <w:rPr>
                <w:sz w:val="20"/>
                <w:szCs w:val="20"/>
                <w:color w:val="auto"/>
              </w:rPr>
            </w:pPr>
            <w:r>
              <w:rPr>
                <w:rFonts w:ascii="Arial" w:cs="Arial" w:eastAsia="Arial" w:hAnsi="Arial"/>
                <w:sz w:val="9"/>
                <w:szCs w:val="9"/>
                <w:color w:val="auto"/>
              </w:rPr>
              <w:t>Average score of</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1"/>
              </w:rPr>
              <w:t>Average score of</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performance of the bottom 75% of the collectors by</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1"/>
              </w:rPr>
              <w:t>0.80</w:t>
            </w:r>
          </w:p>
        </w:tc>
        <w:tc>
          <w:tcPr>
            <w:tcW w:w="2000" w:type="dxa"/>
            <w:vAlign w:val="bottom"/>
          </w:tcPr>
          <w:p>
            <w:pPr>
              <w:jc w:val="right"/>
              <w:ind w:right="853"/>
              <w:spacing w:after="0" w:line="101" w:lineRule="exact"/>
              <w:rPr>
                <w:sz w:val="20"/>
                <w:szCs w:val="20"/>
                <w:color w:val="auto"/>
              </w:rPr>
            </w:pPr>
            <w:r>
              <w:rPr>
                <w:rFonts w:ascii="Arial" w:cs="Arial" w:eastAsia="Arial" w:hAnsi="Arial"/>
                <w:sz w:val="9"/>
                <w:szCs w:val="9"/>
                <w:color w:val="auto"/>
              </w:rPr>
              <w:t>0.90</w:t>
            </w:r>
          </w:p>
        </w:tc>
        <w:tc>
          <w:tcPr>
            <w:tcW w:w="2000" w:type="dxa"/>
            <w:vAlign w:val="bottom"/>
          </w:tcPr>
          <w:p>
            <w:pPr>
              <w:jc w:val="right"/>
              <w:ind w:right="873"/>
              <w:spacing w:after="0" w:line="101" w:lineRule="exact"/>
              <w:rPr>
                <w:sz w:val="20"/>
                <w:szCs w:val="20"/>
                <w:color w:val="auto"/>
              </w:rPr>
            </w:pPr>
            <w:r>
              <w:rPr>
                <w:rFonts w:ascii="Arial" w:cs="Arial" w:eastAsia="Arial" w:hAnsi="Arial"/>
                <w:sz w:val="9"/>
                <w:szCs w:val="9"/>
                <w:color w:val="auto"/>
              </w:rPr>
              <w:t>1.00</w:t>
            </w:r>
          </w:p>
        </w:tc>
        <w:tc>
          <w:tcPr>
            <w:tcW w:w="1860" w:type="dxa"/>
            <w:vAlign w:val="bottom"/>
          </w:tcPr>
          <w:p>
            <w:pPr>
              <w:jc w:val="center"/>
              <w:ind w:left="53"/>
              <w:spacing w:after="0" w:line="101" w:lineRule="exact"/>
              <w:rPr>
                <w:sz w:val="20"/>
                <w:szCs w:val="20"/>
                <w:color w:val="auto"/>
              </w:rPr>
            </w:pPr>
            <w:r>
              <w:rPr>
                <w:rFonts w:ascii="Arial" w:cs="Arial" w:eastAsia="Arial" w:hAnsi="Arial"/>
                <w:sz w:val="9"/>
                <w:szCs w:val="9"/>
                <w:color w:val="auto"/>
                <w:w w:val="91"/>
              </w:rPr>
              <w:t>1.05</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24% in Nationwide Credit, Inc.</w:t>
            </w:r>
          </w:p>
        </w:tc>
        <w:tc>
          <w:tcPr>
            <w:tcW w:w="19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120"/>
        </w:trPr>
        <w:tc>
          <w:tcPr>
            <w:tcW w:w="2140" w:type="dxa"/>
            <w:vAlign w:val="bottom"/>
          </w:tcPr>
          <w:p>
            <w:pPr>
              <w:spacing w:after="0"/>
              <w:rPr>
                <w:sz w:val="20"/>
                <w:szCs w:val="20"/>
                <w:color w:val="auto"/>
              </w:rPr>
            </w:pPr>
            <w:r>
              <w:rPr>
                <w:rFonts w:ascii="Arial" w:cs="Arial" w:eastAsia="Arial" w:hAnsi="Arial"/>
                <w:sz w:val="9"/>
                <w:szCs w:val="9"/>
                <w:color w:val="auto"/>
              </w:rPr>
              <w:t>Supervisory effectiveness:</w:t>
            </w:r>
          </w:p>
        </w:tc>
        <w:tc>
          <w:tcPr>
            <w:tcW w:w="1960" w:type="dxa"/>
            <w:vAlign w:val="bottom"/>
          </w:tcPr>
          <w:p>
            <w:pPr>
              <w:jc w:val="center"/>
              <w:spacing w:after="0"/>
              <w:rPr>
                <w:sz w:val="20"/>
                <w:szCs w:val="20"/>
                <w:color w:val="auto"/>
              </w:rPr>
            </w:pPr>
            <w:r>
              <w:rPr>
                <w:rFonts w:ascii="Arial" w:cs="Arial" w:eastAsia="Arial" w:hAnsi="Arial"/>
                <w:sz w:val="9"/>
                <w:szCs w:val="9"/>
                <w:color w:val="auto"/>
                <w:w w:val="95"/>
              </w:rPr>
              <w:t>Cost reduction:</w:t>
            </w:r>
          </w:p>
        </w:tc>
        <w:tc>
          <w:tcPr>
            <w:tcW w:w="2000" w:type="dxa"/>
            <w:vAlign w:val="bottom"/>
          </w:tcPr>
          <w:p>
            <w:pPr>
              <w:jc w:val="right"/>
              <w:ind w:right="673"/>
              <w:spacing w:after="0"/>
              <w:rPr>
                <w:sz w:val="20"/>
                <w:szCs w:val="20"/>
                <w:color w:val="auto"/>
              </w:rPr>
            </w:pPr>
            <w:r>
              <w:rPr>
                <w:rFonts w:ascii="Arial" w:cs="Arial" w:eastAsia="Arial" w:hAnsi="Arial"/>
                <w:sz w:val="9"/>
                <w:szCs w:val="9"/>
                <w:color w:val="auto"/>
              </w:rPr>
              <w:t>Cost reduction:</w:t>
            </w:r>
          </w:p>
        </w:tc>
        <w:tc>
          <w:tcPr>
            <w:tcW w:w="2000" w:type="dxa"/>
            <w:vAlign w:val="bottom"/>
          </w:tcPr>
          <w:p>
            <w:pPr>
              <w:jc w:val="center"/>
              <w:spacing w:after="0"/>
              <w:rPr>
                <w:sz w:val="20"/>
                <w:szCs w:val="20"/>
                <w:color w:val="auto"/>
              </w:rPr>
            </w:pPr>
            <w:r>
              <w:rPr>
                <w:rFonts w:ascii="Arial" w:cs="Arial" w:eastAsia="Arial" w:hAnsi="Arial"/>
                <w:sz w:val="9"/>
                <w:szCs w:val="9"/>
                <w:color w:val="auto"/>
                <w:w w:val="95"/>
              </w:rPr>
              <w:t>Cost reduction:</w:t>
            </w:r>
          </w:p>
        </w:tc>
        <w:tc>
          <w:tcPr>
            <w:tcW w:w="1860" w:type="dxa"/>
            <w:vAlign w:val="bottom"/>
          </w:tcPr>
          <w:p>
            <w:pPr>
              <w:jc w:val="center"/>
              <w:ind w:left="73"/>
              <w:spacing w:after="0"/>
              <w:rPr>
                <w:sz w:val="20"/>
                <w:szCs w:val="20"/>
                <w:color w:val="auto"/>
              </w:rPr>
            </w:pPr>
            <w:r>
              <w:rPr>
                <w:rFonts w:ascii="Arial" w:cs="Arial" w:eastAsia="Arial" w:hAnsi="Arial"/>
                <w:sz w:val="9"/>
                <w:szCs w:val="9"/>
                <w:color w:val="auto"/>
                <w:w w:val="95"/>
              </w:rPr>
              <w:t>Cost reduction:</w:t>
            </w:r>
          </w:p>
        </w:tc>
      </w:tr>
      <w:tr>
        <w:trPr>
          <w:trHeight w:val="183"/>
        </w:trPr>
        <w:tc>
          <w:tcPr>
            <w:tcW w:w="214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9"/>
                <w:szCs w:val="9"/>
                <w:color w:val="auto"/>
                <w:w w:val="96"/>
              </w:rPr>
              <w:t>6.0% cost reduction or $708,700 for Financial</w:t>
            </w:r>
          </w:p>
        </w:tc>
        <w:tc>
          <w:tcPr>
            <w:tcW w:w="2000" w:type="dxa"/>
            <w:vAlign w:val="bottom"/>
          </w:tcPr>
          <w:p>
            <w:pPr>
              <w:jc w:val="center"/>
              <w:spacing w:after="0"/>
              <w:rPr>
                <w:sz w:val="20"/>
                <w:szCs w:val="20"/>
                <w:color w:val="auto"/>
              </w:rPr>
            </w:pPr>
            <w:r>
              <w:rPr>
                <w:rFonts w:ascii="Arial" w:cs="Arial" w:eastAsia="Arial" w:hAnsi="Arial"/>
                <w:sz w:val="9"/>
                <w:szCs w:val="9"/>
                <w:color w:val="auto"/>
                <w:w w:val="95"/>
              </w:rPr>
              <w:t>9.5% cost reduction or $1,125.,700 for</w:t>
            </w:r>
          </w:p>
        </w:tc>
        <w:tc>
          <w:tcPr>
            <w:tcW w:w="2000" w:type="dxa"/>
            <w:vAlign w:val="bottom"/>
          </w:tcPr>
          <w:p>
            <w:pPr>
              <w:jc w:val="center"/>
              <w:spacing w:after="0"/>
              <w:rPr>
                <w:sz w:val="20"/>
                <w:szCs w:val="20"/>
                <w:color w:val="auto"/>
              </w:rPr>
            </w:pPr>
            <w:r>
              <w:rPr>
                <w:rFonts w:ascii="Arial" w:cs="Arial" w:eastAsia="Arial" w:hAnsi="Arial"/>
                <w:sz w:val="9"/>
                <w:szCs w:val="9"/>
                <w:color w:val="auto"/>
                <w:w w:val="95"/>
              </w:rPr>
              <w:t>13.1% cost reduction or $1,542.700 for</w:t>
            </w:r>
          </w:p>
        </w:tc>
        <w:tc>
          <w:tcPr>
            <w:tcW w:w="1860" w:type="dxa"/>
            <w:vAlign w:val="bottom"/>
          </w:tcPr>
          <w:p>
            <w:pPr>
              <w:jc w:val="center"/>
              <w:ind w:left="73"/>
              <w:spacing w:after="0"/>
              <w:rPr>
                <w:sz w:val="20"/>
                <w:szCs w:val="20"/>
                <w:color w:val="auto"/>
              </w:rPr>
            </w:pPr>
            <w:r>
              <w:rPr>
                <w:rFonts w:ascii="Arial" w:cs="Arial" w:eastAsia="Arial" w:hAnsi="Arial"/>
                <w:sz w:val="9"/>
                <w:szCs w:val="9"/>
                <w:color w:val="auto"/>
                <w:w w:val="95"/>
              </w:rPr>
              <w:t>23.2% reduction for Financial Services 10.1%</w:t>
            </w:r>
          </w:p>
        </w:tc>
      </w:tr>
      <w:tr>
        <w:trPr>
          <w:trHeight w:val="120"/>
        </w:trPr>
        <w:tc>
          <w:tcPr>
            <w:tcW w:w="214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9"/>
                <w:szCs w:val="9"/>
                <w:color w:val="auto"/>
                <w:w w:val="93"/>
              </w:rPr>
              <w:t>Services and Technology Products</w:t>
            </w:r>
          </w:p>
        </w:tc>
        <w:tc>
          <w:tcPr>
            <w:tcW w:w="2000" w:type="dxa"/>
            <w:vAlign w:val="bottom"/>
          </w:tcPr>
          <w:p>
            <w:pPr>
              <w:jc w:val="center"/>
              <w:spacing w:after="0"/>
              <w:rPr>
                <w:sz w:val="20"/>
                <w:szCs w:val="20"/>
                <w:color w:val="auto"/>
              </w:rPr>
            </w:pPr>
            <w:r>
              <w:rPr>
                <w:rFonts w:ascii="Arial" w:cs="Arial" w:eastAsia="Arial" w:hAnsi="Arial"/>
                <w:sz w:val="9"/>
                <w:szCs w:val="9"/>
                <w:color w:val="auto"/>
                <w:w w:val="93"/>
              </w:rPr>
              <w:t>Financial Services and Technology Products</w:t>
            </w:r>
          </w:p>
        </w:tc>
        <w:tc>
          <w:tcPr>
            <w:tcW w:w="2000" w:type="dxa"/>
            <w:vAlign w:val="bottom"/>
          </w:tcPr>
          <w:p>
            <w:pPr>
              <w:jc w:val="center"/>
              <w:spacing w:after="0"/>
              <w:rPr>
                <w:sz w:val="20"/>
                <w:szCs w:val="20"/>
                <w:color w:val="auto"/>
              </w:rPr>
            </w:pPr>
            <w:r>
              <w:rPr>
                <w:rFonts w:ascii="Arial" w:cs="Arial" w:eastAsia="Arial" w:hAnsi="Arial"/>
                <w:sz w:val="9"/>
                <w:szCs w:val="9"/>
                <w:color w:val="auto"/>
                <w:w w:val="94"/>
              </w:rPr>
              <w:t>Financial Services and Technology Products</w:t>
            </w:r>
          </w:p>
        </w:tc>
        <w:tc>
          <w:tcPr>
            <w:tcW w:w="1860" w:type="dxa"/>
            <w:vAlign w:val="bottom"/>
          </w:tcPr>
          <w:p>
            <w:pPr>
              <w:jc w:val="center"/>
              <w:ind w:left="73"/>
              <w:spacing w:after="0"/>
              <w:rPr>
                <w:sz w:val="20"/>
                <w:szCs w:val="20"/>
                <w:color w:val="auto"/>
              </w:rPr>
            </w:pPr>
            <w:r>
              <w:rPr>
                <w:rFonts w:ascii="Arial" w:cs="Arial" w:eastAsia="Arial" w:hAnsi="Arial"/>
                <w:sz w:val="9"/>
                <w:szCs w:val="9"/>
                <w:color w:val="auto"/>
                <w:w w:val="94"/>
              </w:rPr>
              <w:t>reduction for Technology Products</w:t>
            </w:r>
          </w:p>
        </w:tc>
      </w:tr>
      <w:tr>
        <w:trPr>
          <w:trHeight w:val="202"/>
        </w:trPr>
        <w:tc>
          <w:tcPr>
            <w:tcW w:w="2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9"/>
                <w:szCs w:val="9"/>
                <w:color w:val="auto"/>
                <w:w w:val="90"/>
              </w:rPr>
              <w:t>Increase in span:</w:t>
            </w:r>
          </w:p>
        </w:tc>
        <w:tc>
          <w:tcPr>
            <w:tcW w:w="2000" w:type="dxa"/>
            <w:vAlign w:val="bottom"/>
          </w:tcPr>
          <w:p>
            <w:pPr>
              <w:jc w:val="center"/>
              <w:spacing w:after="0"/>
              <w:rPr>
                <w:sz w:val="20"/>
                <w:szCs w:val="20"/>
                <w:color w:val="auto"/>
              </w:rPr>
            </w:pPr>
            <w:r>
              <w:rPr>
                <w:rFonts w:ascii="Arial" w:cs="Arial" w:eastAsia="Arial" w:hAnsi="Arial"/>
                <w:sz w:val="9"/>
                <w:szCs w:val="9"/>
                <w:color w:val="auto"/>
                <w:w w:val="90"/>
              </w:rPr>
              <w:t>Increase in span:</w:t>
            </w:r>
          </w:p>
        </w:tc>
        <w:tc>
          <w:tcPr>
            <w:tcW w:w="2000" w:type="dxa"/>
            <w:vAlign w:val="bottom"/>
          </w:tcPr>
          <w:p>
            <w:pPr>
              <w:jc w:val="center"/>
              <w:spacing w:after="0"/>
              <w:rPr>
                <w:sz w:val="20"/>
                <w:szCs w:val="20"/>
                <w:color w:val="auto"/>
              </w:rPr>
            </w:pPr>
            <w:r>
              <w:rPr>
                <w:rFonts w:ascii="Arial" w:cs="Arial" w:eastAsia="Arial" w:hAnsi="Arial"/>
                <w:sz w:val="9"/>
                <w:szCs w:val="9"/>
                <w:color w:val="auto"/>
                <w:w w:val="93"/>
              </w:rPr>
              <w:t>Increase in span:</w:t>
            </w:r>
          </w:p>
        </w:tc>
        <w:tc>
          <w:tcPr>
            <w:tcW w:w="1860" w:type="dxa"/>
            <w:vAlign w:val="bottom"/>
          </w:tcPr>
          <w:p>
            <w:pPr>
              <w:jc w:val="center"/>
              <w:ind w:left="73"/>
              <w:spacing w:after="0"/>
              <w:rPr>
                <w:sz w:val="20"/>
                <w:szCs w:val="20"/>
                <w:color w:val="auto"/>
              </w:rPr>
            </w:pPr>
            <w:r>
              <w:rPr>
                <w:rFonts w:ascii="Arial" w:cs="Arial" w:eastAsia="Arial" w:hAnsi="Arial"/>
                <w:sz w:val="9"/>
                <w:szCs w:val="9"/>
                <w:color w:val="auto"/>
                <w:w w:val="90"/>
              </w:rPr>
              <w:t>Increase in span:</w:t>
            </w:r>
          </w:p>
        </w:tc>
      </w:tr>
      <w:tr>
        <w:trPr>
          <w:trHeight w:val="183"/>
        </w:trPr>
        <w:tc>
          <w:tcPr>
            <w:tcW w:w="214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9"/>
                <w:szCs w:val="9"/>
                <w:color w:val="auto"/>
                <w:w w:val="93"/>
              </w:rPr>
              <w:t>6.0% increase or 8.4 in supervisory spans of</w:t>
            </w:r>
          </w:p>
        </w:tc>
        <w:tc>
          <w:tcPr>
            <w:tcW w:w="2000" w:type="dxa"/>
            <w:vAlign w:val="bottom"/>
          </w:tcPr>
          <w:p>
            <w:pPr>
              <w:jc w:val="center"/>
              <w:spacing w:after="0"/>
              <w:rPr>
                <w:sz w:val="20"/>
                <w:szCs w:val="20"/>
                <w:color w:val="auto"/>
              </w:rPr>
            </w:pPr>
            <w:r>
              <w:rPr>
                <w:rFonts w:ascii="Arial" w:cs="Arial" w:eastAsia="Arial" w:hAnsi="Arial"/>
                <w:sz w:val="9"/>
                <w:szCs w:val="9"/>
                <w:color w:val="auto"/>
                <w:w w:val="93"/>
              </w:rPr>
              <w:t>10.0% increase or 8.7 in supervisory spans of</w:t>
            </w:r>
          </w:p>
        </w:tc>
        <w:tc>
          <w:tcPr>
            <w:tcW w:w="2000" w:type="dxa"/>
            <w:vAlign w:val="bottom"/>
          </w:tcPr>
          <w:p>
            <w:pPr>
              <w:jc w:val="center"/>
              <w:spacing w:after="0"/>
              <w:rPr>
                <w:sz w:val="20"/>
                <w:szCs w:val="20"/>
                <w:color w:val="auto"/>
              </w:rPr>
            </w:pPr>
            <w:r>
              <w:rPr>
                <w:rFonts w:ascii="Arial" w:cs="Arial" w:eastAsia="Arial" w:hAnsi="Arial"/>
                <w:sz w:val="9"/>
                <w:szCs w:val="9"/>
                <w:color w:val="auto"/>
                <w:w w:val="94"/>
              </w:rPr>
              <w:t>14.0% increase or 9.0 in supervisory spans of</w:t>
            </w:r>
          </w:p>
        </w:tc>
        <w:tc>
          <w:tcPr>
            <w:tcW w:w="1860" w:type="dxa"/>
            <w:vAlign w:val="bottom"/>
          </w:tcPr>
          <w:p>
            <w:pPr>
              <w:jc w:val="center"/>
              <w:ind w:left="73"/>
              <w:spacing w:after="0"/>
              <w:rPr>
                <w:sz w:val="20"/>
                <w:szCs w:val="20"/>
                <w:color w:val="auto"/>
              </w:rPr>
            </w:pPr>
            <w:r>
              <w:rPr>
                <w:rFonts w:ascii="Arial" w:cs="Arial" w:eastAsia="Arial" w:hAnsi="Arial"/>
                <w:sz w:val="9"/>
                <w:szCs w:val="9"/>
                <w:color w:val="auto"/>
                <w:w w:val="95"/>
              </w:rPr>
              <w:t>6.8% increase from 8.3 to 8.8 for Financial</w:t>
            </w:r>
          </w:p>
        </w:tc>
      </w:tr>
      <w:tr>
        <w:trPr>
          <w:trHeight w:val="101"/>
        </w:trPr>
        <w:tc>
          <w:tcPr>
            <w:tcW w:w="2140" w:type="dxa"/>
            <w:vAlign w:val="bottom"/>
          </w:tcPr>
          <w:p>
            <w:pPr>
              <w:spacing w:after="0"/>
              <w:rPr>
                <w:sz w:val="8"/>
                <w:szCs w:val="8"/>
                <w:color w:val="auto"/>
              </w:rPr>
            </w:pP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6"/>
              </w:rPr>
              <w:t>control for Financial Services</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5"/>
              </w:rPr>
              <w:t>control for Financial Services</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6"/>
              </w:rPr>
              <w:t>control for Financial Services</w:t>
            </w:r>
          </w:p>
        </w:tc>
        <w:tc>
          <w:tcPr>
            <w:tcW w:w="1860" w:type="dxa"/>
            <w:vAlign w:val="bottom"/>
          </w:tcPr>
          <w:p>
            <w:pPr>
              <w:jc w:val="center"/>
              <w:ind w:left="53"/>
              <w:spacing w:after="0" w:line="101" w:lineRule="exact"/>
              <w:rPr>
                <w:sz w:val="20"/>
                <w:szCs w:val="20"/>
                <w:color w:val="auto"/>
              </w:rPr>
            </w:pPr>
            <w:r>
              <w:rPr>
                <w:rFonts w:ascii="Arial" w:cs="Arial" w:eastAsia="Arial" w:hAnsi="Arial"/>
                <w:sz w:val="9"/>
                <w:szCs w:val="9"/>
                <w:color w:val="auto"/>
                <w:w w:val="92"/>
              </w:rPr>
              <w:t>Services</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Consolidation and automation of processes</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6"/>
              </w:rPr>
              <w:t>80% plan implementation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6"/>
              </w:rPr>
              <w:t>90% plan implementation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6"/>
              </w:rPr>
              <w:t>100% plan implementation</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4"/>
              </w:rPr>
              <w:t>106% implementation</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Personnel development — hiring key personnel</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9"/>
              </w:rPr>
              <w:t>Hire 3</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9"/>
              </w:rPr>
              <w:t>Hire 4</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9"/>
              </w:rPr>
              <w:t>Hire 5</w:t>
            </w:r>
          </w:p>
        </w:tc>
        <w:tc>
          <w:tcPr>
            <w:tcW w:w="1860" w:type="dxa"/>
            <w:vAlign w:val="bottom"/>
          </w:tcPr>
          <w:p>
            <w:pPr>
              <w:jc w:val="center"/>
              <w:ind w:left="53"/>
              <w:spacing w:after="0" w:line="101" w:lineRule="exact"/>
              <w:rPr>
                <w:sz w:val="20"/>
                <w:szCs w:val="20"/>
                <w:color w:val="auto"/>
              </w:rPr>
            </w:pPr>
            <w:r>
              <w:rPr>
                <w:rFonts w:ascii="Arial" w:cs="Arial" w:eastAsia="Arial" w:hAnsi="Arial"/>
                <w:sz w:val="9"/>
                <w:szCs w:val="9"/>
                <w:color w:val="auto"/>
                <w:w w:val="96"/>
              </w:rPr>
              <w:t>Hired 6</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Meet service level agreements for Ocwen, Financial</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1"/>
              </w:rPr>
              <w:t>³98.1%</w:t>
            </w:r>
          </w:p>
        </w:tc>
        <w:tc>
          <w:tcPr>
            <w:tcW w:w="2000" w:type="dxa"/>
            <w:vAlign w:val="bottom"/>
          </w:tcPr>
          <w:p>
            <w:pPr>
              <w:jc w:val="right"/>
              <w:ind w:right="813"/>
              <w:spacing w:after="0" w:line="101" w:lineRule="exact"/>
              <w:rPr>
                <w:sz w:val="20"/>
                <w:szCs w:val="20"/>
                <w:color w:val="auto"/>
              </w:rPr>
            </w:pPr>
            <w:r>
              <w:rPr>
                <w:rFonts w:ascii="Arial" w:cs="Arial" w:eastAsia="Arial" w:hAnsi="Arial"/>
                <w:sz w:val="9"/>
                <w:szCs w:val="9"/>
                <w:color w:val="auto"/>
              </w:rPr>
              <w:t>³98.7%</w:t>
            </w:r>
          </w:p>
        </w:tc>
        <w:tc>
          <w:tcPr>
            <w:tcW w:w="2000" w:type="dxa"/>
            <w:vAlign w:val="bottom"/>
          </w:tcPr>
          <w:p>
            <w:pPr>
              <w:jc w:val="right"/>
              <w:ind w:right="813"/>
              <w:spacing w:after="0" w:line="101" w:lineRule="exact"/>
              <w:rPr>
                <w:sz w:val="20"/>
                <w:szCs w:val="20"/>
                <w:color w:val="auto"/>
              </w:rPr>
            </w:pPr>
            <w:r>
              <w:rPr>
                <w:rFonts w:ascii="Arial" w:cs="Arial" w:eastAsia="Arial" w:hAnsi="Arial"/>
                <w:sz w:val="9"/>
                <w:szCs w:val="9"/>
                <w:color w:val="auto"/>
              </w:rPr>
              <w:t>³ 99.3%</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5"/>
              </w:rPr>
              <w:t>Ocwen: 99.65% Financial Services: 99.76%</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w w:val="96"/>
              </w:rPr>
              <w:t>Services, Mortgage Services and Technology Products</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2"/>
              </w:rPr>
              <w:t>and</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4"/>
              </w:rPr>
              <w:t>and &lt; 99.3%</w:t>
            </w:r>
          </w:p>
        </w:tc>
        <w:tc>
          <w:tcPr>
            <w:tcW w:w="2000" w:type="dxa"/>
            <w:vAlign w:val="bottom"/>
          </w:tcPr>
          <w:p>
            <w:pPr>
              <w:spacing w:after="0"/>
              <w:rPr>
                <w:sz w:val="8"/>
                <w:szCs w:val="8"/>
                <w:color w:val="auto"/>
              </w:rPr>
            </w:pP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3"/>
              </w:rPr>
              <w:t>Mortgage Services: 99.65% Technology</w:t>
            </w:r>
          </w:p>
        </w:tc>
      </w:tr>
      <w:tr>
        <w:trPr>
          <w:trHeight w:val="101"/>
        </w:trPr>
        <w:tc>
          <w:tcPr>
            <w:tcW w:w="2140" w:type="dxa"/>
            <w:vAlign w:val="bottom"/>
          </w:tcPr>
          <w:p>
            <w:pPr>
              <w:spacing w:after="0"/>
              <w:rPr>
                <w:sz w:val="8"/>
                <w:szCs w:val="8"/>
                <w:color w:val="auto"/>
              </w:rPr>
            </w:pP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6"/>
              </w:rPr>
              <w:t>&lt; 98.7%</w:t>
            </w:r>
          </w:p>
        </w:tc>
        <w:tc>
          <w:tcPr>
            <w:tcW w:w="20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2"/>
              </w:rPr>
              <w:t>Products: 99.89%</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Release the budgeted 2009 strategic development</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3"/>
              </w:rPr>
              <w:t>On a combined basis, release all 26 projects</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3"/>
              </w:rPr>
              <w:t>On a combined basis, release all 26 projects</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2"/>
              </w:rPr>
              <w:t>On a combined basis, release all 26 projects at</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5"/>
              </w:rPr>
              <w:t>7 projects not completed</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projects by the applicable release date.</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5"/>
              </w:rPr>
              <w:t>within a delay of 60 days</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5"/>
              </w:rPr>
              <w:t>with no delay</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3"/>
              </w:rPr>
              <w:t>least 60 days early</w:t>
            </w:r>
          </w:p>
        </w:tc>
        <w:tc>
          <w:tcPr>
            <w:tcW w:w="1860" w:type="dxa"/>
            <w:vAlign w:val="bottom"/>
          </w:tcPr>
          <w:p>
            <w:pPr>
              <w:spacing w:after="0"/>
              <w:rPr>
                <w:sz w:val="8"/>
                <w:szCs w:val="8"/>
                <w:color w:val="auto"/>
              </w:rPr>
            </w:pP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Create an Altisource website, marketing content and</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by 05/31/09 plus quality at discretion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by 04/30/09 plus quality at discretion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6"/>
              </w:rPr>
              <w:t>Complete by 03/31/09 plus quality at discretion</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4"/>
              </w:rPr>
              <w:t>The Altisource website was released by</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presentations</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3"/>
              </w:rPr>
              <w:t>of Chairman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3"/>
              </w:rPr>
              <w:t>of Chairman</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7"/>
              </w:rPr>
              <w:t>of Chairman</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5"/>
              </w:rPr>
              <w:t>03/31/09 with exception of Investor Relations,</w:t>
            </w:r>
          </w:p>
        </w:tc>
      </w:tr>
      <w:tr>
        <w:trPr>
          <w:trHeight w:val="101"/>
        </w:trPr>
        <w:tc>
          <w:tcPr>
            <w:tcW w:w="2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5"/>
              </w:rPr>
              <w:t>which was launched in connection with the</w:t>
            </w:r>
          </w:p>
        </w:tc>
      </w:tr>
      <w:tr>
        <w:trPr>
          <w:trHeight w:val="101"/>
        </w:trPr>
        <w:tc>
          <w:tcPr>
            <w:tcW w:w="2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60" w:type="dxa"/>
            <w:vAlign w:val="bottom"/>
          </w:tcPr>
          <w:p>
            <w:pPr>
              <w:jc w:val="center"/>
              <w:ind w:left="53"/>
              <w:spacing w:after="0" w:line="101" w:lineRule="exact"/>
              <w:rPr>
                <w:sz w:val="20"/>
                <w:szCs w:val="20"/>
                <w:color w:val="auto"/>
              </w:rPr>
            </w:pPr>
            <w:r>
              <w:rPr>
                <w:rFonts w:ascii="Arial" w:cs="Arial" w:eastAsia="Arial" w:hAnsi="Arial"/>
                <w:sz w:val="9"/>
                <w:szCs w:val="9"/>
                <w:color w:val="auto"/>
                <w:w w:val="93"/>
              </w:rPr>
              <w:t>offering as planned</w:t>
            </w:r>
          </w:p>
        </w:tc>
      </w:tr>
      <w:tr>
        <w:trPr>
          <w:trHeight w:val="101"/>
        </w:trPr>
        <w:tc>
          <w:tcPr>
            <w:tcW w:w="2140" w:type="dxa"/>
            <w:vAlign w:val="bottom"/>
          </w:tcPr>
          <w:p>
            <w:pPr>
              <w:spacing w:after="0" w:line="101" w:lineRule="exact"/>
              <w:rPr>
                <w:sz w:val="20"/>
                <w:szCs w:val="20"/>
                <w:color w:val="auto"/>
              </w:rPr>
            </w:pPr>
            <w:r>
              <w:rPr>
                <w:rFonts w:ascii="Arial" w:cs="Arial" w:eastAsia="Arial" w:hAnsi="Arial"/>
                <w:sz w:val="9"/>
                <w:szCs w:val="9"/>
                <w:color w:val="auto"/>
              </w:rPr>
              <w:t>Develop strategic plan for new products and channel</w:t>
            </w:r>
          </w:p>
        </w:tc>
        <w:tc>
          <w:tcPr>
            <w:tcW w:w="1960" w:type="dxa"/>
            <w:vAlign w:val="bottom"/>
          </w:tcPr>
          <w:p>
            <w:pPr>
              <w:jc w:val="center"/>
              <w:spacing w:after="0" w:line="101" w:lineRule="exact"/>
              <w:rPr>
                <w:sz w:val="20"/>
                <w:szCs w:val="20"/>
                <w:color w:val="auto"/>
              </w:rPr>
            </w:pPr>
            <w:r>
              <w:rPr>
                <w:rFonts w:ascii="Arial" w:cs="Arial" w:eastAsia="Arial" w:hAnsi="Arial"/>
                <w:sz w:val="9"/>
                <w:szCs w:val="9"/>
                <w:color w:val="auto"/>
                <w:w w:val="92"/>
              </w:rPr>
              <w:t>1 plan approved</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2"/>
              </w:rPr>
              <w:t>2 plans approved</w:t>
            </w:r>
          </w:p>
        </w:tc>
        <w:tc>
          <w:tcPr>
            <w:tcW w:w="2000" w:type="dxa"/>
            <w:vAlign w:val="bottom"/>
          </w:tcPr>
          <w:p>
            <w:pPr>
              <w:jc w:val="center"/>
              <w:spacing w:after="0" w:line="101" w:lineRule="exact"/>
              <w:rPr>
                <w:sz w:val="20"/>
                <w:szCs w:val="20"/>
                <w:color w:val="auto"/>
              </w:rPr>
            </w:pPr>
            <w:r>
              <w:rPr>
                <w:rFonts w:ascii="Arial" w:cs="Arial" w:eastAsia="Arial" w:hAnsi="Arial"/>
                <w:sz w:val="9"/>
                <w:szCs w:val="9"/>
                <w:color w:val="auto"/>
                <w:w w:val="92"/>
              </w:rPr>
              <w:t>3 plans approved</w:t>
            </w:r>
          </w:p>
        </w:tc>
        <w:tc>
          <w:tcPr>
            <w:tcW w:w="1860" w:type="dxa"/>
            <w:vAlign w:val="bottom"/>
          </w:tcPr>
          <w:p>
            <w:pPr>
              <w:jc w:val="center"/>
              <w:ind w:left="73"/>
              <w:spacing w:after="0" w:line="101" w:lineRule="exact"/>
              <w:rPr>
                <w:sz w:val="20"/>
                <w:szCs w:val="20"/>
                <w:color w:val="auto"/>
              </w:rPr>
            </w:pPr>
            <w:r>
              <w:rPr>
                <w:rFonts w:ascii="Arial" w:cs="Arial" w:eastAsia="Arial" w:hAnsi="Arial"/>
                <w:sz w:val="9"/>
                <w:szCs w:val="9"/>
                <w:color w:val="auto"/>
                <w:w w:val="93"/>
              </w:rPr>
              <w:t>More than 3 plans were approved</w:t>
            </w:r>
          </w:p>
        </w:tc>
      </w:tr>
      <w:tr>
        <w:trPr>
          <w:trHeight w:val="120"/>
        </w:trPr>
        <w:tc>
          <w:tcPr>
            <w:tcW w:w="2140" w:type="dxa"/>
            <w:vAlign w:val="bottom"/>
          </w:tcPr>
          <w:p>
            <w:pPr>
              <w:spacing w:after="0"/>
              <w:rPr>
                <w:sz w:val="20"/>
                <w:szCs w:val="20"/>
                <w:color w:val="auto"/>
              </w:rPr>
            </w:pPr>
            <w:r>
              <w:rPr>
                <w:rFonts w:ascii="Arial" w:cs="Arial" w:eastAsia="Arial" w:hAnsi="Arial"/>
                <w:sz w:val="9"/>
                <w:szCs w:val="9"/>
                <w:color w:val="auto"/>
              </w:rPr>
              <w:t>sales strategy</w:t>
            </w:r>
          </w:p>
        </w:tc>
        <w:tc>
          <w:tcPr>
            <w:tcW w:w="19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60" w:type="dxa"/>
            <w:vAlign w:val="bottom"/>
          </w:tcPr>
          <w:p>
            <w:pPr>
              <w:spacing w:after="0"/>
              <w:rPr>
                <w:sz w:val="10"/>
                <w:szCs w:val="10"/>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incentive award for our Chief Executive Officer is structured so that compensation opportunities are related to (i) the performance appraisal of the Chief Executive Officer</w:t>
      </w:r>
    </w:p>
    <w:p>
      <w:pPr>
        <w:spacing w:after="0" w:line="34" w:lineRule="exact"/>
        <w:rPr>
          <w:sz w:val="20"/>
          <w:szCs w:val="20"/>
          <w:color w:val="auto"/>
        </w:rPr>
      </w:pPr>
    </w:p>
    <w:p>
      <w:pPr>
        <w:ind w:left="680" w:right="360"/>
        <w:spacing w:after="0" w:line="320" w:lineRule="auto"/>
        <w:rPr>
          <w:sz w:val="20"/>
          <w:szCs w:val="20"/>
          <w:color w:val="auto"/>
        </w:rPr>
      </w:pPr>
      <w:r>
        <w:rPr>
          <w:rFonts w:ascii="Arial" w:cs="Arial" w:eastAsia="Arial" w:hAnsi="Arial"/>
          <w:sz w:val="12"/>
          <w:szCs w:val="12"/>
          <w:color w:val="auto"/>
        </w:rPr>
        <w:t>(20%) and (ii) the Company’s performance versus the objectives established in the corporate scorecard (80%). The incentive awards of our executive officers (other than our Chief Executive Officer) are structured so that compensation opportunities are related to (i) the performance appraisal of the executive officer (20%) and (ii) the performance within the</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business or support unit as expressed on such executive officer’s scorecard (80%) of which 20% or more is weighted on Corporate Financial Objectives.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components in each scorecard are weighted individually based on relevance to the ultimate financial performance of the Company and achievement of the strategic initiatives.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68"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The goals and initiatives are further cascaded to all of our incentive-eligible employees in their personal scorecards. Within this program, all incentive-eligible employees of the organization are tied to a personal or business unit scorecard from which to measure performance against goals that are directly linked to Company profitability and strategy.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personal scorecards for our Chief Executive Officer and other executive officers and their corresponding levels of achievement are as follows:</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9"/>
                <w:szCs w:val="9"/>
                <w:b w:val="1"/>
                <w:bCs w:val="1"/>
                <w:color w:val="auto"/>
              </w:rPr>
              <w:t>Achievement Levels</w:t>
            </w: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Scorecard</w:t>
            </w:r>
          </w:p>
        </w:tc>
        <w:tc>
          <w:tcPr>
            <w:tcW w:w="1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9"/>
                <w:szCs w:val="9"/>
                <w:b w:val="1"/>
                <w:bCs w:val="1"/>
                <w:color w:val="auto"/>
                <w:w w:val="95"/>
              </w:rPr>
              <w:t>Level</w:t>
            </w:r>
          </w:p>
        </w:tc>
        <w:tc>
          <w:tcPr>
            <w:tcW w:w="0" w:type="dxa"/>
            <w:vAlign w:val="bottom"/>
          </w:tcPr>
          <w:p>
            <w:pPr>
              <w:spacing w:after="0"/>
              <w:rPr>
                <w:sz w:val="1"/>
                <w:szCs w:val="1"/>
                <w:color w:val="auto"/>
              </w:rPr>
            </w:pPr>
          </w:p>
        </w:tc>
      </w:tr>
      <w:tr>
        <w:trPr>
          <w:trHeight w:val="101"/>
        </w:trPr>
        <w:tc>
          <w:tcPr>
            <w:tcW w:w="2020" w:type="dxa"/>
            <w:vAlign w:val="bottom"/>
            <w:vMerge w:val="continue"/>
          </w:tcPr>
          <w:p>
            <w:pPr>
              <w:spacing w:after="0"/>
              <w:rPr>
                <w:sz w:val="8"/>
                <w:szCs w:val="8"/>
                <w:color w:val="auto"/>
              </w:rPr>
            </w:pPr>
          </w:p>
        </w:tc>
        <w:tc>
          <w:tcPr>
            <w:tcW w:w="200" w:type="dxa"/>
            <w:vAlign w:val="bottom"/>
            <w:tcBorders>
              <w:bottom w:val="single" w:sz="8" w:color="auto"/>
            </w:tcBorders>
          </w:tcPr>
          <w:p>
            <w:pPr>
              <w:jc w:val="right"/>
              <w:ind w:right="13"/>
              <w:spacing w:after="0" w:line="101" w:lineRule="exact"/>
              <w:rPr>
                <w:sz w:val="20"/>
                <w:szCs w:val="20"/>
                <w:color w:val="auto"/>
              </w:rPr>
            </w:pPr>
            <w:r>
              <w:rPr>
                <w:rFonts w:ascii="Arial" w:cs="Arial" w:eastAsia="Arial" w:hAnsi="Arial"/>
                <w:sz w:val="9"/>
                <w:szCs w:val="9"/>
                <w:b w:val="1"/>
                <w:bCs w:val="1"/>
                <w:color w:val="auto"/>
              </w:rPr>
              <w:t>%</w:t>
            </w:r>
          </w:p>
        </w:tc>
        <w:tc>
          <w:tcPr>
            <w:tcW w:w="300" w:type="dxa"/>
            <w:vAlign w:val="bottom"/>
          </w:tcPr>
          <w:p>
            <w:pPr>
              <w:spacing w:after="0"/>
              <w:rPr>
                <w:sz w:val="8"/>
                <w:szCs w:val="8"/>
                <w:color w:val="auto"/>
              </w:rPr>
            </w:pPr>
          </w:p>
        </w:tc>
        <w:tc>
          <w:tcPr>
            <w:tcW w:w="1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89"/>
              </w:rPr>
              <w:t>Elements</w:t>
            </w:r>
          </w:p>
        </w:tc>
        <w:tc>
          <w:tcPr>
            <w:tcW w:w="200" w:type="dxa"/>
            <w:vAlign w:val="bottom"/>
          </w:tcPr>
          <w:p>
            <w:pPr>
              <w:spacing w:after="0"/>
              <w:rPr>
                <w:sz w:val="8"/>
                <w:szCs w:val="8"/>
                <w:color w:val="auto"/>
              </w:rPr>
            </w:pPr>
          </w:p>
        </w:tc>
        <w:tc>
          <w:tcPr>
            <w:tcW w:w="13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1"/>
              </w:rPr>
              <w:t>Threshold</w:t>
            </w:r>
          </w:p>
        </w:tc>
        <w:tc>
          <w:tcPr>
            <w:tcW w:w="200" w:type="dxa"/>
            <w:vAlign w:val="bottom"/>
          </w:tcPr>
          <w:p>
            <w:pPr>
              <w:spacing w:after="0"/>
              <w:rPr>
                <w:sz w:val="8"/>
                <w:szCs w:val="8"/>
                <w:color w:val="auto"/>
              </w:rPr>
            </w:pPr>
          </w:p>
        </w:tc>
        <w:tc>
          <w:tcPr>
            <w:tcW w:w="128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Target</w:t>
            </w:r>
          </w:p>
        </w:tc>
        <w:tc>
          <w:tcPr>
            <w:tcW w:w="200" w:type="dxa"/>
            <w:vAlign w:val="bottom"/>
          </w:tcPr>
          <w:p>
            <w:pPr>
              <w:spacing w:after="0"/>
              <w:rPr>
                <w:sz w:val="8"/>
                <w:szCs w:val="8"/>
                <w:color w:val="auto"/>
              </w:rPr>
            </w:pPr>
          </w:p>
        </w:tc>
        <w:tc>
          <w:tcPr>
            <w:tcW w:w="18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Outstanding</w:t>
            </w:r>
          </w:p>
        </w:tc>
        <w:tc>
          <w:tcPr>
            <w:tcW w:w="180" w:type="dxa"/>
            <w:vAlign w:val="bottom"/>
          </w:tcPr>
          <w:p>
            <w:pPr>
              <w:spacing w:after="0"/>
              <w:rPr>
                <w:sz w:val="8"/>
                <w:szCs w:val="8"/>
                <w:color w:val="auto"/>
              </w:rPr>
            </w:pPr>
          </w:p>
        </w:tc>
        <w:tc>
          <w:tcPr>
            <w:tcW w:w="10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Achieved</w:t>
            </w:r>
          </w:p>
        </w:tc>
        <w:tc>
          <w:tcPr>
            <w:tcW w:w="0" w:type="dxa"/>
            <w:vAlign w:val="bottom"/>
          </w:tcPr>
          <w:p>
            <w:pPr>
              <w:spacing w:after="0"/>
              <w:rPr>
                <w:sz w:val="1"/>
                <w:szCs w:val="1"/>
                <w:color w:val="auto"/>
              </w:rPr>
            </w:pPr>
          </w:p>
        </w:tc>
      </w:tr>
      <w:tr>
        <w:trPr>
          <w:trHeight w:val="120"/>
        </w:trPr>
        <w:tc>
          <w:tcPr>
            <w:tcW w:w="2020" w:type="dxa"/>
            <w:vAlign w:val="bottom"/>
          </w:tcPr>
          <w:p>
            <w:pPr>
              <w:spacing w:after="0"/>
              <w:rPr>
                <w:sz w:val="20"/>
                <w:szCs w:val="20"/>
                <w:color w:val="auto"/>
              </w:rPr>
            </w:pPr>
            <w:r>
              <w:rPr>
                <w:rFonts w:ascii="Arial" w:cs="Arial" w:eastAsia="Arial" w:hAnsi="Arial"/>
                <w:sz w:val="9"/>
                <w:szCs w:val="9"/>
                <w:color w:val="auto"/>
              </w:rPr>
              <w:t>William B. Shepro</w:t>
            </w: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25%</w:t>
            </w:r>
          </w:p>
        </w:tc>
        <w:tc>
          <w:tcPr>
            <w:tcW w:w="1500" w:type="dxa"/>
            <w:vAlign w:val="bottom"/>
            <w:gridSpan w:val="2"/>
          </w:tcPr>
          <w:p>
            <w:pPr>
              <w:jc w:val="center"/>
              <w:ind w:right="180"/>
              <w:spacing w:after="0"/>
              <w:rPr>
                <w:sz w:val="20"/>
                <w:szCs w:val="20"/>
                <w:color w:val="auto"/>
              </w:rPr>
            </w:pPr>
            <w:r>
              <w:rPr>
                <w:rFonts w:ascii="Arial" w:cs="Arial" w:eastAsia="Arial" w:hAnsi="Arial"/>
                <w:sz w:val="9"/>
                <w:szCs w:val="9"/>
                <w:color w:val="auto"/>
                <w:w w:val="99"/>
              </w:rPr>
              <w:t>Achieve EBITDA target</w:t>
            </w:r>
          </w:p>
        </w:tc>
        <w:tc>
          <w:tcPr>
            <w:tcW w:w="1300" w:type="dxa"/>
            <w:vAlign w:val="bottom"/>
          </w:tcPr>
          <w:p>
            <w:pPr>
              <w:jc w:val="center"/>
              <w:spacing w:after="0"/>
              <w:rPr>
                <w:sz w:val="20"/>
                <w:szCs w:val="20"/>
                <w:color w:val="auto"/>
              </w:rPr>
            </w:pPr>
            <w:r>
              <w:rPr>
                <w:rFonts w:ascii="Arial" w:cs="Arial" w:eastAsia="Arial" w:hAnsi="Arial"/>
                <w:sz w:val="9"/>
                <w:szCs w:val="9"/>
                <w:color w:val="auto"/>
                <w:w w:val="92"/>
              </w:rPr>
              <w:t>42% increase over 2008 or</w:t>
            </w:r>
          </w:p>
        </w:tc>
        <w:tc>
          <w:tcPr>
            <w:tcW w:w="200" w:type="dxa"/>
            <w:vAlign w:val="bottom"/>
          </w:tcPr>
          <w:p>
            <w:pPr>
              <w:spacing w:after="0"/>
              <w:rPr>
                <w:sz w:val="10"/>
                <w:szCs w:val="1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9"/>
                <w:szCs w:val="9"/>
                <w:color w:val="auto"/>
                <w:w w:val="92"/>
              </w:rPr>
              <w:t>52% increase over 2008 or</w:t>
            </w:r>
          </w:p>
        </w:tc>
        <w:tc>
          <w:tcPr>
            <w:tcW w:w="1800" w:type="dxa"/>
            <w:vAlign w:val="bottom"/>
          </w:tcPr>
          <w:p>
            <w:pPr>
              <w:jc w:val="center"/>
              <w:spacing w:after="0"/>
              <w:rPr>
                <w:sz w:val="20"/>
                <w:szCs w:val="20"/>
                <w:color w:val="auto"/>
              </w:rPr>
            </w:pPr>
            <w:r>
              <w:rPr>
                <w:rFonts w:ascii="Arial" w:cs="Arial" w:eastAsia="Arial" w:hAnsi="Arial"/>
                <w:sz w:val="9"/>
                <w:szCs w:val="9"/>
                <w:color w:val="auto"/>
                <w:w w:val="95"/>
              </w:rPr>
              <w:t>62% increase</w:t>
            </w:r>
          </w:p>
        </w:tc>
        <w:tc>
          <w:tcPr>
            <w:tcW w:w="1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5"/>
              </w:rPr>
              <w:t>$38,900,000</w:t>
            </w:r>
          </w:p>
        </w:tc>
        <w:tc>
          <w:tcPr>
            <w:tcW w:w="1480" w:type="dxa"/>
            <w:vAlign w:val="bottom"/>
            <w:gridSpan w:val="2"/>
          </w:tcPr>
          <w:p>
            <w:pPr>
              <w:jc w:val="center"/>
              <w:ind w:left="173"/>
              <w:spacing w:after="0" w:line="101" w:lineRule="exact"/>
              <w:rPr>
                <w:sz w:val="20"/>
                <w:szCs w:val="20"/>
                <w:color w:val="auto"/>
              </w:rPr>
            </w:pPr>
            <w:r>
              <w:rPr>
                <w:rFonts w:ascii="Arial" w:cs="Arial" w:eastAsia="Arial" w:hAnsi="Arial"/>
                <w:sz w:val="9"/>
                <w:szCs w:val="9"/>
                <w:color w:val="auto"/>
                <w:w w:val="91"/>
              </w:rPr>
              <w:t>$41,700,000</w:t>
            </w: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over 2008 or</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$44,600,000</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25%</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Separate Ocwen Solutions</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by 10/31/09</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by 09/20/09</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Complete by</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08/31/09</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25%</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Achieve revenue target</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3"/>
              </w:rPr>
              <w:t>7% increase over 2008 or</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15% increase over 2008 or</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23% increase over</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4"/>
              </w:rPr>
              <w:t>$176,400,000</w:t>
            </w:r>
          </w:p>
        </w:tc>
        <w:tc>
          <w:tcPr>
            <w:tcW w:w="1480" w:type="dxa"/>
            <w:vAlign w:val="bottom"/>
            <w:gridSpan w:val="2"/>
          </w:tcPr>
          <w:p>
            <w:pPr>
              <w:jc w:val="center"/>
              <w:ind w:left="153"/>
              <w:spacing w:after="0" w:line="101" w:lineRule="exact"/>
              <w:rPr>
                <w:sz w:val="20"/>
                <w:szCs w:val="20"/>
                <w:color w:val="auto"/>
              </w:rPr>
            </w:pPr>
            <w:r>
              <w:rPr>
                <w:rFonts w:ascii="Arial" w:cs="Arial" w:eastAsia="Arial" w:hAnsi="Arial"/>
                <w:sz w:val="9"/>
                <w:szCs w:val="9"/>
                <w:color w:val="auto"/>
                <w:w w:val="94"/>
              </w:rPr>
              <w:t>$188,800,000</w:t>
            </w: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2008 or</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$201,200,000</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25%</w:t>
            </w:r>
          </w:p>
        </w:tc>
        <w:tc>
          <w:tcPr>
            <w:tcW w:w="150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Successfully complete the key</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1"/>
              </w:rPr>
              <w:t>80% weighted average</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90% weighted average</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100% weighted average</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7"/>
              </w:rPr>
              <w:t>strategic initiatives of the</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Company</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line="101" w:lineRule="exact"/>
              <w:rPr>
                <w:sz w:val="20"/>
                <w:szCs w:val="20"/>
                <w:color w:val="auto"/>
              </w:rPr>
            </w:pPr>
            <w:r>
              <w:rPr>
                <w:rFonts w:ascii="Arial" w:cs="Arial" w:eastAsia="Arial" w:hAnsi="Arial"/>
                <w:sz w:val="9"/>
                <w:szCs w:val="9"/>
                <w:color w:val="auto"/>
              </w:rPr>
              <w:t>Kevin J. Wilcox</w:t>
            </w: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Achieve revenue target</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3"/>
              </w:rPr>
              <w:t>7% increase over 2008 or</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15% increase over 2008 or</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23% increase</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4"/>
              </w:rPr>
              <w:t>$176,400,000</w:t>
            </w:r>
          </w:p>
        </w:tc>
        <w:tc>
          <w:tcPr>
            <w:tcW w:w="1480" w:type="dxa"/>
            <w:vAlign w:val="bottom"/>
            <w:gridSpan w:val="2"/>
          </w:tcPr>
          <w:p>
            <w:pPr>
              <w:jc w:val="center"/>
              <w:ind w:left="153"/>
              <w:spacing w:after="0" w:line="101" w:lineRule="exact"/>
              <w:rPr>
                <w:sz w:val="20"/>
                <w:szCs w:val="20"/>
                <w:color w:val="auto"/>
              </w:rPr>
            </w:pPr>
            <w:r>
              <w:rPr>
                <w:rFonts w:ascii="Arial" w:cs="Arial" w:eastAsia="Arial" w:hAnsi="Arial"/>
                <w:sz w:val="9"/>
                <w:szCs w:val="9"/>
                <w:color w:val="auto"/>
                <w:w w:val="94"/>
              </w:rPr>
              <w:t>$188,800,000</w:t>
            </w: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over 2008 or</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$201,200,000</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9"/>
              </w:rPr>
              <w:t>Achieve EBITDA target</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2"/>
              </w:rPr>
              <w:t>42% increase over 2008 or</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52% increase over 2008 or</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62% increase</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5"/>
              </w:rPr>
              <w:t>$38,900,000</w:t>
            </w:r>
          </w:p>
        </w:tc>
        <w:tc>
          <w:tcPr>
            <w:tcW w:w="1480" w:type="dxa"/>
            <w:vAlign w:val="bottom"/>
            <w:gridSpan w:val="2"/>
          </w:tcPr>
          <w:p>
            <w:pPr>
              <w:jc w:val="center"/>
              <w:ind w:left="173"/>
              <w:spacing w:after="0" w:line="101" w:lineRule="exact"/>
              <w:rPr>
                <w:sz w:val="20"/>
                <w:szCs w:val="20"/>
                <w:color w:val="auto"/>
              </w:rPr>
            </w:pPr>
            <w:r>
              <w:rPr>
                <w:rFonts w:ascii="Arial" w:cs="Arial" w:eastAsia="Arial" w:hAnsi="Arial"/>
                <w:sz w:val="9"/>
                <w:szCs w:val="9"/>
                <w:color w:val="auto"/>
                <w:w w:val="91"/>
              </w:rPr>
              <w:t>$41,700,000</w:t>
            </w: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over 2008 or</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$44,600,000</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5%</w:t>
            </w:r>
          </w:p>
        </w:tc>
        <w:tc>
          <w:tcPr>
            <w:tcW w:w="150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Achieve 2009 budgeted expense</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5"/>
              </w:rPr>
              <w:t>105% of budget or $10,200,000</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4"/>
              </w:rPr>
              <w:t>100% of budget or $9,800,000</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95% of budget or</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4"/>
              </w:rPr>
              <w:t>for human resources &amp; corporate</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$9,300,000</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0"/>
              </w:rPr>
              <w:t>services</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6"/>
              </w:rPr>
              <w:t>Implement consolidation plan</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8"/>
              </w:rPr>
              <w:t>80% implementation</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90% implementation</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100% implementation</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Supervisory effectiveness:</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5"/>
              </w:rPr>
              <w:t>Cost reduction: 6.0% Cost</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Cost Reduction: 9.5% cost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Cost Reduction:</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2"/>
              </w:rPr>
              <w:t>Target</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4"/>
              </w:rPr>
              <w:t>reduction Increase in span: 6.0%</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reduction Increase in Span:</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13.1% cost</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3"/>
              </w:rPr>
              <w:t>increase</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10.0% increase</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Increase in Span:</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0"/>
              </w:rPr>
              <w:t>14.0% increase</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Successfully manage Financial</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9"/>
              </w:rPr>
              <w:t>1 office eliminated</w:t>
            </w: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2 offices eliminated</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8"/>
              </w:rPr>
              <w:t>3 offices eliminated</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2"/>
              </w:rPr>
              <w:t>Services overhead through</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8"/>
              </w:rPr>
              <w:t>elimination of offices</w:t>
            </w: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10%</w:t>
            </w:r>
          </w:p>
        </w:tc>
        <w:tc>
          <w:tcPr>
            <w:tcW w:w="150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4"/>
              </w:rPr>
              <w:t>Personnel development — hiring</w:t>
            </w:r>
          </w:p>
        </w:tc>
        <w:tc>
          <w:tcPr>
            <w:tcW w:w="1300" w:type="dxa"/>
            <w:vAlign w:val="bottom"/>
          </w:tcPr>
          <w:p>
            <w:pPr>
              <w:jc w:val="center"/>
              <w:spacing w:after="0" w:line="101" w:lineRule="exact"/>
              <w:rPr>
                <w:sz w:val="20"/>
                <w:szCs w:val="20"/>
                <w:color w:val="auto"/>
              </w:rPr>
            </w:pPr>
            <w:r>
              <w:rPr>
                <w:rFonts w:ascii="Arial" w:cs="Arial" w:eastAsia="Arial" w:hAnsi="Arial"/>
                <w:sz w:val="9"/>
                <w:szCs w:val="9"/>
                <w:color w:val="auto"/>
                <w:w w:val="99"/>
              </w:rPr>
              <w:t>Hire 3</w:t>
            </w: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9"/>
              </w:rPr>
              <w:t>Hire 4</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9"/>
              </w:rPr>
              <w:t>Hire 5</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20"/>
        </w:trPr>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9"/>
                <w:szCs w:val="9"/>
                <w:color w:val="auto"/>
                <w:w w:val="92"/>
              </w:rPr>
              <w:t>key personnel</w:t>
            </w: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-1955800</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jc w:val="center"/>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9"/>
                <w:szCs w:val="9"/>
                <w:b w:val="1"/>
                <w:bCs w:val="1"/>
                <w:color w:val="auto"/>
              </w:rPr>
              <w:t>Achievement Levels</w:t>
            </w: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Scorecard</w:t>
            </w:r>
          </w:p>
        </w:tc>
        <w:tc>
          <w:tcPr>
            <w:tcW w:w="1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Arial" w:cs="Arial" w:eastAsia="Arial" w:hAnsi="Arial"/>
                <w:sz w:val="9"/>
                <w:szCs w:val="9"/>
                <w:b w:val="1"/>
                <w:bCs w:val="1"/>
                <w:color w:val="auto"/>
                <w:w w:val="95"/>
              </w:rPr>
              <w:t>Level</w:t>
            </w:r>
          </w:p>
        </w:tc>
        <w:tc>
          <w:tcPr>
            <w:tcW w:w="0" w:type="dxa"/>
            <w:vAlign w:val="bottom"/>
          </w:tcPr>
          <w:p>
            <w:pPr>
              <w:spacing w:after="0"/>
              <w:rPr>
                <w:sz w:val="1"/>
                <w:szCs w:val="1"/>
                <w:color w:val="auto"/>
              </w:rPr>
            </w:pPr>
          </w:p>
        </w:tc>
      </w:tr>
      <w:tr>
        <w:trPr>
          <w:trHeight w:val="101"/>
        </w:trPr>
        <w:tc>
          <w:tcPr>
            <w:tcW w:w="1980" w:type="dxa"/>
            <w:vAlign w:val="bottom"/>
            <w:vMerge w:val="continue"/>
          </w:tcPr>
          <w:p>
            <w:pPr>
              <w:spacing w:after="0"/>
              <w:rPr>
                <w:sz w:val="8"/>
                <w:szCs w:val="8"/>
                <w:color w:val="auto"/>
              </w:rPr>
            </w:pPr>
          </w:p>
        </w:tc>
        <w:tc>
          <w:tcPr>
            <w:tcW w:w="300" w:type="dxa"/>
            <w:vAlign w:val="bottom"/>
            <w:tcBorders>
              <w:bottom w:val="single" w:sz="8" w:color="auto"/>
            </w:tcBorders>
          </w:tcPr>
          <w:p>
            <w:pPr>
              <w:jc w:val="right"/>
              <w:ind w:right="53"/>
              <w:spacing w:after="0" w:line="10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128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89"/>
              </w:rPr>
              <w:t>Elements</w:t>
            </w:r>
          </w:p>
        </w:tc>
        <w:tc>
          <w:tcPr>
            <w:tcW w:w="200" w:type="dxa"/>
            <w:vAlign w:val="bottom"/>
          </w:tcPr>
          <w:p>
            <w:pPr>
              <w:spacing w:after="0"/>
              <w:rPr>
                <w:sz w:val="8"/>
                <w:szCs w:val="8"/>
                <w:color w:val="auto"/>
              </w:rPr>
            </w:pPr>
          </w:p>
        </w:tc>
        <w:tc>
          <w:tcPr>
            <w:tcW w:w="128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1"/>
              </w:rPr>
              <w:t>Threshold</w:t>
            </w:r>
          </w:p>
        </w:tc>
        <w:tc>
          <w:tcPr>
            <w:tcW w:w="200" w:type="dxa"/>
            <w:vAlign w:val="bottom"/>
          </w:tcPr>
          <w:p>
            <w:pPr>
              <w:spacing w:after="0"/>
              <w:rPr>
                <w:sz w:val="8"/>
                <w:szCs w:val="8"/>
                <w:color w:val="auto"/>
              </w:rPr>
            </w:pPr>
          </w:p>
        </w:tc>
        <w:tc>
          <w:tcPr>
            <w:tcW w:w="128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Target</w:t>
            </w:r>
          </w:p>
        </w:tc>
        <w:tc>
          <w:tcPr>
            <w:tcW w:w="200" w:type="dxa"/>
            <w:vAlign w:val="bottom"/>
          </w:tcPr>
          <w:p>
            <w:pPr>
              <w:spacing w:after="0"/>
              <w:rPr>
                <w:sz w:val="8"/>
                <w:szCs w:val="8"/>
                <w:color w:val="auto"/>
              </w:rPr>
            </w:pPr>
          </w:p>
        </w:tc>
        <w:tc>
          <w:tcPr>
            <w:tcW w:w="18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Outstanding</w:t>
            </w:r>
          </w:p>
        </w:tc>
        <w:tc>
          <w:tcPr>
            <w:tcW w:w="180" w:type="dxa"/>
            <w:vAlign w:val="bottom"/>
          </w:tcPr>
          <w:p>
            <w:pPr>
              <w:spacing w:after="0"/>
              <w:rPr>
                <w:sz w:val="8"/>
                <w:szCs w:val="8"/>
                <w:color w:val="auto"/>
              </w:rPr>
            </w:pPr>
          </w:p>
        </w:tc>
        <w:tc>
          <w:tcPr>
            <w:tcW w:w="100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9"/>
                <w:szCs w:val="9"/>
                <w:b w:val="1"/>
                <w:bCs w:val="1"/>
                <w:color w:val="auto"/>
                <w:w w:val="94"/>
              </w:rPr>
              <w:t>Achieved</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10%</w:t>
            </w:r>
          </w:p>
        </w:tc>
        <w:tc>
          <w:tcPr>
            <w:tcW w:w="1480" w:type="dxa"/>
            <w:vAlign w:val="bottom"/>
            <w:gridSpan w:val="2"/>
          </w:tcPr>
          <w:p>
            <w:pPr>
              <w:jc w:val="center"/>
              <w:ind w:right="200"/>
              <w:spacing w:after="0"/>
              <w:rPr>
                <w:sz w:val="20"/>
                <w:szCs w:val="20"/>
                <w:color w:val="auto"/>
              </w:rPr>
            </w:pPr>
            <w:r>
              <w:rPr>
                <w:rFonts w:ascii="Arial" w:cs="Arial" w:eastAsia="Arial" w:hAnsi="Arial"/>
                <w:sz w:val="9"/>
                <w:szCs w:val="9"/>
                <w:color w:val="auto"/>
                <w:w w:val="94"/>
              </w:rPr>
              <w:t>Successfully achieve the Ocwen’s</w:t>
            </w:r>
          </w:p>
        </w:tc>
        <w:tc>
          <w:tcPr>
            <w:tcW w:w="1480" w:type="dxa"/>
            <w:vAlign w:val="bottom"/>
            <w:gridSpan w:val="2"/>
          </w:tcPr>
          <w:p>
            <w:pPr>
              <w:jc w:val="center"/>
              <w:ind w:right="200"/>
              <w:spacing w:after="0"/>
              <w:rPr>
                <w:sz w:val="20"/>
                <w:szCs w:val="20"/>
                <w:color w:val="auto"/>
              </w:rPr>
            </w:pPr>
            <w:r>
              <w:rPr>
                <w:rFonts w:ascii="Arial" w:cs="Arial" w:eastAsia="Arial" w:hAnsi="Arial"/>
                <w:sz w:val="9"/>
                <w:szCs w:val="9"/>
                <w:color w:val="auto"/>
                <w:w w:val="95"/>
              </w:rPr>
              <w:t>50% — 74%</w:t>
            </w:r>
          </w:p>
        </w:tc>
        <w:tc>
          <w:tcPr>
            <w:tcW w:w="1480" w:type="dxa"/>
            <w:vAlign w:val="bottom"/>
            <w:gridSpan w:val="2"/>
          </w:tcPr>
          <w:p>
            <w:pPr>
              <w:jc w:val="center"/>
              <w:ind w:right="180"/>
              <w:spacing w:after="0"/>
              <w:rPr>
                <w:sz w:val="20"/>
                <w:szCs w:val="20"/>
                <w:color w:val="auto"/>
              </w:rPr>
            </w:pPr>
            <w:r>
              <w:rPr>
                <w:rFonts w:ascii="Arial" w:cs="Arial" w:eastAsia="Arial" w:hAnsi="Arial"/>
                <w:sz w:val="9"/>
                <w:szCs w:val="9"/>
                <w:color w:val="auto"/>
                <w:w w:val="98"/>
              </w:rPr>
              <w:t>75% — 124%</w:t>
            </w:r>
          </w:p>
        </w:tc>
        <w:tc>
          <w:tcPr>
            <w:tcW w:w="1800" w:type="dxa"/>
            <w:vAlign w:val="bottom"/>
          </w:tcPr>
          <w:p>
            <w:pPr>
              <w:jc w:val="center"/>
              <w:spacing w:after="0"/>
              <w:rPr>
                <w:sz w:val="20"/>
                <w:szCs w:val="20"/>
                <w:color w:val="auto"/>
              </w:rPr>
            </w:pPr>
            <w:r>
              <w:rPr>
                <w:rFonts w:ascii="Arial" w:cs="Arial" w:eastAsia="Arial" w:hAnsi="Arial"/>
                <w:sz w:val="9"/>
                <w:szCs w:val="9"/>
                <w:color w:val="auto"/>
                <w:w w:val="94"/>
              </w:rPr>
              <w:t>Greater than 124%</w:t>
            </w:r>
          </w:p>
        </w:tc>
        <w:tc>
          <w:tcPr>
            <w:tcW w:w="1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2"/>
              </w:rPr>
              <w:t>corporate scorecard</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10%</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Separate Ocwen Solutions</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by 10/31/09</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by 09/20/09</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by 08/31/09</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10%</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9"/>
              </w:rPr>
              <w:t>Reduction of variability: Improve</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Average score of 0.80</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Average score of 0.90</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Average score of 1.00</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1"/>
              </w:rPr>
              <w:t>average revenue performance of</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the bottom 75% of the collectors</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7"/>
              </w:rPr>
              <w:t>by 24% in NCI</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Ensure compliance with</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Plan completed by 05/30/09 plus</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Plan completed by 05/30/09 plus</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4"/>
              </w:rPr>
              <w:t>Plan completed by</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2"/>
              </w:rPr>
              <w:t>Target</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4"/>
              </w:rPr>
              <w:t>applicable regulations (each</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execution in accordance with</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execution in accordance with</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6"/>
              </w:rPr>
              <w:t>05/30/09 plus</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manager responsible for their</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levels of achievement in approved</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levels of achievement in approved</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execution in</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business unit’s performance)</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plan</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plan</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2"/>
              </w:rPr>
              <w:t>accordance with</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6"/>
              </w:rPr>
              <w:t>levels of</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achievement in approved plan</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line="101" w:lineRule="exact"/>
              <w:rPr>
                <w:sz w:val="20"/>
                <w:szCs w:val="20"/>
                <w:color w:val="auto"/>
              </w:rPr>
            </w:pPr>
            <w:r>
              <w:rPr>
                <w:rFonts w:ascii="Arial" w:cs="Arial" w:eastAsia="Arial" w:hAnsi="Arial"/>
                <w:sz w:val="9"/>
                <w:szCs w:val="9"/>
                <w:color w:val="auto"/>
              </w:rPr>
              <w:t>Robert D. Stiles</w:t>
            </w: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18.75%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9"/>
              </w:rPr>
              <w:t>Achieve EBITDA target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42% increase over 2008 or</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52% increase over 2008 or</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62% increase over</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rPr>
              <w:t>$38.9MM</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rPr>
              <w:t>$41.7MM</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6"/>
              </w:rPr>
              <w:t>2008 or $44.6MM</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18.75%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Achieve revenue target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7% increase over 2008 or</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15% increase over 2008 or</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1"/>
              </w:rPr>
              <w:t>23% increase over</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8"/>
              </w:rPr>
              <w:t>$176.4MM</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8"/>
              </w:rPr>
              <w:t>$188.8MM</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2008 or $201.2MM</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25%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Develop strategic plan for new</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1 plan approved</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2 plans approved</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2"/>
              </w:rPr>
              <w:t>3 plans approved</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1"/>
              </w:rPr>
              <w:t>products and channel sales</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strategy</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18.75%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Separate Ocwen Solutions</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by 10/31/09</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by 09/20/09</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by 08/31/09</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18.75%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Personnel development — hiring</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2 hired by 12/31/09</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3 hired by 12/31/09</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4 hired by 12/31/09</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2"/>
              </w:rPr>
              <w:t>Target</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key personnel</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line="101" w:lineRule="exact"/>
              <w:rPr>
                <w:sz w:val="20"/>
                <w:szCs w:val="20"/>
                <w:color w:val="auto"/>
              </w:rPr>
            </w:pPr>
            <w:r>
              <w:rPr>
                <w:rFonts w:ascii="Arial" w:cs="Arial" w:eastAsia="Arial" w:hAnsi="Arial"/>
                <w:sz w:val="9"/>
                <w:szCs w:val="9"/>
                <w:color w:val="auto"/>
              </w:rPr>
              <w:t>John T. McRae II</w:t>
            </w: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33%</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Achieve annual Financial</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80% of budget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100% of budget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120% of budget</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8"/>
              </w:rPr>
              <w:t>Below Threshold</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8"/>
              </w:rPr>
              <w:t>Services EBITDA goal</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28%</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Achieve annual Financial</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80% of budget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100% of budget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120% of budget</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Threshold</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2"/>
              </w:rPr>
              <w:t>Services revenue goal</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39%</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7"/>
              </w:rPr>
              <w:t>Successfully complete key NCI</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Complete 9 of 13 key strategic</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4"/>
              </w:rPr>
              <w:t>Complete 10 of 13 key strategic</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Complete 11 of 13</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7"/>
              </w:rPr>
              <w:t>strategic initiatives</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7"/>
              </w:rPr>
              <w:t>initiatives</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rPr>
              <w:t>initiatives</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key strategic initiatives</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line="101" w:lineRule="exact"/>
              <w:rPr>
                <w:sz w:val="20"/>
                <w:szCs w:val="20"/>
                <w:color w:val="auto"/>
              </w:rPr>
            </w:pPr>
            <w:r>
              <w:rPr>
                <w:rFonts w:ascii="Arial" w:cs="Arial" w:eastAsia="Arial" w:hAnsi="Arial"/>
                <w:sz w:val="9"/>
                <w:szCs w:val="9"/>
                <w:color w:val="auto"/>
              </w:rPr>
              <w:t>Richard D. Powers</w:t>
            </w: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30%</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Achieve annual revenue goal in</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90% of budget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100% of budget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110% of budget</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2"/>
              </w:rPr>
              <w:t>Target</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assigned areas of responsibility</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30%</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8"/>
              </w:rPr>
              <w:t>Achieve annual EBITDA goal in</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90% of budget</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100% of budget</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110% of budget</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assigned areas of responsibility</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20%</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Ensure compliance with</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Compliance plan completed by</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Compliance plan completed by</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Compliance plan</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2"/>
              </w:rPr>
              <w:t>Target</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applicable regulations</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5/30/09 plus execution in</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6"/>
              </w:rPr>
              <w:t>5/30/09 plus execution in</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completed by</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accordance therewith</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3"/>
              </w:rPr>
              <w:t>accordance therewith</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5/30/09 plus</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5"/>
              </w:rPr>
              <w:t>execution in</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3"/>
              </w:rPr>
              <w:t>accordance therewith</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15%</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5"/>
              </w:rPr>
              <w:t>Develop strategic plan for new</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1 plan approved</w:t>
            </w: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2"/>
              </w:rPr>
              <w:t>2 plans approved</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2"/>
              </w:rPr>
              <w:t>3 plans approved</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200"/>
              <w:spacing w:after="0" w:line="101" w:lineRule="exact"/>
              <w:rPr>
                <w:sz w:val="20"/>
                <w:szCs w:val="20"/>
                <w:color w:val="auto"/>
              </w:rPr>
            </w:pPr>
            <w:r>
              <w:rPr>
                <w:rFonts w:ascii="Arial" w:cs="Arial" w:eastAsia="Arial" w:hAnsi="Arial"/>
                <w:sz w:val="9"/>
                <w:szCs w:val="9"/>
                <w:color w:val="auto"/>
                <w:w w:val="91"/>
              </w:rPr>
              <w:t>products and channel sales</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3"/>
              </w:rPr>
              <w:t>strategy</w:t>
            </w: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80" w:type="dxa"/>
            <w:vAlign w:val="bottom"/>
          </w:tcPr>
          <w:p>
            <w:pPr>
              <w:spacing w:after="0"/>
              <w:rPr>
                <w:sz w:val="8"/>
                <w:szCs w:val="8"/>
                <w:color w:val="auto"/>
              </w:rPr>
            </w:pPr>
          </w:p>
        </w:tc>
        <w:tc>
          <w:tcPr>
            <w:tcW w:w="58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5%</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Implement consolidation and</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80% implementation</w:t>
            </w:r>
          </w:p>
        </w:tc>
        <w:tc>
          <w:tcPr>
            <w:tcW w:w="1480" w:type="dxa"/>
            <w:vAlign w:val="bottom"/>
            <w:gridSpan w:val="2"/>
          </w:tcPr>
          <w:p>
            <w:pPr>
              <w:jc w:val="center"/>
              <w:ind w:right="180"/>
              <w:spacing w:after="0" w:line="101" w:lineRule="exact"/>
              <w:rPr>
                <w:sz w:val="20"/>
                <w:szCs w:val="20"/>
                <w:color w:val="auto"/>
              </w:rPr>
            </w:pPr>
            <w:r>
              <w:rPr>
                <w:rFonts w:ascii="Arial" w:cs="Arial" w:eastAsia="Arial" w:hAnsi="Arial"/>
                <w:sz w:val="9"/>
                <w:szCs w:val="9"/>
                <w:color w:val="auto"/>
                <w:w w:val="95"/>
              </w:rPr>
              <w:t>90% implementation</w:t>
            </w:r>
          </w:p>
        </w:tc>
        <w:tc>
          <w:tcPr>
            <w:tcW w:w="1800" w:type="dxa"/>
            <w:vAlign w:val="bottom"/>
          </w:tcPr>
          <w:p>
            <w:pPr>
              <w:jc w:val="center"/>
              <w:spacing w:after="0" w:line="101" w:lineRule="exact"/>
              <w:rPr>
                <w:sz w:val="20"/>
                <w:szCs w:val="20"/>
                <w:color w:val="auto"/>
              </w:rPr>
            </w:pPr>
            <w:r>
              <w:rPr>
                <w:rFonts w:ascii="Arial" w:cs="Arial" w:eastAsia="Arial" w:hAnsi="Arial"/>
                <w:sz w:val="9"/>
                <w:szCs w:val="9"/>
                <w:color w:val="auto"/>
                <w:w w:val="97"/>
              </w:rPr>
              <w:t>100% implementation</w:t>
            </w:r>
          </w:p>
        </w:tc>
        <w:tc>
          <w:tcPr>
            <w:tcW w:w="180" w:type="dxa"/>
            <w:vAlign w:val="bottom"/>
          </w:tcPr>
          <w:p>
            <w:pPr>
              <w:spacing w:after="0"/>
              <w:rPr>
                <w:sz w:val="8"/>
                <w:szCs w:val="8"/>
                <w:color w:val="auto"/>
              </w:rPr>
            </w:pPr>
          </w:p>
        </w:tc>
        <w:tc>
          <w:tcPr>
            <w:tcW w:w="1000" w:type="dxa"/>
            <w:vAlign w:val="bottom"/>
          </w:tcPr>
          <w:p>
            <w:pPr>
              <w:jc w:val="center"/>
              <w:spacing w:after="0" w:line="101" w:lineRule="exact"/>
              <w:rPr>
                <w:sz w:val="20"/>
                <w:szCs w:val="20"/>
                <w:color w:val="auto"/>
              </w:rPr>
            </w:pPr>
            <w:r>
              <w:rPr>
                <w:rFonts w:ascii="Arial" w:cs="Arial" w:eastAsia="Arial" w:hAnsi="Arial"/>
                <w:sz w:val="9"/>
                <w:szCs w:val="9"/>
                <w:color w:val="auto"/>
                <w:w w:val="94"/>
              </w:rPr>
              <w:t>Outstanding</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9"/>
                <w:szCs w:val="9"/>
                <w:color w:val="auto"/>
                <w:w w:val="91"/>
              </w:rPr>
              <w:t>automation process</w:t>
            </w: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-2787650</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0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w:t>
      </w:r>
    </w:p>
    <w:p>
      <w:pPr>
        <w:spacing w:after="0" w:line="59"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As noted above, 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as well as his own observations and consultations with the Chief Administration Officer,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 The Compensation Committee and Chief Executive Officer determined that the results taken as a whole and when considered with each executive’s incentive results for their scorecard performance presented a fair representation of the executive’s overall performance. Incentive compensation was awarded accordingly.</w:t>
      </w:r>
    </w:p>
    <w:p>
      <w:pPr>
        <w:spacing w:after="0" w:line="51"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The Compensation Committee with the consultation of the Chairman rated the Chief Executive Officer “Outstanding” noting his extraordinary accomplishments in the areas of organizational development and strategic thinking. For the executive officers other than the Chief Executive Officer, the Chief Administration Officer, in conjunction with the Chief Executive Officer, presents the performance appraisal scores and personal scorecard performance to the Compensation Committee and makes recommendations as to the incentive compensation for each executive officer. The Compensation Committee evaluates the recommendations and makes the final incentive compensation award determinations for the executive. Annual incentive compensation is paid to our executives and other incentive-eligible employees following this determination.</w:t>
      </w:r>
    </w:p>
    <w:p>
      <w:pPr>
        <w:spacing w:after="0" w:line="49"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Generally, at the first Board of Directors meeting of the fiscal year, the Compensation Committee approves the corporate scorecard and annual incentive components for the Chief Executive Officer and other executive officers for the upcoming year. Key performance indicators for the Company for 2010 have been developed.</w:t>
      </w:r>
    </w:p>
    <w:p>
      <w:pPr>
        <w:spacing w:after="0" w:line="2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corporate scorecard for 2010 includes achieving a revenue target, achieving an earnings per share target and optimizing the legal structure of Altisource. In addition, the corporate scorecard provides for successful completion of eleven (11) strategic initiatives established to enhance long-term corporate and shareholder value. The 2010 corporate strategic initiatives relate to:</w:t>
      </w:r>
    </w:p>
    <w:p>
      <w:pPr>
        <w:spacing w:after="0" w:line="59" w:lineRule="exact"/>
        <w:rPr>
          <w:sz w:val="20"/>
          <w:szCs w:val="20"/>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Increasing existing customer penetration;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Increasing new customer penetration;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Investing in service offerings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Providing highest quality services at lowest operating costs.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Setting Compensation Levels</w:t>
      </w:r>
    </w:p>
    <w:p>
      <w:pPr>
        <w:spacing w:after="0" w:line="104"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From time to time, the Company will conduct benchmarking on Chief Executive Officer and other executive officer compensation among peer companies of comparable size, industry, location and similar attributes that compete with Altisource for qualified management. The most recent benchmarking study was conducted while Altisource was a subsidiary of Ocwen. As many of these companies no longer are in the same industry as Altisource, future benchmarking studies will utilize alternative peer companies.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68"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Based on the benchmarking, performance, retention and other relevant considerations, the Compensation Committee reviews recommendations and determines appropriate base salary and annual incentive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40"/>
        <w:spacing w:after="0" w:line="338" w:lineRule="auto"/>
        <w:rPr>
          <w:sz w:val="20"/>
          <w:szCs w:val="20"/>
          <w:color w:val="auto"/>
        </w:rPr>
      </w:pPr>
      <w:r>
        <w:rPr>
          <w:rFonts w:ascii="Arial" w:cs="Arial" w:eastAsia="Arial" w:hAnsi="Arial"/>
          <w:sz w:val="12"/>
          <w:szCs w:val="12"/>
          <w:color w:val="auto"/>
        </w:rPr>
        <w:t>compensation targets for the Chief Executive Officer and other executive officers. The Compensation Committee generally makes its determinations during the second quarter of the year; however, they may make adjustments at other times as appropriate. To date, no executive officers have received increases in their target compensation for 2010.</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Considerations</w:t>
      </w:r>
    </w:p>
    <w:p>
      <w:pPr>
        <w:spacing w:after="0" w:line="10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up to $1,000,000 per covered executive unless such compensation is based upon the attainment of performance objectives meeting certain regulatory criteria or is otherwise excluded from the limitation.</w:t>
      </w:r>
    </w:p>
    <w:p>
      <w:pPr>
        <w:spacing w:after="0" w:line="59"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Restrictive Covenants</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Some of our executive officers have employment agreements (described above) which contain intellectual property, non-disclosure and non-solicit provisions. All other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Policies</w:t>
      </w:r>
    </w:p>
    <w:p>
      <w:pPr>
        <w:spacing w:after="0" w:line="104"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Incentive Plan</w:t>
      </w:r>
    </w:p>
    <w:p>
      <w:pPr>
        <w:spacing w:after="0" w:line="104"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Code, or nonqualified stock options, as determined by the Compensation Committee.</w:t>
      </w:r>
    </w:p>
    <w:p>
      <w:pPr>
        <w:spacing w:after="0" w:line="65"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grant.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Compensation</w:t>
      </w:r>
    </w:p>
    <w:p>
      <w:pPr>
        <w:spacing w:after="0" w:line="104"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Termination</w:t>
      </w:r>
    </w:p>
    <w:p>
      <w:pPr>
        <w:spacing w:after="0" w:line="104" w:lineRule="exact"/>
        <w:rPr>
          <w:sz w:val="20"/>
          <w:szCs w:val="20"/>
          <w:color w:val="auto"/>
        </w:rPr>
      </w:pPr>
    </w:p>
    <w:p>
      <w:pPr>
        <w:ind w:left="680" w:right="820" w:firstLine="399"/>
        <w:spacing w:after="0" w:line="263" w:lineRule="auto"/>
        <w:rPr>
          <w:sz w:val="20"/>
          <w:szCs w:val="20"/>
          <w:color w:val="auto"/>
        </w:rPr>
      </w:pPr>
      <w:r>
        <w:rPr>
          <w:rFonts w:ascii="Arial" w:cs="Arial" w:eastAsia="Arial" w:hAnsi="Arial"/>
          <w:sz w:val="13"/>
          <w:szCs w:val="13"/>
          <w:color w:val="auto"/>
        </w:rPr>
        <w:t>Without any employment agreement or other agreement related to termination, an executive officer would be entitled to receive his or her base salary and applicable employee benefit plans and programs through the date of termination. As noted above, our Chief Executive Officer, Chief Financial Officer and Chief Administration Officer and General Counsel have entered into employment agreements with Altisource. Unless an executive officer has been terminated for cause, the executive officer would be entitled to retain any vested portion of prior equity awards granted through the 2009 Equity Incentive Plan. Generally, for termination not due to death, disability or retirement, the executive officer has six (6) months within which to exercise stock options pursuant to our stock option agreements. Otherwise, the executive officer shall be afforded the time permitted in the original grant. Any portion of an equity award not vested will be forfeited in either circumstance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Severance Benefits</w:t>
      </w:r>
    </w:p>
    <w:p>
      <w:pPr>
        <w:spacing w:after="0" w:line="104" w:lineRule="exact"/>
        <w:rPr>
          <w:sz w:val="20"/>
          <w:szCs w:val="20"/>
          <w:color w:val="auto"/>
        </w:rPr>
      </w:pPr>
    </w:p>
    <w:p>
      <w:pPr>
        <w:ind w:left="680" w:right="1180" w:firstLine="399"/>
        <w:spacing w:after="0" w:line="338" w:lineRule="auto"/>
        <w:rPr>
          <w:sz w:val="20"/>
          <w:szCs w:val="20"/>
          <w:color w:val="auto"/>
        </w:rPr>
      </w:pPr>
      <w:r>
        <w:rPr>
          <w:rFonts w:ascii="Arial" w:cs="Arial" w:eastAsia="Arial" w:hAnsi="Arial"/>
          <w:sz w:val="12"/>
          <w:szCs w:val="12"/>
          <w:color w:val="auto"/>
        </w:rPr>
        <w:t>We do not have a formal severance plan or policy. When an executive officer separates from the Company as a result of a reduction in work force, we typically provide the executive with two (2) months salary for each year of service to the Company up to a maximum of six (6) months salary in exchange for a separation agreement.</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COMPENSATION</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4"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color w:val="auto"/>
        </w:rPr>
        <w:t>The following table discloses compensation received by our Chief Executive Officer, our Chief Financial Officer and our three 3 most highly compensated executive officers for fiscal year 2009.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Salary</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center"/>
              <w:ind w:right="156"/>
              <w:spacing w:after="0"/>
              <w:rPr>
                <w:sz w:val="20"/>
                <w:szCs w:val="20"/>
                <w:color w:val="auto"/>
              </w:rPr>
            </w:pPr>
            <w:r>
              <w:rPr>
                <w:rFonts w:ascii="Arial" w:cs="Arial" w:eastAsia="Arial" w:hAnsi="Arial"/>
                <w:sz w:val="11"/>
                <w:szCs w:val="11"/>
                <w:b w:val="1"/>
                <w:bCs w:val="1"/>
                <w:color w:val="auto"/>
                <w:w w:val="90"/>
              </w:rPr>
              <w:t>Option</w:t>
            </w:r>
          </w:p>
        </w:tc>
        <w:tc>
          <w:tcPr>
            <w:tcW w:w="2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1"/>
              </w:rPr>
              <w:t>Non-Equity</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vMerge w:val="restart"/>
          </w:tcPr>
          <w:p>
            <w:pPr>
              <w:jc w:val="right"/>
              <w:ind w:right="415"/>
              <w:spacing w:after="0"/>
              <w:rPr>
                <w:sz w:val="20"/>
                <w:szCs w:val="20"/>
                <w:color w:val="auto"/>
              </w:rPr>
            </w:pPr>
            <w:r>
              <w:rPr>
                <w:rFonts w:ascii="Arial" w:cs="Arial" w:eastAsia="Arial" w:hAnsi="Arial"/>
                <w:sz w:val="11"/>
                <w:szCs w:val="11"/>
                <w:b w:val="1"/>
                <w:bCs w:val="1"/>
                <w:color w:val="auto"/>
                <w:w w:val="94"/>
              </w:rPr>
              <w:t>All Other</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Incentive</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c>
          <w:tcPr>
            <w:tcW w:w="108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156"/>
              <w:spacing w:after="0"/>
              <w:rPr>
                <w:sz w:val="20"/>
                <w:szCs w:val="20"/>
                <w:color w:val="auto"/>
              </w:rPr>
            </w:pPr>
            <w:r>
              <w:rPr>
                <w:rFonts w:ascii="Arial" w:cs="Arial" w:eastAsia="Arial" w:hAnsi="Arial"/>
                <w:sz w:val="11"/>
                <w:szCs w:val="11"/>
                <w:b w:val="1"/>
                <w:bCs w:val="1"/>
                <w:color w:val="auto"/>
                <w:w w:val="90"/>
              </w:rPr>
              <w:t>Awards(2)</w:t>
            </w:r>
          </w:p>
        </w:tc>
        <w:tc>
          <w:tcPr>
            <w:tcW w:w="280" w:type="dxa"/>
            <w:vAlign w:val="bottom"/>
          </w:tcPr>
          <w:p>
            <w:pPr>
              <w:spacing w:after="0"/>
              <w:rPr>
                <w:sz w:val="11"/>
                <w:szCs w:val="11"/>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8"/>
              </w:rPr>
              <w:t>Compensation(3)</w:t>
            </w:r>
          </w:p>
        </w:tc>
        <w:tc>
          <w:tcPr>
            <w:tcW w:w="160" w:type="dxa"/>
            <w:vAlign w:val="bottom"/>
          </w:tcPr>
          <w:p>
            <w:pPr>
              <w:spacing w:after="0"/>
              <w:rPr>
                <w:sz w:val="11"/>
                <w:szCs w:val="11"/>
                <w:color w:val="auto"/>
              </w:rPr>
            </w:pPr>
          </w:p>
        </w:tc>
        <w:tc>
          <w:tcPr>
            <w:tcW w:w="1380" w:type="dxa"/>
            <w:vAlign w:val="bottom"/>
            <w:gridSpan w:val="2"/>
          </w:tcPr>
          <w:p>
            <w:pPr>
              <w:jc w:val="right"/>
              <w:ind w:right="235"/>
              <w:spacing w:after="0"/>
              <w:rPr>
                <w:sz w:val="20"/>
                <w:szCs w:val="20"/>
                <w:color w:val="auto"/>
              </w:rPr>
            </w:pPr>
            <w:r>
              <w:rPr>
                <w:rFonts w:ascii="Arial" w:cs="Arial" w:eastAsia="Arial" w:hAnsi="Arial"/>
                <w:sz w:val="11"/>
                <w:szCs w:val="11"/>
                <w:b w:val="1"/>
                <w:bCs w:val="1"/>
                <w:color w:val="auto"/>
              </w:rPr>
              <w:t>Compensation(4)</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ind w:right="355"/>
              <w:spacing w:after="0"/>
              <w:rPr>
                <w:sz w:val="20"/>
                <w:szCs w:val="20"/>
                <w:color w:val="auto"/>
              </w:rPr>
            </w:pPr>
            <w:r>
              <w:rPr>
                <w:rFonts w:ascii="Arial" w:cs="Arial" w:eastAsia="Arial" w:hAnsi="Arial"/>
                <w:sz w:val="11"/>
                <w:szCs w:val="11"/>
                <w:b w:val="1"/>
                <w:bCs w:val="1"/>
                <w:color w:val="auto"/>
              </w:rPr>
              <w:t>Total</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William B. Shepro</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$383,816(5)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w:t>
            </w:r>
          </w:p>
        </w:tc>
        <w:tc>
          <w:tcPr>
            <w:tcW w:w="1620" w:type="dxa"/>
            <w:vAlign w:val="bottom"/>
            <w:gridSpan w:val="2"/>
            <w:shd w:val="clear" w:color="auto" w:fill="CCEEFF"/>
          </w:tcPr>
          <w:p>
            <w:pPr>
              <w:jc w:val="right"/>
              <w:ind w:right="386"/>
              <w:spacing w:after="0"/>
              <w:rPr>
                <w:sz w:val="20"/>
                <w:szCs w:val="20"/>
                <w:color w:val="auto"/>
              </w:rPr>
            </w:pPr>
            <w:r>
              <w:rPr>
                <w:rFonts w:ascii="Arial" w:cs="Arial" w:eastAsia="Arial" w:hAnsi="Arial"/>
                <w:sz w:val="13"/>
                <w:szCs w:val="13"/>
                <w:color w:val="auto"/>
              </w:rPr>
              <w:t>$853,205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93"/>
              </w:rPr>
              <w:t>221, 254(6)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9"/>
              </w:rPr>
              <w:t>1,458,275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Executive Officer and President</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Arial" w:cs="Arial" w:eastAsia="Arial" w:hAnsi="Arial"/>
                <w:sz w:val="13"/>
                <w:szCs w:val="13"/>
                <w:b w:val="1"/>
                <w:bCs w:val="1"/>
                <w:color w:val="auto"/>
              </w:rPr>
              <w:t>Robert D. Stiles</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2009</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$215,171(7)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w w:val="92"/>
              </w:rPr>
              <w:t>171,248(8)</w:t>
            </w:r>
          </w:p>
        </w:tc>
        <w:tc>
          <w:tcPr>
            <w:tcW w:w="1620" w:type="dxa"/>
            <w:vAlign w:val="bottom"/>
            <w:gridSpan w:val="2"/>
          </w:tcPr>
          <w:p>
            <w:pPr>
              <w:jc w:val="right"/>
              <w:ind w:right="386"/>
              <w:spacing w:after="0"/>
              <w:rPr>
                <w:sz w:val="20"/>
                <w:szCs w:val="20"/>
                <w:color w:val="auto"/>
              </w:rPr>
            </w:pPr>
            <w:r>
              <w:rPr>
                <w:rFonts w:ascii="Arial" w:cs="Arial" w:eastAsia="Arial" w:hAnsi="Arial"/>
                <w:sz w:val="13"/>
                <w:szCs w:val="13"/>
                <w:color w:val="auto"/>
              </w:rPr>
              <w:t>$218,960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35"/>
              <w:spacing w:after="0"/>
              <w:rPr>
                <w:sz w:val="20"/>
                <w:szCs w:val="20"/>
                <w:color w:val="auto"/>
              </w:rPr>
            </w:pPr>
            <w:r>
              <w:rPr>
                <w:rFonts w:ascii="Arial" w:cs="Arial" w:eastAsia="Arial" w:hAnsi="Arial"/>
                <w:sz w:val="13"/>
                <w:szCs w:val="13"/>
                <w:color w:val="auto"/>
              </w:rPr>
              <w:t>27,169(9)</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5"/>
              <w:spacing w:after="0"/>
              <w:rPr>
                <w:sz w:val="20"/>
                <w:szCs w:val="20"/>
                <w:color w:val="auto"/>
              </w:rPr>
            </w:pPr>
            <w:r>
              <w:rPr>
                <w:rFonts w:ascii="Arial" w:cs="Arial" w:eastAsia="Arial" w:hAnsi="Arial"/>
                <w:sz w:val="13"/>
                <w:szCs w:val="13"/>
                <w:color w:val="auto"/>
              </w:rPr>
              <w:t>632,548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60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Kevin J. Wilcox</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8"/>
              </w:rPr>
              <w:t>$316,084(10)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w:t>
            </w:r>
          </w:p>
        </w:tc>
        <w:tc>
          <w:tcPr>
            <w:tcW w:w="1620" w:type="dxa"/>
            <w:vAlign w:val="bottom"/>
            <w:gridSpan w:val="2"/>
            <w:shd w:val="clear" w:color="auto" w:fill="CCEEFF"/>
          </w:tcPr>
          <w:p>
            <w:pPr>
              <w:jc w:val="right"/>
              <w:ind w:right="386"/>
              <w:spacing w:after="0"/>
              <w:rPr>
                <w:sz w:val="20"/>
                <w:szCs w:val="20"/>
                <w:color w:val="auto"/>
              </w:rPr>
            </w:pPr>
            <w:r>
              <w:rPr>
                <w:rFonts w:ascii="Arial" w:cs="Arial" w:eastAsia="Arial" w:hAnsi="Arial"/>
                <w:sz w:val="13"/>
                <w:szCs w:val="13"/>
                <w:color w:val="auto"/>
              </w:rPr>
              <w:t>$450,938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30,426(11)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797,448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Administration Officer and General</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Arial" w:cs="Arial" w:eastAsia="Arial" w:hAnsi="Arial"/>
                <w:sz w:val="13"/>
                <w:szCs w:val="13"/>
                <w:b w:val="1"/>
                <w:bCs w:val="1"/>
                <w:color w:val="auto"/>
              </w:rPr>
              <w:t>John T. McRae II</w:t>
            </w:r>
          </w:p>
        </w:tc>
        <w:tc>
          <w:tcPr>
            <w:tcW w:w="58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2009</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$250,000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1"/>
              </w:rPr>
              <w:t>411,000(12)</w:t>
            </w:r>
          </w:p>
        </w:tc>
        <w:tc>
          <w:tcPr>
            <w:tcW w:w="1620" w:type="dxa"/>
            <w:vAlign w:val="bottom"/>
            <w:gridSpan w:val="2"/>
          </w:tcPr>
          <w:p>
            <w:pPr>
              <w:jc w:val="right"/>
              <w:ind w:right="386"/>
              <w:spacing w:after="0"/>
              <w:rPr>
                <w:sz w:val="20"/>
                <w:szCs w:val="20"/>
                <w:color w:val="auto"/>
              </w:rPr>
            </w:pPr>
            <w:r>
              <w:rPr>
                <w:rFonts w:ascii="Arial" w:cs="Arial" w:eastAsia="Arial" w:hAnsi="Arial"/>
                <w:sz w:val="13"/>
                <w:szCs w:val="13"/>
                <w:color w:val="auto"/>
              </w:rPr>
              <w:t>$149,671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5"/>
              <w:spacing w:after="0"/>
              <w:rPr>
                <w:sz w:val="20"/>
                <w:szCs w:val="20"/>
                <w:color w:val="auto"/>
              </w:rPr>
            </w:pPr>
            <w:r>
              <w:rPr>
                <w:rFonts w:ascii="Arial" w:cs="Arial" w:eastAsia="Arial" w:hAnsi="Arial"/>
                <w:sz w:val="13"/>
                <w:szCs w:val="13"/>
                <w:color w:val="auto"/>
              </w:rPr>
              <w:t>601(13)</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5"/>
              <w:spacing w:after="0"/>
              <w:rPr>
                <w:sz w:val="20"/>
                <w:szCs w:val="20"/>
                <w:color w:val="auto"/>
              </w:rPr>
            </w:pPr>
            <w:r>
              <w:rPr>
                <w:rFonts w:ascii="Arial" w:cs="Arial" w:eastAsia="Arial" w:hAnsi="Arial"/>
                <w:sz w:val="13"/>
                <w:szCs w:val="13"/>
                <w:color w:val="auto"/>
              </w:rPr>
              <w:t>811,272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600" w:type="dxa"/>
            <w:vAlign w:val="bottom"/>
          </w:tcPr>
          <w:p>
            <w:pPr>
              <w:ind w:left="140"/>
              <w:spacing w:after="0"/>
              <w:rPr>
                <w:sz w:val="20"/>
                <w:szCs w:val="20"/>
                <w:color w:val="auto"/>
              </w:rPr>
            </w:pPr>
            <w:r>
              <w:rPr>
                <w:rFonts w:ascii="Arial" w:cs="Arial" w:eastAsia="Arial" w:hAnsi="Arial"/>
                <w:sz w:val="13"/>
                <w:szCs w:val="13"/>
                <w:color w:val="auto"/>
              </w:rPr>
              <w:t>Chief Executive Officer, NCI</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Richard D. Powers</w:t>
            </w:r>
          </w:p>
        </w:tc>
        <w:tc>
          <w:tcPr>
            <w:tcW w:w="58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2009</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$242,306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171,248(14)</w:t>
            </w:r>
          </w:p>
        </w:tc>
        <w:tc>
          <w:tcPr>
            <w:tcW w:w="1620" w:type="dxa"/>
            <w:vAlign w:val="bottom"/>
            <w:gridSpan w:val="2"/>
            <w:shd w:val="clear" w:color="auto" w:fill="CCEEFF"/>
          </w:tcPr>
          <w:p>
            <w:pPr>
              <w:jc w:val="right"/>
              <w:ind w:right="386"/>
              <w:spacing w:after="0"/>
              <w:rPr>
                <w:sz w:val="20"/>
                <w:szCs w:val="20"/>
                <w:color w:val="auto"/>
              </w:rPr>
            </w:pPr>
            <w:r>
              <w:rPr>
                <w:rFonts w:ascii="Arial" w:cs="Arial" w:eastAsia="Arial" w:hAnsi="Arial"/>
                <w:sz w:val="13"/>
                <w:szCs w:val="13"/>
                <w:color w:val="auto"/>
              </w:rPr>
              <w:t>$287,329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159(15)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701,042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Senior Vice President, Real Estate Services</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right="176"/>
              <w:spacing w:after="0"/>
              <w:rPr>
                <w:sz w:val="20"/>
                <w:szCs w:val="20"/>
                <w:color w:val="auto"/>
              </w:rPr>
            </w:pPr>
            <w:r>
              <w:rPr>
                <w:rFonts w:ascii="Arial" w:cs="Arial" w:eastAsia="Arial" w:hAnsi="Arial"/>
                <w:sz w:val="13"/>
                <w:szCs w:val="13"/>
                <w:color w:val="auto"/>
                <w:w w:val="96"/>
              </w:rPr>
              <w:t>20</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-1570355</wp:posOffset>
            </wp:positionV>
            <wp:extent cx="190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ind w:left="1000" w:hanging="266"/>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amounts earned in corresponding year.</w:t>
      </w:r>
    </w:p>
    <w:p>
      <w:pPr>
        <w:spacing w:after="0" w:line="52" w:lineRule="exact"/>
        <w:rPr>
          <w:rFonts w:ascii="Arial" w:cs="Arial" w:eastAsia="Arial" w:hAnsi="Arial"/>
          <w:sz w:val="13"/>
          <w:szCs w:val="13"/>
          <w:color w:val="auto"/>
        </w:rPr>
      </w:pPr>
    </w:p>
    <w:p>
      <w:pPr>
        <w:jc w:val="both"/>
        <w:ind w:left="1000" w:right="100" w:hanging="266"/>
        <w:spacing w:after="0" w:line="289" w:lineRule="auto"/>
        <w:tabs>
          <w:tab w:leader="none" w:pos="10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 awards of options, the amount disclosed represents the aggregate grant date fair value computed in accordance with FASB ASC Topic 718. We based the grant date fair value of stock awards recognized as expense in 2009 on the closing price of our Common Stock. We estimated the grant date fair value of stock option awards recognized as expense in</w:t>
      </w:r>
    </w:p>
    <w:p>
      <w:pPr>
        <w:ind w:left="1000"/>
        <w:spacing w:after="0"/>
        <w:rPr>
          <w:rFonts w:ascii="Arial" w:cs="Arial" w:eastAsia="Arial" w:hAnsi="Arial"/>
          <w:sz w:val="12"/>
          <w:szCs w:val="12"/>
          <w:color w:val="auto"/>
        </w:rPr>
      </w:pPr>
      <w:r>
        <w:rPr>
          <w:rFonts w:ascii="Arial" w:cs="Arial" w:eastAsia="Arial" w:hAnsi="Arial"/>
          <w:sz w:val="13"/>
          <w:szCs w:val="13"/>
          <w:color w:val="auto"/>
        </w:rPr>
        <w:t>2009 using the Black-Scholes option-pricing model and a binomial option pricing model utilizing the following assumptions: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9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9"/>
          </w:tcPr>
          <w:p>
            <w:pPr>
              <w:ind w:left="460"/>
              <w:spacing w:after="0"/>
              <w:rPr>
                <w:sz w:val="20"/>
                <w:szCs w:val="20"/>
                <w:color w:val="auto"/>
              </w:rPr>
            </w:pPr>
            <w:r>
              <w:rPr>
                <w:rFonts w:ascii="Arial" w:cs="Arial" w:eastAsia="Arial" w:hAnsi="Arial"/>
                <w:sz w:val="11"/>
                <w:szCs w:val="11"/>
                <w:b w:val="1"/>
                <w:bCs w:val="1"/>
                <w:color w:val="auto"/>
              </w:rPr>
              <w:t>Service Condition Awards — Black-Scholes Option Pricing Model</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auto"/>
              </w:rPr>
              <w:t>Performance Year</w:t>
            </w:r>
          </w:p>
        </w:tc>
        <w:tc>
          <w:tcPr>
            <w:tcW w:w="1760" w:type="dxa"/>
            <w:vAlign w:val="bottom"/>
            <w:gridSpan w:val="3"/>
          </w:tcPr>
          <w:p>
            <w:pPr>
              <w:jc w:val="center"/>
              <w:ind w:right="280"/>
              <w:spacing w:after="0" w:line="94" w:lineRule="exact"/>
              <w:rPr>
                <w:sz w:val="20"/>
                <w:szCs w:val="20"/>
                <w:color w:val="auto"/>
              </w:rPr>
            </w:pPr>
            <w:r>
              <w:rPr>
                <w:rFonts w:ascii="Arial" w:cs="Arial" w:eastAsia="Arial" w:hAnsi="Arial"/>
                <w:sz w:val="10"/>
                <w:szCs w:val="10"/>
                <w:b w:val="1"/>
                <w:bCs w:val="1"/>
                <w:color w:val="auto"/>
                <w:w w:val="98"/>
              </w:rPr>
              <w:t>Expected Volatility</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jc w:val="center"/>
              <w:ind w:right="248"/>
              <w:spacing w:after="0" w:line="94" w:lineRule="exact"/>
              <w:rPr>
                <w:sz w:val="20"/>
                <w:szCs w:val="20"/>
                <w:color w:val="auto"/>
              </w:rPr>
            </w:pPr>
            <w:r>
              <w:rPr>
                <w:rFonts w:ascii="Arial" w:cs="Arial" w:eastAsia="Arial" w:hAnsi="Arial"/>
                <w:sz w:val="10"/>
                <w:szCs w:val="10"/>
                <w:b w:val="1"/>
                <w:bCs w:val="1"/>
                <w:color w:val="auto"/>
                <w:w w:val="96"/>
              </w:rPr>
              <w:t>Expected Dividend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right"/>
              <w:ind w:right="250"/>
              <w:spacing w:after="0" w:line="94" w:lineRule="exact"/>
              <w:rPr>
                <w:sz w:val="20"/>
                <w:szCs w:val="20"/>
                <w:color w:val="auto"/>
              </w:rPr>
            </w:pPr>
            <w:r>
              <w:rPr>
                <w:rFonts w:ascii="Arial" w:cs="Arial" w:eastAsia="Arial" w:hAnsi="Arial"/>
                <w:sz w:val="10"/>
                <w:szCs w:val="10"/>
                <w:b w:val="1"/>
                <w:bCs w:val="1"/>
                <w:color w:val="auto"/>
              </w:rPr>
              <w:t>Exercise Price</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jc w:val="center"/>
              <w:ind w:right="26"/>
              <w:spacing w:after="0" w:line="94" w:lineRule="exact"/>
              <w:rPr>
                <w:sz w:val="20"/>
                <w:szCs w:val="20"/>
                <w:color w:val="auto"/>
              </w:rPr>
            </w:pPr>
            <w:r>
              <w:rPr>
                <w:rFonts w:ascii="Arial" w:cs="Arial" w:eastAsia="Arial" w:hAnsi="Arial"/>
                <w:sz w:val="10"/>
                <w:szCs w:val="10"/>
                <w:b w:val="1"/>
                <w:bCs w:val="1"/>
                <w:color w:val="auto"/>
                <w:w w:val="99"/>
              </w:rPr>
              <w:t>Risk-Free Interest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8"/>
              </w:rPr>
              <w:t>Expected Term in</w:t>
            </w:r>
          </w:p>
        </w:tc>
        <w:tc>
          <w:tcPr>
            <w:tcW w:w="0" w:type="dxa"/>
            <w:vAlign w:val="bottom"/>
          </w:tcPr>
          <w:p>
            <w:pPr>
              <w:spacing w:after="0"/>
              <w:rPr>
                <w:sz w:val="1"/>
                <w:szCs w:val="1"/>
                <w:color w:val="auto"/>
              </w:rPr>
            </w:pPr>
          </w:p>
        </w:tc>
      </w:tr>
      <w:tr>
        <w:trPr>
          <w:trHeight w:val="128"/>
        </w:trPr>
        <w:tc>
          <w:tcPr>
            <w:tcW w:w="1900" w:type="dxa"/>
            <w:vAlign w:val="bottom"/>
            <w:vMerge w:val="continue"/>
          </w:tcPr>
          <w:p>
            <w:pPr>
              <w:spacing w:after="0"/>
              <w:rPr>
                <w:sz w:val="11"/>
                <w:szCs w:val="11"/>
                <w:color w:val="auto"/>
              </w:rPr>
            </w:pPr>
          </w:p>
        </w:tc>
        <w:tc>
          <w:tcPr>
            <w:tcW w:w="14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48"/>
              <w:spacing w:after="0"/>
              <w:rPr>
                <w:sz w:val="20"/>
                <w:szCs w:val="20"/>
                <w:color w:val="auto"/>
              </w:rPr>
            </w:pPr>
            <w:r>
              <w:rPr>
                <w:rFonts w:ascii="Arial" w:cs="Arial" w:eastAsia="Arial" w:hAnsi="Arial"/>
                <w:sz w:val="11"/>
                <w:szCs w:val="11"/>
                <w:b w:val="1"/>
                <w:bCs w:val="1"/>
                <w:color w:val="auto"/>
                <w:w w:val="98"/>
              </w:rPr>
              <w:t>Yield (%)</w:t>
            </w:r>
          </w:p>
        </w:tc>
        <w:tc>
          <w:tcPr>
            <w:tcW w:w="280" w:type="dxa"/>
            <w:vAlign w:val="bottom"/>
            <w:gridSpan w:val="2"/>
          </w:tcPr>
          <w:p>
            <w:pPr>
              <w:spacing w:after="0"/>
              <w:rPr>
                <w:sz w:val="11"/>
                <w:szCs w:val="11"/>
                <w:color w:val="auto"/>
              </w:rPr>
            </w:pPr>
          </w:p>
        </w:tc>
        <w:tc>
          <w:tcPr>
            <w:tcW w:w="12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5"/>
              </w:rPr>
              <w:t>Rate (%)</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Years</w:t>
            </w:r>
          </w:p>
        </w:tc>
        <w:tc>
          <w:tcPr>
            <w:tcW w:w="0" w:type="dxa"/>
            <w:vAlign w:val="bottom"/>
          </w:tcPr>
          <w:p>
            <w:pPr>
              <w:spacing w:after="0"/>
              <w:rPr>
                <w:sz w:val="1"/>
                <w:szCs w:val="1"/>
                <w:color w:val="auto"/>
              </w:rPr>
            </w:pPr>
          </w:p>
        </w:tc>
      </w:tr>
      <w:tr>
        <w:trPr>
          <w:trHeight w:val="191"/>
        </w:trPr>
        <w:tc>
          <w:tcPr>
            <w:tcW w:w="1900" w:type="dxa"/>
            <w:vAlign w:val="bottom"/>
          </w:tcPr>
          <w:p>
            <w:pPr>
              <w:jc w:val="right"/>
              <w:ind w:right="900"/>
              <w:spacing w:after="0"/>
              <w:rPr>
                <w:sz w:val="20"/>
                <w:szCs w:val="20"/>
                <w:color w:val="auto"/>
              </w:rPr>
            </w:pPr>
            <w:r>
              <w:rPr>
                <w:rFonts w:ascii="Arial" w:cs="Arial" w:eastAsia="Arial" w:hAnsi="Arial"/>
                <w:sz w:val="13"/>
                <w:szCs w:val="13"/>
                <w:color w:val="auto"/>
              </w:rPr>
              <w:t>2009</w:t>
            </w:r>
          </w:p>
        </w:tc>
        <w:tc>
          <w:tcPr>
            <w:tcW w:w="1480" w:type="dxa"/>
            <w:vAlign w:val="bottom"/>
            <w:gridSpan w:val="2"/>
          </w:tcPr>
          <w:p>
            <w:pPr>
              <w:jc w:val="right"/>
              <w:ind w:right="504"/>
              <w:spacing w:after="0"/>
              <w:rPr>
                <w:sz w:val="20"/>
                <w:szCs w:val="20"/>
                <w:color w:val="auto"/>
              </w:rPr>
            </w:pPr>
            <w:r>
              <w:rPr>
                <w:rFonts w:ascii="Arial" w:cs="Arial" w:eastAsia="Arial" w:hAnsi="Arial"/>
                <w:sz w:val="13"/>
                <w:szCs w:val="13"/>
                <w:color w:val="auto"/>
              </w:rPr>
              <w:t>39%</w:t>
            </w:r>
          </w:p>
        </w:tc>
        <w:tc>
          <w:tcPr>
            <w:tcW w:w="28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3"/>
                <w:szCs w:val="13"/>
                <w:color w:val="auto"/>
              </w:rPr>
              <w:t>0</w:t>
            </w:r>
          </w:p>
        </w:tc>
        <w:tc>
          <w:tcPr>
            <w:tcW w:w="1540" w:type="dxa"/>
            <w:vAlign w:val="bottom"/>
            <w:gridSpan w:val="4"/>
          </w:tcPr>
          <w:p>
            <w:pPr>
              <w:jc w:val="right"/>
              <w:ind w:right="430"/>
              <w:spacing w:after="0"/>
              <w:rPr>
                <w:sz w:val="20"/>
                <w:szCs w:val="20"/>
                <w:color w:val="auto"/>
              </w:rPr>
            </w:pPr>
            <w:r>
              <w:rPr>
                <w:rFonts w:ascii="Arial" w:cs="Arial" w:eastAsia="Arial" w:hAnsi="Arial"/>
                <w:sz w:val="13"/>
                <w:szCs w:val="13"/>
                <w:color w:val="auto"/>
              </w:rPr>
              <w:t>$14.15</w:t>
            </w:r>
          </w:p>
        </w:tc>
        <w:tc>
          <w:tcPr>
            <w:tcW w:w="1700" w:type="dxa"/>
            <w:vAlign w:val="bottom"/>
            <w:gridSpan w:val="4"/>
          </w:tcPr>
          <w:p>
            <w:pPr>
              <w:jc w:val="right"/>
              <w:ind w:right="426"/>
              <w:spacing w:after="0"/>
              <w:rPr>
                <w:sz w:val="20"/>
                <w:szCs w:val="20"/>
                <w:color w:val="auto"/>
              </w:rPr>
            </w:pPr>
            <w:r>
              <w:rPr>
                <w:rFonts w:ascii="Arial" w:cs="Arial" w:eastAsia="Arial" w:hAnsi="Arial"/>
                <w:sz w:val="13"/>
                <w:szCs w:val="13"/>
                <w:color w:val="auto"/>
              </w:rPr>
              <w:t>2.64%</w:t>
            </w:r>
          </w:p>
        </w:tc>
        <w:tc>
          <w:tcPr>
            <w:tcW w:w="1620" w:type="dxa"/>
            <w:vAlign w:val="bottom"/>
            <w:gridSpan w:val="4"/>
          </w:tcPr>
          <w:p>
            <w:pPr>
              <w:jc w:val="right"/>
              <w:ind w:right="529"/>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93"/>
        </w:trPr>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9"/>
          </w:tcPr>
          <w:p>
            <w:pPr>
              <w:ind w:left="740"/>
              <w:spacing w:after="0"/>
              <w:rPr>
                <w:sz w:val="20"/>
                <w:szCs w:val="20"/>
                <w:color w:val="auto"/>
              </w:rPr>
            </w:pPr>
            <w:r>
              <w:rPr>
                <w:rFonts w:ascii="Arial" w:cs="Arial" w:eastAsia="Arial" w:hAnsi="Arial"/>
                <w:sz w:val="11"/>
                <w:szCs w:val="11"/>
                <w:b w:val="1"/>
                <w:bCs w:val="1"/>
                <w:color w:val="auto"/>
              </w:rPr>
              <w:t>Market Condition Awards — Binomial Option Pricing Model</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auto"/>
              </w:rPr>
              <w:t>Performance Year</w:t>
            </w:r>
          </w:p>
        </w:tc>
        <w:tc>
          <w:tcPr>
            <w:tcW w:w="340" w:type="dxa"/>
            <w:vAlign w:val="bottom"/>
          </w:tcPr>
          <w:p>
            <w:pPr>
              <w:spacing w:after="0"/>
              <w:rPr>
                <w:sz w:val="8"/>
                <w:szCs w:val="8"/>
                <w:color w:val="auto"/>
              </w:rPr>
            </w:pPr>
          </w:p>
        </w:tc>
        <w:tc>
          <w:tcPr>
            <w:tcW w:w="1420" w:type="dxa"/>
            <w:vAlign w:val="bottom"/>
            <w:gridSpan w:val="2"/>
          </w:tcPr>
          <w:p>
            <w:pPr>
              <w:ind w:left="300"/>
              <w:spacing w:after="0" w:line="94" w:lineRule="exact"/>
              <w:rPr>
                <w:sz w:val="20"/>
                <w:szCs w:val="20"/>
                <w:color w:val="auto"/>
              </w:rPr>
            </w:pPr>
            <w:r>
              <w:rPr>
                <w:rFonts w:ascii="Arial" w:cs="Arial" w:eastAsia="Arial" w:hAnsi="Arial"/>
                <w:sz w:val="10"/>
                <w:szCs w:val="10"/>
                <w:b w:val="1"/>
                <w:bCs w:val="1"/>
                <w:color w:val="auto"/>
              </w:rPr>
              <w:t>Expected Volatility</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jc w:val="center"/>
              <w:ind w:left="48"/>
              <w:spacing w:after="0" w:line="94" w:lineRule="exact"/>
              <w:rPr>
                <w:sz w:val="20"/>
                <w:szCs w:val="20"/>
                <w:color w:val="auto"/>
              </w:rPr>
            </w:pPr>
            <w:r>
              <w:rPr>
                <w:rFonts w:ascii="Arial" w:cs="Arial" w:eastAsia="Arial" w:hAnsi="Arial"/>
                <w:sz w:val="10"/>
                <w:szCs w:val="10"/>
                <w:b w:val="1"/>
                <w:bCs w:val="1"/>
                <w:color w:val="auto"/>
                <w:w w:val="96"/>
              </w:rPr>
              <w:t>Expected Dividend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right"/>
              <w:ind w:right="150"/>
              <w:spacing w:after="0" w:line="94" w:lineRule="exact"/>
              <w:rPr>
                <w:sz w:val="20"/>
                <w:szCs w:val="20"/>
                <w:color w:val="auto"/>
              </w:rPr>
            </w:pPr>
            <w:r>
              <w:rPr>
                <w:rFonts w:ascii="Arial" w:cs="Arial" w:eastAsia="Arial" w:hAnsi="Arial"/>
                <w:sz w:val="10"/>
                <w:szCs w:val="10"/>
                <w:b w:val="1"/>
                <w:bCs w:val="1"/>
                <w:color w:val="auto"/>
              </w:rPr>
              <w:t>Exercise Price</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9"/>
              </w:rPr>
              <w:t>Risk-Free Interest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9"/>
              </w:rPr>
              <w:t>Contract Term in</w:t>
            </w:r>
          </w:p>
        </w:tc>
        <w:tc>
          <w:tcPr>
            <w:tcW w:w="0" w:type="dxa"/>
            <w:vAlign w:val="bottom"/>
          </w:tcPr>
          <w:p>
            <w:pPr>
              <w:spacing w:after="0"/>
              <w:rPr>
                <w:sz w:val="1"/>
                <w:szCs w:val="1"/>
                <w:color w:val="auto"/>
              </w:rPr>
            </w:pPr>
          </w:p>
        </w:tc>
      </w:tr>
      <w:tr>
        <w:trPr>
          <w:trHeight w:val="128"/>
        </w:trPr>
        <w:tc>
          <w:tcPr>
            <w:tcW w:w="1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Borders>
              <w:bottom w:val="single" w:sz="8" w:color="auto"/>
            </w:tcBorders>
          </w:tcPr>
          <w:p>
            <w:pPr>
              <w:jc w:val="center"/>
              <w:ind w:left="48"/>
              <w:spacing w:after="0"/>
              <w:rPr>
                <w:sz w:val="20"/>
                <w:szCs w:val="20"/>
                <w:color w:val="auto"/>
              </w:rPr>
            </w:pPr>
            <w:r>
              <w:rPr>
                <w:rFonts w:ascii="Arial" w:cs="Arial" w:eastAsia="Arial" w:hAnsi="Arial"/>
                <w:sz w:val="11"/>
                <w:szCs w:val="11"/>
                <w:b w:val="1"/>
                <w:bCs w:val="1"/>
                <w:color w:val="auto"/>
                <w:w w:val="98"/>
              </w:rPr>
              <w:t>Yield (%)</w:t>
            </w:r>
          </w:p>
        </w:tc>
        <w:tc>
          <w:tcPr>
            <w:tcW w:w="100" w:type="dxa"/>
            <w:vAlign w:val="bottom"/>
            <w:tcBorders>
              <w:bottom w:val="single" w:sz="8" w:color="auto"/>
            </w:tcBorders>
          </w:tcPr>
          <w:p>
            <w:pPr>
              <w:spacing w:after="0"/>
              <w:rPr>
                <w:sz w:val="11"/>
                <w:szCs w:val="11"/>
                <w:color w:val="auto"/>
              </w:rPr>
            </w:pPr>
          </w:p>
        </w:tc>
        <w:tc>
          <w:tcPr>
            <w:tcW w:w="260" w:type="dxa"/>
            <w:vAlign w:val="bottom"/>
            <w:gridSpan w:val="2"/>
          </w:tcPr>
          <w:p>
            <w:pPr>
              <w:spacing w:after="0"/>
              <w:rPr>
                <w:sz w:val="11"/>
                <w:szCs w:val="1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Rate (%)</w:t>
            </w: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Years</w:t>
            </w:r>
          </w:p>
        </w:tc>
        <w:tc>
          <w:tcPr>
            <w:tcW w:w="0" w:type="dxa"/>
            <w:vAlign w:val="bottom"/>
          </w:tcPr>
          <w:p>
            <w:pPr>
              <w:spacing w:after="0"/>
              <w:rPr>
                <w:sz w:val="1"/>
                <w:szCs w:val="1"/>
                <w:color w:val="auto"/>
              </w:rPr>
            </w:pPr>
          </w:p>
        </w:tc>
      </w:tr>
      <w:tr>
        <w:trPr>
          <w:trHeight w:val="191"/>
        </w:trPr>
        <w:tc>
          <w:tcPr>
            <w:tcW w:w="1900" w:type="dxa"/>
            <w:vAlign w:val="bottom"/>
          </w:tcPr>
          <w:p>
            <w:pPr>
              <w:jc w:val="right"/>
              <w:ind w:right="720"/>
              <w:spacing w:after="0"/>
              <w:rPr>
                <w:sz w:val="20"/>
                <w:szCs w:val="20"/>
                <w:color w:val="auto"/>
              </w:rPr>
            </w:pPr>
            <w:r>
              <w:rPr>
                <w:rFonts w:ascii="Arial" w:cs="Arial" w:eastAsia="Arial" w:hAnsi="Arial"/>
                <w:sz w:val="13"/>
                <w:szCs w:val="13"/>
                <w:color w:val="auto"/>
              </w:rPr>
              <w:t>2009</w:t>
            </w:r>
          </w:p>
        </w:tc>
        <w:tc>
          <w:tcPr>
            <w:tcW w:w="3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color w:val="auto"/>
                <w:w w:val="96"/>
              </w:rPr>
              <w:t>38% — 46%</w:t>
            </w:r>
          </w:p>
        </w:tc>
        <w:tc>
          <w:tcPr>
            <w:tcW w:w="1460" w:type="dxa"/>
            <w:vAlign w:val="bottom"/>
            <w:gridSpan w:val="3"/>
          </w:tcPr>
          <w:p>
            <w:pPr>
              <w:jc w:val="center"/>
              <w:ind w:left="353"/>
              <w:spacing w:after="0"/>
              <w:rPr>
                <w:sz w:val="20"/>
                <w:szCs w:val="20"/>
                <w:color w:val="auto"/>
              </w:rPr>
            </w:pPr>
            <w:r>
              <w:rPr>
                <w:rFonts w:ascii="Arial" w:cs="Arial" w:eastAsia="Arial" w:hAnsi="Arial"/>
                <w:sz w:val="13"/>
                <w:szCs w:val="13"/>
                <w:color w:val="auto"/>
              </w:rPr>
              <w:t>0</w:t>
            </w:r>
          </w:p>
        </w:tc>
        <w:tc>
          <w:tcPr>
            <w:tcW w:w="1540" w:type="dxa"/>
            <w:vAlign w:val="bottom"/>
            <w:gridSpan w:val="4"/>
          </w:tcPr>
          <w:p>
            <w:pPr>
              <w:jc w:val="right"/>
              <w:ind w:right="330"/>
              <w:spacing w:after="0"/>
              <w:rPr>
                <w:sz w:val="20"/>
                <w:szCs w:val="20"/>
                <w:color w:val="auto"/>
              </w:rPr>
            </w:pPr>
            <w:r>
              <w:rPr>
                <w:rFonts w:ascii="Arial" w:cs="Arial" w:eastAsia="Arial" w:hAnsi="Arial"/>
                <w:sz w:val="13"/>
                <w:szCs w:val="13"/>
                <w:color w:val="auto"/>
              </w:rPr>
              <w:t>$14.15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6"/>
              </w:rPr>
              <w:t>0.5% — 3.86%</w:t>
            </w:r>
          </w:p>
        </w:tc>
        <w:tc>
          <w:tcPr>
            <w:tcW w:w="1620" w:type="dxa"/>
            <w:vAlign w:val="bottom"/>
            <w:gridSpan w:val="4"/>
          </w:tcPr>
          <w:p>
            <w:pPr>
              <w:jc w:val="right"/>
              <w:ind w:right="529"/>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-607060</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-133350</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left="1000" w:hanging="266"/>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the cash portion of incentive compensation bonus awarded in the first quarter of the year following the year in which services are rendered.</w:t>
      </w:r>
    </w:p>
    <w:p>
      <w:pPr>
        <w:spacing w:after="0" w:line="52" w:lineRule="exact"/>
        <w:rPr>
          <w:rFonts w:ascii="Arial" w:cs="Arial" w:eastAsia="Arial" w:hAnsi="Arial"/>
          <w:sz w:val="13"/>
          <w:szCs w:val="13"/>
          <w:color w:val="auto"/>
        </w:rPr>
      </w:pPr>
    </w:p>
    <w:p>
      <w:pPr>
        <w:ind w:left="1000" w:right="520" w:hanging="266"/>
        <w:spacing w:after="0" w:line="291"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contributions by Ocwen and Altisource pursuant to their 401(k) Savings Plan for each executive officer, group term life contributions, relocation expenses, car allowances, housing allowances and utilities allowances as detailed below.</w:t>
      </w:r>
    </w:p>
    <w:p>
      <w:pPr>
        <w:ind w:left="1000" w:right="120" w:hanging="266"/>
        <w:spacing w:after="0" w:line="291"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set forth in Mr. Shepro’s employment agreement, following the separation of Altisource from Ocwen, Mr. Shepro’s base salary was converted from US Dollars to Euros at the average exchange rate for US Dollars to Euros for 2009 up to August 24, 2009.</w:t>
      </w:r>
    </w:p>
    <w:p>
      <w:pPr>
        <w:ind w:left="1000" w:right="80" w:hanging="266"/>
        <w:spacing w:after="0" w:line="291"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$186,924 for relocation expenses, $27,571 for housing allowance, $1,748 for a car allowance, $4,900 for 401(k) contributions and $111 for group term life contributions. Mr. Shepro also has access to an additional Company car while in Luxembourg.</w:t>
      </w:r>
    </w:p>
    <w:p>
      <w:pPr>
        <w:jc w:val="both"/>
        <w:ind w:left="1000" w:right="300" w:hanging="266"/>
        <w:spacing w:after="0" w:line="315"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Stiles joined Altisource in March of 2009; consequently, his base salary is for a partial year. As set forth in Mr. Stiles’ employment agreement, following the separation of Altisource from Ocwen, Mr. Stiles’ base salary was converted from US Dollars to Euros at the average exchange rate for US Dollars to Euros for 2009 up to August 24, 2009.</w:t>
      </w:r>
    </w:p>
    <w:p>
      <w:pPr>
        <w:ind w:left="1000" w:right="180" w:hanging="266"/>
        <w:spacing w:after="0" w:line="291"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option awards are currently unvested. For further information regarding the vesting of these option awards, see the Outstanding Equity Awards at Fiscal Year End discussion below. Altisource agreed to grant Mr. Stiles these option awards in Mr. Stiles’ offer of employment dated January 22, 2009.</w:t>
      </w:r>
    </w:p>
    <w:p>
      <w:pPr>
        <w:ind w:left="1000" w:hanging="266"/>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$16,749 for relocation expenses and $10,421 for housing allowance. Mr. Stiles also has access to a Company car while in Luxembourg.</w:t>
      </w:r>
    </w:p>
    <w:p>
      <w:pPr>
        <w:spacing w:after="0" w:line="62" w:lineRule="exact"/>
        <w:rPr>
          <w:rFonts w:ascii="Arial" w:cs="Arial" w:eastAsia="Arial" w:hAnsi="Arial"/>
          <w:sz w:val="13"/>
          <w:szCs w:val="13"/>
          <w:color w:val="auto"/>
        </w:rPr>
      </w:pPr>
    </w:p>
    <w:p>
      <w:pPr>
        <w:ind w:left="1100" w:right="20" w:hanging="333"/>
        <w:spacing w:after="0" w:line="291" w:lineRule="auto"/>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As set forth in Mr. Wilcox’s employment agreement, following the separation of Altisource from Ocwen, Mr. Wilcox’s base salary was converted from US Dollars to Euros at the average exchange rate for US Dollars to Euros for 2009 up to August 24, 2009.</w:t>
      </w:r>
    </w:p>
    <w:p>
      <w:pPr>
        <w:ind w:left="1100" w:right="120" w:hanging="328"/>
        <w:spacing w:after="0" w:line="291" w:lineRule="auto"/>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Includes $16,775 for relocation expenses, $8,585 for housing allowance, $4,900 for 401(k) contributions and $166 for group term life contributions. Mr. Wilcox also has access to a Company car while in Luxembourg.</w:t>
      </w:r>
    </w:p>
    <w:p>
      <w:pPr>
        <w:ind w:left="1100" w:right="80" w:hanging="333"/>
        <w:spacing w:after="0" w:line="291" w:lineRule="auto"/>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All option awards are currently unvested. For further information regarding the vesting of these option awards, see the Outstanding Equity Awards at Fiscal Year End discussion below. Altisource agreed to grant Mr. McRae these option awards in Mr. McRae’s offer of employment dated August 18, 2008.</w:t>
      </w:r>
    </w:p>
    <w:p>
      <w:pPr>
        <w:ind w:left="1100" w:hanging="333"/>
        <w:spacing w:after="0"/>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Includes $601 for 401(k) contributions.</w:t>
      </w:r>
    </w:p>
    <w:p>
      <w:pPr>
        <w:spacing w:after="0" w:line="52" w:lineRule="exact"/>
        <w:rPr>
          <w:rFonts w:ascii="Arial" w:cs="Arial" w:eastAsia="Arial" w:hAnsi="Arial"/>
          <w:sz w:val="13"/>
          <w:szCs w:val="13"/>
          <w:color w:val="auto"/>
        </w:rPr>
      </w:pPr>
    </w:p>
    <w:p>
      <w:pPr>
        <w:ind w:left="1100" w:right="80" w:hanging="333"/>
        <w:spacing w:after="0" w:line="291" w:lineRule="auto"/>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All option awards are currently unvested. For further information regarding the vesting of these option awards, see the Outstanding Equity Awards at Fiscal Year End discussion below. Altisource agreed to grant Mr. Powers these option awards in Mr. Powers’ offer of employment dated December 5, 2008.</w:t>
      </w:r>
    </w:p>
    <w:p>
      <w:pPr>
        <w:ind w:left="1100" w:hanging="333"/>
        <w:spacing w:after="0"/>
        <w:tabs>
          <w:tab w:leader="none" w:pos="11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Includes $159 for group term life contributions.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We have employment agreements with our Chief Executive Officer, Chief Financial Officer and Chief Administration Officer and General Counsel (see discussion above). For more information about the elements of the compensation paid to our named executive officers, see “Compensation Discussion and Analysis” above.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 Based Awards for 2009</w:t>
      </w:r>
    </w:p>
    <w:p>
      <w:pPr>
        <w:spacing w:after="0" w:line="10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following table provides information related to non-equity incentive compensation pursuant to our annual incentive compensation and our 2009 Equity Incentive Plan for services rendered in fiscal year 2009 by the individuals named in the Summary Compensation Table.</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88"/>
              </w:rPr>
              <w:t>Estimated Future Payouts</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Exercise</w:t>
            </w: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89"/>
              </w:rPr>
              <w:t>Estimated Future Payouts Under</w:t>
            </w: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Shares of</w:t>
            </w: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5"/>
          </w:tcPr>
          <w:p>
            <w:pPr>
              <w:jc w:val="center"/>
              <w:spacing w:after="0" w:line="111" w:lineRule="exact"/>
              <w:rPr>
                <w:sz w:val="20"/>
                <w:szCs w:val="20"/>
                <w:color w:val="auto"/>
              </w:rPr>
            </w:pPr>
            <w:r>
              <w:rPr>
                <w:rFonts w:ascii="Arial" w:cs="Arial" w:eastAsia="Arial" w:hAnsi="Arial"/>
                <w:sz w:val="11"/>
                <w:szCs w:val="11"/>
                <w:b w:val="1"/>
                <w:bCs w:val="1"/>
                <w:color w:val="auto"/>
                <w:w w:val="91"/>
              </w:rPr>
              <w:t>Under Non-Equity</w:t>
            </w:r>
          </w:p>
        </w:tc>
        <w:tc>
          <w:tcPr>
            <w:tcW w:w="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Stock or</w:t>
            </w: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4"/>
              </w:rPr>
              <w:t>or Base</w:t>
            </w: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and</w:t>
            </w:r>
          </w:p>
        </w:tc>
        <w:tc>
          <w:tcPr>
            <w:tcW w:w="0" w:type="dxa"/>
            <w:vAlign w:val="bottom"/>
          </w:tcPr>
          <w:p>
            <w:pPr>
              <w:spacing w:after="0"/>
              <w:rPr>
                <w:sz w:val="1"/>
                <w:szCs w:val="1"/>
                <w:color w:val="auto"/>
              </w:rPr>
            </w:pPr>
          </w:p>
        </w:tc>
      </w:tr>
      <w:tr>
        <w:trPr>
          <w:trHeight w:val="128"/>
        </w:trPr>
        <w:tc>
          <w:tcPr>
            <w:tcW w:w="2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1"/>
                <w:szCs w:val="11"/>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Grant</w:t>
            </w: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89"/>
              </w:rPr>
              <w:t>Incentive Plan Awards(1)</w:t>
            </w:r>
          </w:p>
        </w:tc>
        <w:tc>
          <w:tcPr>
            <w:tcW w:w="80" w:type="dxa"/>
            <w:vAlign w:val="bottom"/>
          </w:tcPr>
          <w:p>
            <w:pPr>
              <w:spacing w:after="0"/>
              <w:rPr>
                <w:sz w:val="11"/>
                <w:szCs w:val="11"/>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89"/>
              </w:rPr>
              <w:t>Equity Incentive Plan Awards</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7"/>
              </w:rPr>
              <w:t>Units</w:t>
            </w:r>
          </w:p>
        </w:tc>
        <w:tc>
          <w:tcPr>
            <w:tcW w:w="1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11"/>
        </w:trPr>
        <w:tc>
          <w:tcPr>
            <w:tcW w:w="2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2"/>
              </w:rPr>
              <w:t>Date</w:t>
            </w:r>
          </w:p>
        </w:tc>
        <w:tc>
          <w:tcPr>
            <w:tcW w:w="1800" w:type="dxa"/>
            <w:vAlign w:val="bottom"/>
            <w:gridSpan w:val="5"/>
          </w:tcPr>
          <w:p>
            <w:pPr>
              <w:jc w:val="center"/>
              <w:spacing w:after="0" w:line="111" w:lineRule="exact"/>
              <w:rPr>
                <w:sz w:val="20"/>
                <w:szCs w:val="20"/>
                <w:color w:val="auto"/>
              </w:rPr>
            </w:pPr>
            <w:r>
              <w:rPr>
                <w:rFonts w:ascii="Arial" w:cs="Arial" w:eastAsia="Arial" w:hAnsi="Arial"/>
                <w:sz w:val="11"/>
                <w:szCs w:val="11"/>
                <w:b w:val="1"/>
                <w:bCs w:val="1"/>
                <w:color w:val="auto"/>
              </w:rPr>
              <w:t>Threshold   Target   Maximum</w:t>
            </w:r>
          </w:p>
        </w:tc>
        <w:tc>
          <w:tcPr>
            <w:tcW w:w="80" w:type="dxa"/>
            <w:vAlign w:val="bottom"/>
          </w:tcPr>
          <w:p>
            <w:pPr>
              <w:spacing w:after="0"/>
              <w:rPr>
                <w:sz w:val="9"/>
                <w:szCs w:val="9"/>
                <w:color w:val="auto"/>
              </w:rPr>
            </w:pPr>
          </w:p>
        </w:tc>
        <w:tc>
          <w:tcPr>
            <w:tcW w:w="1840" w:type="dxa"/>
            <w:vAlign w:val="bottom"/>
            <w:gridSpan w:val="5"/>
          </w:tcPr>
          <w:p>
            <w:pPr>
              <w:jc w:val="center"/>
              <w:spacing w:after="0" w:line="111" w:lineRule="exact"/>
              <w:rPr>
                <w:sz w:val="20"/>
                <w:szCs w:val="20"/>
                <w:color w:val="auto"/>
              </w:rPr>
            </w:pPr>
            <w:r>
              <w:rPr>
                <w:rFonts w:ascii="Arial" w:cs="Arial" w:eastAsia="Arial" w:hAnsi="Arial"/>
                <w:sz w:val="11"/>
                <w:szCs w:val="11"/>
                <w:b w:val="1"/>
                <w:bCs w:val="1"/>
                <w:color w:val="auto"/>
              </w:rPr>
              <w:t>Threshold    Target   Maximum</w:t>
            </w:r>
          </w:p>
        </w:tc>
        <w:tc>
          <w:tcPr>
            <w:tcW w:w="100" w:type="dxa"/>
            <w:vAlign w:val="bottom"/>
          </w:tcPr>
          <w:p>
            <w:pPr>
              <w:spacing w:after="0"/>
              <w:rPr>
                <w:sz w:val="9"/>
                <w:szCs w:val="9"/>
                <w:color w:val="auto"/>
              </w:rPr>
            </w:pPr>
          </w:p>
        </w:tc>
        <w:tc>
          <w:tcPr>
            <w:tcW w:w="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Awards</w:t>
            </w: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of Option</w:t>
            </w:r>
          </w:p>
        </w:tc>
        <w:tc>
          <w:tcPr>
            <w:tcW w:w="10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William B. Shepro</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920" w:type="dxa"/>
            <w:vAlign w:val="bottom"/>
            <w:gridSpan w:val="2"/>
          </w:tcPr>
          <w:p>
            <w:pPr>
              <w:spacing w:after="0"/>
              <w:rPr>
                <w:sz w:val="20"/>
                <w:szCs w:val="20"/>
                <w:color w:val="auto"/>
              </w:rPr>
            </w:pPr>
            <w:r>
              <w:rPr>
                <w:rFonts w:ascii="Arial" w:cs="Arial" w:eastAsia="Arial" w:hAnsi="Arial"/>
                <w:sz w:val="13"/>
                <w:szCs w:val="13"/>
                <w:color w:val="auto"/>
              </w:rPr>
              <w:t>Robert D. Stiles</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8,333</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16,666</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8,333</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1"/>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Kevin J. Wilcox</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920" w:type="dxa"/>
            <w:vAlign w:val="bottom"/>
            <w:gridSpan w:val="2"/>
          </w:tcPr>
          <w:p>
            <w:pPr>
              <w:spacing w:after="0"/>
              <w:rPr>
                <w:sz w:val="20"/>
                <w:szCs w:val="20"/>
                <w:color w:val="auto"/>
              </w:rPr>
            </w:pPr>
            <w:r>
              <w:rPr>
                <w:rFonts w:ascii="Arial" w:cs="Arial" w:eastAsia="Arial" w:hAnsi="Arial"/>
                <w:sz w:val="13"/>
                <w:szCs w:val="13"/>
                <w:color w:val="auto"/>
              </w:rPr>
              <w:t>John T. McRae II</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20,000</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40,000</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3"/>
                <w:szCs w:val="13"/>
                <w:color w:val="auto"/>
              </w:rPr>
              <w:t>20,000</w:t>
            </w:r>
          </w:p>
        </w:tc>
        <w:tc>
          <w:tcPr>
            <w:tcW w:w="960" w:type="dxa"/>
            <w:vAlign w:val="bottom"/>
            <w:gridSpan w:val="2"/>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tcPr>
          <w:p>
            <w:pPr>
              <w:jc w:val="right"/>
              <w:ind w:right="124"/>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1"/>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D. Powers</w:t>
            </w:r>
          </w:p>
        </w:tc>
        <w:tc>
          <w:tcPr>
            <w:tcW w:w="5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8,333</w:t>
            </w:r>
          </w:p>
        </w:tc>
        <w:tc>
          <w:tcPr>
            <w:tcW w:w="96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shd w:val="clear" w:color="auto" w:fill="CCEEFF"/>
          </w:tcPr>
          <w:p>
            <w:pPr>
              <w:jc w:val="right"/>
              <w:ind w:right="124"/>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16,666</w:t>
            </w:r>
          </w:p>
        </w:tc>
        <w:tc>
          <w:tcPr>
            <w:tcW w:w="96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shd w:val="clear" w:color="auto" w:fill="CCEEFF"/>
          </w:tcPr>
          <w:p>
            <w:pPr>
              <w:jc w:val="right"/>
              <w:ind w:right="124"/>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8,333</w:t>
            </w:r>
          </w:p>
        </w:tc>
        <w:tc>
          <w:tcPr>
            <w:tcW w:w="96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$14.15</w:t>
            </w:r>
          </w:p>
        </w:tc>
        <w:tc>
          <w:tcPr>
            <w:tcW w:w="720" w:type="dxa"/>
            <w:vAlign w:val="bottom"/>
            <w:gridSpan w:val="2"/>
            <w:shd w:val="clear" w:color="auto" w:fill="CCEEFF"/>
          </w:tcPr>
          <w:p>
            <w:pPr>
              <w:jc w:val="right"/>
              <w:ind w:right="124"/>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-1228090</wp:posOffset>
            </wp:positionV>
            <wp:extent cx="190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1000" w:right="100" w:hanging="266"/>
        <w:spacing w:after="0" w:line="267"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These figures represent the potential non-equity compensation that may have been earned by each respective executive officer in 2009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2009 is set forth in the “Non-Equity Incentive Plan Compensation” column of the Summary Compensation Table above.</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regarding outstanding equity awards at December 31, 2009 for the individuals named in the Summary Compensation Table.</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9"/>
                <w:szCs w:val="9"/>
                <w:b w:val="1"/>
                <w:bCs w:val="1"/>
                <w:color w:val="auto"/>
              </w:rPr>
              <w:t>Option Awards</w:t>
            </w: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4"/>
          </w:tcPr>
          <w:p>
            <w:pPr>
              <w:ind w:left="260"/>
              <w:spacing w:after="0"/>
              <w:rPr>
                <w:sz w:val="20"/>
                <w:szCs w:val="20"/>
                <w:color w:val="auto"/>
              </w:rPr>
            </w:pPr>
            <w:r>
              <w:rPr>
                <w:rFonts w:ascii="Arial" w:cs="Arial" w:eastAsia="Arial" w:hAnsi="Arial"/>
                <w:sz w:val="9"/>
                <w:szCs w:val="9"/>
                <w:b w:val="1"/>
                <w:bCs w:val="1"/>
                <w:color w:val="auto"/>
              </w:rPr>
              <w:t>Stock Awards</w:t>
            </w: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jc w:val="center"/>
              <w:spacing w:after="0" w:line="78" w:lineRule="exact"/>
              <w:rPr>
                <w:sz w:val="20"/>
                <w:szCs w:val="20"/>
                <w:color w:val="auto"/>
              </w:rPr>
            </w:pPr>
            <w:r>
              <w:rPr>
                <w:rFonts w:ascii="Arial" w:cs="Arial" w:eastAsia="Arial" w:hAnsi="Arial"/>
                <w:sz w:val="9"/>
                <w:szCs w:val="9"/>
                <w:b w:val="1"/>
                <w:bCs w:val="1"/>
                <w:color w:val="auto"/>
              </w:rPr>
              <w:t>Equity</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rPr>
              <w:t>Equity</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4"/>
              </w:rPr>
              <w:t>Equity</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Incentive</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rPr>
              <w:t>Plan</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7"/>
              </w:rPr>
              <w:t>Incentive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rPr>
              <w:t>Market</w:t>
            </w:r>
          </w:p>
        </w:tc>
        <w:tc>
          <w:tcPr>
            <w:tcW w:w="7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4"/>
              </w:rPr>
              <w:t>Plan</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89"/>
              </w:rPr>
              <w:t>Awards:</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4"/>
              </w:rPr>
              <w:t>Plan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6"/>
              </w:rPr>
              <w:t>Value of</w:t>
            </w:r>
          </w:p>
        </w:tc>
        <w:tc>
          <w:tcPr>
            <w:tcW w:w="7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5"/>
              </w:rPr>
              <w:t>Awards:</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rPr>
              <w:t>Market</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9"/>
              </w:rPr>
              <w:t>Number</w:t>
            </w:r>
          </w:p>
        </w:tc>
        <w:tc>
          <w:tcPr>
            <w:tcW w:w="100" w:type="dxa"/>
            <w:vAlign w:val="bottom"/>
          </w:tcPr>
          <w:p>
            <w:pPr>
              <w:spacing w:after="0"/>
              <w:rPr>
                <w:sz w:val="8"/>
                <w:szCs w:val="8"/>
                <w:color w:val="auto"/>
              </w:rPr>
            </w:pPr>
          </w:p>
        </w:tc>
        <w:tc>
          <w:tcPr>
            <w:tcW w:w="740" w:type="dxa"/>
            <w:vAlign w:val="bottom"/>
            <w:gridSpan w:val="3"/>
          </w:tcPr>
          <w:p>
            <w:pPr>
              <w:jc w:val="center"/>
              <w:ind w:right="140"/>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5"/>
              </w:rPr>
              <w:t>Awards:</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7"/>
              </w:rPr>
              <w:t>Number of</w:t>
            </w:r>
          </w:p>
        </w:tc>
        <w:tc>
          <w:tcPr>
            <w:tcW w:w="66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Shares or</w:t>
            </w:r>
          </w:p>
        </w:tc>
        <w:tc>
          <w:tcPr>
            <w:tcW w:w="7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9"/>
              </w:rPr>
              <w:t>Number</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6"/>
              </w:rPr>
              <w:t>or Payout</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3"/>
              </w:rPr>
              <w:t>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2"/>
              </w:rPr>
              <w:t>Securities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9"/>
              </w:rPr>
              <w:t>Number</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91"/>
              </w:rPr>
              <w:t>Shares or</w:t>
            </w: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89"/>
              </w:rPr>
              <w:t>Units of</w:t>
            </w:r>
          </w:p>
        </w:tc>
        <w:tc>
          <w:tcPr>
            <w:tcW w:w="78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5"/>
              </w:rPr>
              <w:t>of Unearned</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8"/>
              </w:rPr>
              <w:t>Securities</w:t>
            </w:r>
          </w:p>
        </w:tc>
        <w:tc>
          <w:tcPr>
            <w:tcW w:w="100" w:type="dxa"/>
            <w:vAlign w:val="bottom"/>
          </w:tcPr>
          <w:p>
            <w:pPr>
              <w:spacing w:after="0"/>
              <w:rPr>
                <w:sz w:val="8"/>
                <w:szCs w:val="8"/>
                <w:color w:val="auto"/>
              </w:rPr>
            </w:pPr>
          </w:p>
        </w:tc>
        <w:tc>
          <w:tcPr>
            <w:tcW w:w="740" w:type="dxa"/>
            <w:vAlign w:val="bottom"/>
            <w:gridSpan w:val="3"/>
          </w:tcPr>
          <w:p>
            <w:pPr>
              <w:jc w:val="center"/>
              <w:ind w:right="140"/>
              <w:spacing w:after="0" w:line="101" w:lineRule="exact"/>
              <w:rPr>
                <w:sz w:val="20"/>
                <w:szCs w:val="20"/>
                <w:color w:val="auto"/>
              </w:rPr>
            </w:pPr>
            <w:r>
              <w:rPr>
                <w:rFonts w:ascii="Arial" w:cs="Arial" w:eastAsia="Arial" w:hAnsi="Arial"/>
                <w:sz w:val="9"/>
                <w:szCs w:val="9"/>
                <w:b w:val="1"/>
                <w:bCs w:val="1"/>
                <w:color w:val="auto"/>
                <w:w w:val="93"/>
              </w:rPr>
              <w:t>Underlying</w:t>
            </w:r>
          </w:p>
        </w:tc>
        <w:tc>
          <w:tcPr>
            <w:tcW w:w="200" w:type="dxa"/>
            <w:vAlign w:val="bottom"/>
          </w:tcPr>
          <w:p>
            <w:pPr>
              <w:spacing w:after="0"/>
              <w:rPr>
                <w:sz w:val="8"/>
                <w:szCs w:val="8"/>
                <w:color w:val="auto"/>
              </w:rPr>
            </w:pPr>
          </w:p>
        </w:tc>
        <w:tc>
          <w:tcPr>
            <w:tcW w:w="74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92"/>
              </w:rPr>
              <w:t>of Securities</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5"/>
              </w:rPr>
              <w:t>Units of</w:t>
            </w: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89"/>
              </w:rPr>
              <w:t>Stock</w:t>
            </w: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Shares</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6"/>
              </w:rPr>
              <w:t>Unearned</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7"/>
              </w:rPr>
              <w:t>Underlying</w:t>
            </w:r>
          </w:p>
        </w:tc>
        <w:tc>
          <w:tcPr>
            <w:tcW w:w="100" w:type="dxa"/>
            <w:vAlign w:val="bottom"/>
          </w:tcPr>
          <w:p>
            <w:pPr>
              <w:spacing w:after="0"/>
              <w:rPr>
                <w:sz w:val="8"/>
                <w:szCs w:val="8"/>
                <w:color w:val="auto"/>
              </w:rPr>
            </w:pPr>
          </w:p>
        </w:tc>
        <w:tc>
          <w:tcPr>
            <w:tcW w:w="740" w:type="dxa"/>
            <w:vAlign w:val="bottom"/>
            <w:gridSpan w:val="3"/>
          </w:tcPr>
          <w:p>
            <w:pPr>
              <w:jc w:val="center"/>
              <w:ind w:right="140"/>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74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4"/>
              </w:rPr>
              <w:t>That</w:t>
            </w: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rPr>
              <w:t>That</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3"/>
              </w:rPr>
              <w:t>Shares</w:t>
            </w: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Unexercised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74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Unexercised</w:t>
            </w:r>
          </w:p>
        </w:tc>
        <w:tc>
          <w:tcPr>
            <w:tcW w:w="200" w:type="dxa"/>
            <w:vAlign w:val="bottom"/>
          </w:tcPr>
          <w:p>
            <w:pPr>
              <w:spacing w:after="0"/>
              <w:rPr>
                <w:sz w:val="8"/>
                <w:szCs w:val="8"/>
                <w:color w:val="auto"/>
              </w:rPr>
            </w:pPr>
          </w:p>
        </w:tc>
        <w:tc>
          <w:tcPr>
            <w:tcW w:w="580" w:type="dxa"/>
            <w:vAlign w:val="bottom"/>
            <w:gridSpan w:val="3"/>
          </w:tcPr>
          <w:p>
            <w:pPr>
              <w:jc w:val="center"/>
              <w:ind w:right="180"/>
              <w:spacing w:after="0" w:line="101" w:lineRule="exact"/>
              <w:rPr>
                <w:sz w:val="20"/>
                <w:szCs w:val="20"/>
                <w:color w:val="auto"/>
              </w:rPr>
            </w:pPr>
            <w:r>
              <w:rPr>
                <w:rFonts w:ascii="Arial" w:cs="Arial" w:eastAsia="Arial" w:hAnsi="Arial"/>
                <w:sz w:val="9"/>
                <w:szCs w:val="9"/>
                <w:b w:val="1"/>
                <w:bCs w:val="1"/>
                <w:color w:val="auto"/>
                <w:w w:val="96"/>
              </w:rPr>
              <w:t>Option</w:t>
            </w:r>
          </w:p>
        </w:tc>
        <w:tc>
          <w:tcPr>
            <w:tcW w:w="76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96"/>
              </w:rPr>
              <w:t>Option</w:t>
            </w:r>
          </w:p>
        </w:tc>
        <w:tc>
          <w:tcPr>
            <w:tcW w:w="70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rPr>
              <w:t>That</w:t>
            </w:r>
          </w:p>
        </w:tc>
        <w:tc>
          <w:tcPr>
            <w:tcW w:w="80" w:type="dxa"/>
            <w:vAlign w:val="bottom"/>
          </w:tcPr>
          <w:p>
            <w:pPr>
              <w:spacing w:after="0"/>
              <w:rPr>
                <w:sz w:val="8"/>
                <w:szCs w:val="8"/>
                <w:color w:val="auto"/>
              </w:rPr>
            </w:pPr>
          </w:p>
        </w:tc>
        <w:tc>
          <w:tcPr>
            <w:tcW w:w="58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rPr>
              <w:t>Have</w:t>
            </w: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Have</w:t>
            </w:r>
          </w:p>
        </w:tc>
        <w:tc>
          <w:tcPr>
            <w:tcW w:w="8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rPr>
              <w:t>That</w:t>
            </w:r>
          </w:p>
        </w:tc>
        <w:tc>
          <w:tcPr>
            <w:tcW w:w="0" w:type="dxa"/>
            <w:vAlign w:val="bottom"/>
          </w:tcPr>
          <w:p>
            <w:pPr>
              <w:spacing w:after="0"/>
              <w:rPr>
                <w:sz w:val="1"/>
                <w:szCs w:val="1"/>
                <w:color w:val="auto"/>
              </w:rPr>
            </w:pPr>
          </w:p>
        </w:tc>
      </w:tr>
      <w:tr>
        <w:trPr>
          <w:trHeight w:val="111"/>
        </w:trPr>
        <w:tc>
          <w:tcPr>
            <w:tcW w:w="290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9"/>
                <w:szCs w:val="9"/>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3"/>
              </w:rPr>
              <w:t>Options</w:t>
            </w:r>
          </w:p>
        </w:tc>
        <w:tc>
          <w:tcPr>
            <w:tcW w:w="100" w:type="dxa"/>
            <w:vAlign w:val="bottom"/>
          </w:tcPr>
          <w:p>
            <w:pPr>
              <w:spacing w:after="0"/>
              <w:rPr>
                <w:sz w:val="9"/>
                <w:szCs w:val="9"/>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5"/>
              </w:rPr>
              <w:t>Unexercis-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6"/>
              </w:rPr>
              <w:t>Unearned</w:t>
            </w:r>
          </w:p>
        </w:tc>
        <w:tc>
          <w:tcPr>
            <w:tcW w:w="200" w:type="dxa"/>
            <w:vAlign w:val="bottom"/>
          </w:tcPr>
          <w:p>
            <w:pPr>
              <w:spacing w:after="0"/>
              <w:rPr>
                <w:sz w:val="9"/>
                <w:szCs w:val="9"/>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9"/>
                <w:szCs w:val="9"/>
                <w:b w:val="1"/>
                <w:bCs w:val="1"/>
                <w:color w:val="auto"/>
                <w:w w:val="91"/>
              </w:rPr>
              <w:t>Exercise</w:t>
            </w: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Expiration</w:t>
            </w:r>
          </w:p>
        </w:tc>
        <w:tc>
          <w:tcPr>
            <w:tcW w:w="7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Have Not</w:t>
            </w:r>
          </w:p>
        </w:tc>
        <w:tc>
          <w:tcPr>
            <w:tcW w:w="8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3"/>
              </w:rPr>
              <w:t>Not</w:t>
            </w:r>
          </w:p>
        </w:tc>
        <w:tc>
          <w:tcPr>
            <w:tcW w:w="7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3"/>
              </w:rPr>
              <w:t>Not</w:t>
            </w:r>
          </w:p>
        </w:tc>
        <w:tc>
          <w:tcPr>
            <w:tcW w:w="8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2"/>
              </w:rPr>
              <w:t>Have Not</w:t>
            </w:r>
          </w:p>
        </w:tc>
        <w:tc>
          <w:tcPr>
            <w:tcW w:w="0" w:type="dxa"/>
            <w:vAlign w:val="bottom"/>
          </w:tcPr>
          <w:p>
            <w:pPr>
              <w:spacing w:after="0"/>
              <w:rPr>
                <w:sz w:val="1"/>
                <w:szCs w:val="1"/>
                <w:color w:val="auto"/>
              </w:rPr>
            </w:pPr>
          </w:p>
        </w:tc>
      </w:tr>
      <w:tr>
        <w:trPr>
          <w:trHeight w:val="114"/>
        </w:trPr>
        <w:tc>
          <w:tcPr>
            <w:tcW w:w="2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Exercisable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8"/>
              </w:rPr>
              <w:t>able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0"/>
              </w:rPr>
              <w:t>Price</w:t>
            </w:r>
          </w:p>
        </w:tc>
        <w:tc>
          <w:tcPr>
            <w:tcW w:w="7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Date</w:t>
            </w:r>
          </w:p>
        </w:tc>
        <w:tc>
          <w:tcPr>
            <w:tcW w:w="7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7"/>
              </w:rPr>
              <w:t>Vested</w:t>
            </w:r>
          </w:p>
        </w:tc>
        <w:tc>
          <w:tcPr>
            <w:tcW w:w="8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7"/>
              </w:rPr>
              <w:t>Vested</w:t>
            </w:r>
          </w:p>
        </w:tc>
        <w:tc>
          <w:tcPr>
            <w:tcW w:w="7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7"/>
              </w:rPr>
              <w:t>Vested</w:t>
            </w:r>
          </w:p>
        </w:tc>
        <w:tc>
          <w:tcPr>
            <w:tcW w:w="8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4"/>
              </w:rPr>
              <w:t>Vested</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9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William B. Shepro</w:t>
            </w:r>
          </w:p>
        </w:tc>
        <w:tc>
          <w:tcPr>
            <w:tcW w:w="82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11"/>
                <w:szCs w:val="11"/>
                <w:color w:val="auto"/>
              </w:rPr>
              <w:t>3,276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8.83</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1/31/2011</w:t>
            </w:r>
          </w:p>
        </w:tc>
        <w:tc>
          <w:tcPr>
            <w:tcW w:w="7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11"/>
                <w:szCs w:val="11"/>
                <w:color w:val="auto"/>
              </w:rPr>
              <w:t>469(1)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11"/>
                <w:szCs w:val="11"/>
                <w:color w:val="auto"/>
              </w:rPr>
              <w:t>12,133</w:t>
            </w: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13,334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14.97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10/31/2011</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4,866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6.91</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1/31/2012</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6,577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8.35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1/31/2012</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679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2.23</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1/31/2013</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7,018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3 35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1/31/2013</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1,993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7.37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1/31/2014</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7,969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12.80</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12,051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9.59</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1/31/2015</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10,584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2,646(2)</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11.50</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1/31/2016</w:t>
            </w: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7,567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1,892(3)</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14.17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5/10/2017</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68,750(4)</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34,375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103,125(5)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17,188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51,563(6)</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900" w:type="dxa"/>
            <w:vAlign w:val="bottom"/>
          </w:tcPr>
          <w:p>
            <w:pPr>
              <w:spacing w:after="0" w:line="98" w:lineRule="exact"/>
              <w:rPr>
                <w:sz w:val="20"/>
                <w:szCs w:val="20"/>
                <w:color w:val="auto"/>
              </w:rPr>
            </w:pPr>
            <w:r>
              <w:rPr>
                <w:rFonts w:ascii="Arial" w:cs="Arial" w:eastAsia="Arial" w:hAnsi="Arial"/>
                <w:sz w:val="11"/>
                <w:szCs w:val="11"/>
                <w:color w:val="auto"/>
              </w:rPr>
              <w:t>Robert D. Stiles</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8,333(7)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9/22/2019</w:t>
            </w:r>
          </w:p>
        </w:tc>
        <w:tc>
          <w:tcPr>
            <w:tcW w:w="700" w:type="dxa"/>
            <w:vAlign w:val="bottom"/>
            <w:gridSpan w:val="2"/>
          </w:tcPr>
          <w:p>
            <w:pPr>
              <w:jc w:val="right"/>
              <w:ind w:right="220"/>
              <w:spacing w:after="0" w:line="98"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60"/>
              <w:spacing w:after="0" w:line="98" w:lineRule="exact"/>
              <w:rPr>
                <w:sz w:val="20"/>
                <w:szCs w:val="20"/>
                <w:color w:val="auto"/>
              </w:rPr>
            </w:pPr>
            <w:r>
              <w:rPr>
                <w:rFonts w:ascii="Arial" w:cs="Arial" w:eastAsia="Arial" w:hAnsi="Arial"/>
                <w:sz w:val="11"/>
                <w:szCs w:val="11"/>
                <w:color w:val="auto"/>
              </w:rPr>
              <w:t>—</w:t>
            </w:r>
          </w:p>
        </w:tc>
        <w:tc>
          <w:tcPr>
            <w:tcW w:w="780" w:type="dxa"/>
            <w:vAlign w:val="bottom"/>
            <w:gridSpan w:val="2"/>
          </w:tcPr>
          <w:p>
            <w:pPr>
              <w:ind w:left="480"/>
              <w:spacing w:after="0" w:line="98"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80"/>
              <w:spacing w:after="0" w:line="9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4"/>
          </w:tcPr>
          <w:p>
            <w:pPr>
              <w:jc w:val="right"/>
              <w:spacing w:after="0" w:line="111" w:lineRule="exact"/>
              <w:rPr>
                <w:sz w:val="20"/>
                <w:szCs w:val="20"/>
                <w:color w:val="auto"/>
              </w:rPr>
            </w:pPr>
            <w:r>
              <w:rPr>
                <w:rFonts w:ascii="Arial" w:cs="Arial" w:eastAsia="Arial" w:hAnsi="Arial"/>
                <w:sz w:val="11"/>
                <w:szCs w:val="11"/>
                <w:color w:val="auto"/>
              </w:rPr>
              <w:t>8,333(8)</w:t>
            </w:r>
          </w:p>
        </w:tc>
        <w:tc>
          <w:tcPr>
            <w:tcW w:w="2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9/22/2019</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780" w:type="dxa"/>
            <w:vAlign w:val="bottom"/>
            <w:gridSpan w:val="2"/>
          </w:tcPr>
          <w:p>
            <w:pPr>
              <w:ind w:left="480"/>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jc w:val="right"/>
              <w:spacing w:after="0" w:line="124" w:lineRule="exact"/>
              <w:rPr>
                <w:sz w:val="20"/>
                <w:szCs w:val="20"/>
                <w:color w:val="auto"/>
              </w:rPr>
            </w:pPr>
            <w:r>
              <w:rPr>
                <w:rFonts w:ascii="Arial" w:cs="Arial" w:eastAsia="Arial" w:hAnsi="Arial"/>
                <w:sz w:val="11"/>
                <w:szCs w:val="11"/>
                <w:color w:val="auto"/>
              </w:rPr>
              <w:t>16,667(9)</w:t>
            </w:r>
          </w:p>
        </w:tc>
        <w:tc>
          <w:tcPr>
            <w:tcW w:w="2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9/22/2019</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780" w:type="dxa"/>
            <w:vAlign w:val="bottom"/>
            <w:gridSpan w:val="2"/>
          </w:tcPr>
          <w:p>
            <w:pPr>
              <w:ind w:left="480"/>
              <w:spacing w:after="0" w:line="124"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80"/>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Kevin J. Wilcox</w:t>
            </w:r>
          </w:p>
        </w:tc>
        <w:tc>
          <w:tcPr>
            <w:tcW w:w="82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11"/>
                <w:szCs w:val="11"/>
                <w:color w:val="auto"/>
              </w:rPr>
              <w:t>788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8.83</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1/31/2011</w:t>
            </w:r>
          </w:p>
        </w:tc>
        <w:tc>
          <w:tcPr>
            <w:tcW w:w="70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11"/>
                <w:szCs w:val="11"/>
                <w:color w:val="auto"/>
              </w:rPr>
              <w:t>5,459(1)</w:t>
            </w: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13,334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14.97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10/31/2011</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3,217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6.91</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1/31/2012</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2,144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8.35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1/31/2012</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1,766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2.23</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1/31/2013</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2,649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3 35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1/31/2013</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749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7.37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1/31/2014</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2,996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12.80</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4,798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9.59</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1/31/2015</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4,758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1,190(2)</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11.50</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1/31/2016</w:t>
            </w: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6,504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1,626(3)</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14.17</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5/10/2017</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51,667(4)</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25,834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77,500(5)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12,917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38,750(6)</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9.55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7/14/2018</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900" w:type="dxa"/>
            <w:vAlign w:val="bottom"/>
          </w:tcPr>
          <w:p>
            <w:pPr>
              <w:spacing w:after="0" w:line="98" w:lineRule="exact"/>
              <w:rPr>
                <w:sz w:val="20"/>
                <w:szCs w:val="20"/>
                <w:color w:val="auto"/>
              </w:rPr>
            </w:pPr>
            <w:r>
              <w:rPr>
                <w:rFonts w:ascii="Arial" w:cs="Arial" w:eastAsia="Arial" w:hAnsi="Arial"/>
                <w:sz w:val="11"/>
                <w:szCs w:val="11"/>
                <w:color w:val="auto"/>
              </w:rPr>
              <w:t>John T. McRae II</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20"/>
              <w:spacing w:after="0" w:line="98" w:lineRule="exact"/>
              <w:rPr>
                <w:sz w:val="20"/>
                <w:szCs w:val="20"/>
                <w:color w:val="auto"/>
              </w:rPr>
            </w:pPr>
            <w:r>
              <w:rPr>
                <w:rFonts w:ascii="Arial" w:cs="Arial" w:eastAsia="Arial" w:hAnsi="Arial"/>
                <w:sz w:val="11"/>
                <w:szCs w:val="11"/>
                <w:color w:val="auto"/>
              </w:rPr>
              <w:t>20,000(7)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98" w:lineRule="exact"/>
              <w:rPr>
                <w:sz w:val="20"/>
                <w:szCs w:val="20"/>
                <w:color w:val="auto"/>
              </w:rPr>
            </w:pPr>
            <w:r>
              <w:rPr>
                <w:rFonts w:ascii="Arial" w:cs="Arial" w:eastAsia="Arial" w:hAnsi="Arial"/>
                <w:sz w:val="11"/>
                <w:szCs w:val="11"/>
                <w:color w:val="auto"/>
              </w:rPr>
              <w:t>9/22/2019</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4"/>
          </w:tcPr>
          <w:p>
            <w:pPr>
              <w:jc w:val="right"/>
              <w:spacing w:after="0" w:line="111" w:lineRule="exact"/>
              <w:rPr>
                <w:sz w:val="20"/>
                <w:szCs w:val="20"/>
                <w:color w:val="auto"/>
              </w:rPr>
            </w:pPr>
            <w:r>
              <w:rPr>
                <w:rFonts w:ascii="Arial" w:cs="Arial" w:eastAsia="Arial" w:hAnsi="Arial"/>
                <w:sz w:val="11"/>
                <w:szCs w:val="11"/>
                <w:color w:val="auto"/>
              </w:rPr>
              <w:t>40,000(8)</w:t>
            </w:r>
          </w:p>
        </w:tc>
        <w:tc>
          <w:tcPr>
            <w:tcW w:w="2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9/22/2019</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ind w:left="480"/>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jc w:val="right"/>
              <w:spacing w:after="0" w:line="124" w:lineRule="exact"/>
              <w:rPr>
                <w:sz w:val="20"/>
                <w:szCs w:val="20"/>
                <w:color w:val="auto"/>
              </w:rPr>
            </w:pPr>
            <w:r>
              <w:rPr>
                <w:rFonts w:ascii="Arial" w:cs="Arial" w:eastAsia="Arial" w:hAnsi="Arial"/>
                <w:sz w:val="11"/>
                <w:szCs w:val="11"/>
                <w:color w:val="auto"/>
              </w:rPr>
              <w:t>20,000(9)</w:t>
            </w:r>
          </w:p>
        </w:tc>
        <w:tc>
          <w:tcPr>
            <w:tcW w:w="2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14.55</w:t>
            </w: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9/22/2019</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ind w:left="480"/>
              <w:spacing w:after="0" w:line="124"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80"/>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9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Richard D. Powers</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11"/>
                <w:szCs w:val="11"/>
                <w:color w:val="auto"/>
              </w:rPr>
              <w:t>8,333(7)</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14.55</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1"/>
                <w:szCs w:val="11"/>
                <w:color w:val="auto"/>
              </w:rPr>
              <w:t>9/22/2019</w:t>
            </w:r>
          </w:p>
        </w:tc>
        <w:tc>
          <w:tcPr>
            <w:tcW w:w="70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80"/>
              <w:spacing w:after="0" w:line="98"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380"/>
              <w:spacing w:after="0" w:line="9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2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4"/>
            <w:shd w:val="clear" w:color="auto" w:fill="CCEEFF"/>
          </w:tcPr>
          <w:p>
            <w:pPr>
              <w:jc w:val="right"/>
              <w:spacing w:after="0" w:line="111" w:lineRule="exact"/>
              <w:rPr>
                <w:sz w:val="20"/>
                <w:szCs w:val="20"/>
                <w:color w:val="auto"/>
              </w:rPr>
            </w:pPr>
            <w:r>
              <w:rPr>
                <w:rFonts w:ascii="Arial" w:cs="Arial" w:eastAsia="Arial" w:hAnsi="Arial"/>
                <w:sz w:val="11"/>
                <w:szCs w:val="11"/>
                <w:color w:val="auto"/>
              </w:rPr>
              <w:t>8,333(8)</w:t>
            </w:r>
          </w:p>
        </w:tc>
        <w:tc>
          <w:tcPr>
            <w:tcW w:w="2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14.55</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9/22/2019</w:t>
            </w: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80"/>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3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4"/>
            <w:shd w:val="clear" w:color="auto" w:fill="CCEEFF"/>
          </w:tcPr>
          <w:p>
            <w:pPr>
              <w:jc w:val="right"/>
              <w:spacing w:after="0" w:line="124" w:lineRule="exact"/>
              <w:rPr>
                <w:sz w:val="20"/>
                <w:szCs w:val="20"/>
                <w:color w:val="auto"/>
              </w:rPr>
            </w:pPr>
            <w:r>
              <w:rPr>
                <w:rFonts w:ascii="Arial" w:cs="Arial" w:eastAsia="Arial" w:hAnsi="Arial"/>
                <w:sz w:val="11"/>
                <w:szCs w:val="11"/>
                <w:color w:val="auto"/>
              </w:rPr>
              <w:t>16,667(9)</w:t>
            </w:r>
          </w:p>
        </w:tc>
        <w:tc>
          <w:tcPr>
            <w:tcW w:w="2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14.55</w:t>
            </w: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9/22/2019</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80"/>
              <w:spacing w:after="0" w:line="12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380"/>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-2110740</wp:posOffset>
            </wp:positionV>
            <wp:extent cx="921385" cy="492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1385" cy="49276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-914400</wp:posOffset>
            </wp:positionV>
            <wp:extent cx="921385" cy="492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1385" cy="49276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-2635250</wp:posOffset>
            </wp:positionV>
            <wp:extent cx="190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hanging="266"/>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Shares vest January 1, 2010.</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Options vest January 31, 2010.</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Options vest December 31, 2010.</w:t>
      </w:r>
    </w:p>
    <w:p>
      <w:pPr>
        <w:spacing w:after="0" w:line="52" w:lineRule="exact"/>
        <w:rPr>
          <w:rFonts w:ascii="Arial" w:cs="Arial" w:eastAsia="Arial" w:hAnsi="Arial"/>
          <w:sz w:val="13"/>
          <w:szCs w:val="13"/>
          <w:color w:val="auto"/>
        </w:rPr>
      </w:pPr>
    </w:p>
    <w:p>
      <w:pPr>
        <w:ind w:left="1000" w:right="180" w:hanging="266"/>
        <w:spacing w:after="0" w:line="291"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25% of options vest upon Altisource achieving a stock price of $28.64 and an annual rate of return of 25% over the exercise price with the balance vesting 25% each subsequent anniversary thereof.</w:t>
      </w:r>
    </w:p>
    <w:p>
      <w:pPr>
        <w:ind w:left="1000" w:hanging="266"/>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Options vest in three (3) equal installments on December 23, 2010, December 23, 2011 and December 23 2012.</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Options vest in three (3) equal installments on July 14, 2010, July 14, 2011 and July 14, 2012.</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hanging="266"/>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Options vest in four (4) equal installments on September 22, 2010, September 22, 2011, September 22, 2012 and September 22, 2013.</w:t>
      </w:r>
    </w:p>
    <w:p>
      <w:pPr>
        <w:spacing w:after="0" w:line="52" w:lineRule="exact"/>
        <w:rPr>
          <w:rFonts w:ascii="Arial" w:cs="Arial" w:eastAsia="Arial" w:hAnsi="Arial"/>
          <w:sz w:val="13"/>
          <w:szCs w:val="13"/>
          <w:color w:val="auto"/>
        </w:rPr>
      </w:pPr>
    </w:p>
    <w:p>
      <w:pPr>
        <w:ind w:left="1000" w:hanging="266"/>
        <w:spacing w:after="0" w:line="291"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25% of options vests upon Altisource achieving a stock price of $28.30 and an annual rate of return of 20% over the exercise price with the balance vesting 25% each subsequent year.</w:t>
      </w:r>
    </w:p>
    <w:p>
      <w:pPr>
        <w:ind w:left="1000" w:hanging="266"/>
        <w:spacing w:after="0" w:line="294"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25% of options vests upon Altisource achieving a stock price of $42.45 and an annual rate of return of 25% over the exercise price with the balance vesting 25% each subsequent anniversary thereof.</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 Exercises and Stock Vested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year 2009, none of the individuals named in the Summary Compensation Table realized any amounts on the exercise of options or the vesting of restricted stock.</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the Compensation Committee</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Compensation Committee of the Board of Directors has reviewed and discussed the Compensation Discussion and Analysis included on pages 14 through 29 of this proxy statement with management.</w:t>
      </w:r>
    </w:p>
    <w:p>
      <w:pPr>
        <w:spacing w:after="0" w:line="47"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Based on the review and discussion, the Compensation Committee recommends to the Board of Directors that the Compensation Discussion and Analysis be included in Altisource’s annual report on Form 10-K for the year ended December 31, 2009 and in this proxy statement.</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Compensation Committee:</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Robert DeNormandie, Chairman</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Timo Vättö, Director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Roland Müller-Ineichen , Director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7, 2010</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APPOINTMENT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INDEPENDENT REGISTERED CERTIFIED PUBLIC ACCOUNTING FIRM</w:t>
      </w:r>
    </w:p>
    <w:p>
      <w:pPr>
        <w:spacing w:after="0" w:line="16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Two)</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Audit Committee of our Board of Directors has appointed Deloitte &amp; Touche LLP, independent registered certified public accountants, to be our independent registered certified public accounting firm for the year ending December 31, 2010 and to be our certified auditor for the Luxembourg statutory accounts described below. The Audit Committee has further directed that such appointment be submitted for approval by our shareholders at the Annual Meeting. If the shareholders do not approve the appointment of Deloitte &amp; Touche LLP, the Audit Committee may, in its sole discretion, reevaluate the engagement of the independent auditors.</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Representatives of Deloitte &amp; Touche LLP will be present at the Annual Meeting, will be given the opportunity to make a statement, if they so desire, and will be available to respond to appropriate questions from you.</w:t>
      </w:r>
    </w:p>
    <w:p>
      <w:pPr>
        <w:spacing w:after="0" w:line="85" w:lineRule="exact"/>
        <w:rPr>
          <w:sz w:val="20"/>
          <w:szCs w:val="20"/>
          <w:color w:val="auto"/>
        </w:rPr>
      </w:pPr>
    </w:p>
    <w:p>
      <w:pPr>
        <w:jc w:val="center"/>
        <w:ind w:left="940" w:right="240"/>
        <w:spacing w:after="0" w:line="297" w:lineRule="auto"/>
        <w:rPr>
          <w:sz w:val="20"/>
          <w:szCs w:val="20"/>
          <w:color w:val="auto"/>
        </w:rPr>
      </w:pPr>
      <w:r>
        <w:rPr>
          <w:rFonts w:ascii="Arial" w:cs="Arial" w:eastAsia="Arial" w:hAnsi="Arial"/>
          <w:sz w:val="13"/>
          <w:szCs w:val="13"/>
          <w:b w:val="1"/>
          <w:bCs w:val="1"/>
          <w:color w:val="auto"/>
        </w:rPr>
        <w:t>OUR BOARD OF DIRECTORS UNANIMOUSLY RECOMMENDS THAT YOU VOTE “FOR” THE APPOINTMENT OF DELOITTE &amp; TOUCHE LLP AS THE INDEPENDENT REGISTERED CERTIFIED PUBLIC ACCOUNTING FIRM FOR 2010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the Audit Committee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Audit Committee of the Board of Directors has:</w:t>
      </w:r>
    </w:p>
    <w:p>
      <w:pPr>
        <w:spacing w:after="0" w:line="102" w:lineRule="exact"/>
        <w:rPr>
          <w:sz w:val="20"/>
          <w:szCs w:val="20"/>
          <w:color w:val="auto"/>
        </w:rPr>
      </w:pPr>
    </w:p>
    <w:p>
      <w:pPr>
        <w:ind w:left="1300" w:hanging="208"/>
        <w:spacing w:after="0"/>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Reviewed and discussed with management Altisource’s audited financial statements as of and for the year ended December 31, 2009;</w:t>
      </w:r>
    </w:p>
    <w:p>
      <w:pPr>
        <w:spacing w:after="0" w:line="92" w:lineRule="exact"/>
        <w:rPr>
          <w:rFonts w:ascii="Arial" w:cs="Arial" w:eastAsia="Arial" w:hAnsi="Arial"/>
          <w:sz w:val="13"/>
          <w:szCs w:val="13"/>
          <w:color w:val="auto"/>
        </w:rPr>
      </w:pPr>
    </w:p>
    <w:p>
      <w:pPr>
        <w:ind w:left="1300" w:right="120" w:hanging="208"/>
        <w:spacing w:after="0" w:line="294"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Discussed with Deloitte &amp; Touche LLP, Altisource’s independent registered certified public accounting firm, the matters required to be discussed by Statement on Auditing Standards No. 61, “Communication with Audit Committees” and</w:t>
      </w:r>
    </w:p>
    <w:p>
      <w:pPr>
        <w:spacing w:after="0" w:line="36" w:lineRule="exact"/>
        <w:rPr>
          <w:rFonts w:ascii="Arial" w:cs="Arial" w:eastAsia="Arial" w:hAnsi="Arial"/>
          <w:sz w:val="13"/>
          <w:szCs w:val="13"/>
          <w:color w:val="auto"/>
        </w:rPr>
      </w:pPr>
    </w:p>
    <w:p>
      <w:pPr>
        <w:ind w:left="1300" w:right="260" w:hanging="208"/>
        <w:spacing w:after="0" w:line="276"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59"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In reliance on the review and discussion referred to above, the Committee recommends to the Board of Directors that the audited financial statements be included in Altisource’s annual report on Form 10-K for the year ended December 31, 2009.</w:t>
      </w:r>
    </w:p>
    <w:p>
      <w:pPr>
        <w:spacing w:after="0" w:line="45"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Audit Committee:</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Roland Müller-Ineichen, Chairman</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Robert L. DeNormandie, Director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Timo Vättö, Director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7, 2010</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Deloitte &amp; Touche LLP Fees</w:t>
      </w:r>
    </w:p>
    <w:p>
      <w:pPr>
        <w:spacing w:after="0" w:line="104"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Because Altisource was a subsidiary of Ocwen prior to Altisource separating from Ocwen on August 10, 2009, Altisource did not hire or pay any fees to an independent registered certified public accounting firm in fiscal year 2008. Consequently, only the information for fiscal year 2009 is set forth below.</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 the aggregate fees billed to Altisource for professional services by Deloitte &amp; Touche LLP in fiscal year 2009:</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9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11"/>
                <w:szCs w:val="11"/>
                <w:color w:val="auto"/>
              </w:rPr>
            </w:pPr>
          </w:p>
        </w:tc>
      </w:tr>
      <w:tr>
        <w:trPr>
          <w:trHeight w:val="30"/>
        </w:trPr>
        <w:tc>
          <w:tcPr>
            <w:tcW w:w="9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Audit Fees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525,000</w:t>
            </w:r>
          </w:p>
        </w:tc>
      </w:tr>
      <w:tr>
        <w:trPr>
          <w:trHeight w:val="161"/>
        </w:trPr>
        <w:tc>
          <w:tcPr>
            <w:tcW w:w="9200" w:type="dxa"/>
            <w:vAlign w:val="bottom"/>
          </w:tcPr>
          <w:p>
            <w:pPr>
              <w:spacing w:after="0"/>
              <w:rPr>
                <w:sz w:val="20"/>
                <w:szCs w:val="20"/>
                <w:color w:val="auto"/>
              </w:rPr>
            </w:pPr>
            <w:r>
              <w:rPr>
                <w:rFonts w:ascii="Arial" w:cs="Arial" w:eastAsia="Arial" w:hAnsi="Arial"/>
                <w:sz w:val="13"/>
                <w:szCs w:val="13"/>
                <w:b w:val="1"/>
                <w:bCs w:val="1"/>
                <w:color w:val="auto"/>
              </w:rPr>
              <w:t>Audit Related Fees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 Fees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r>
      <w:tr>
        <w:trPr>
          <w:trHeight w:val="161"/>
        </w:trPr>
        <w:tc>
          <w:tcPr>
            <w:tcW w:w="9200" w:type="dxa"/>
            <w:vAlign w:val="bottom"/>
          </w:tcPr>
          <w:p>
            <w:pPr>
              <w:spacing w:after="0"/>
              <w:rPr>
                <w:sz w:val="20"/>
                <w:szCs w:val="20"/>
                <w:color w:val="auto"/>
              </w:rPr>
            </w:pPr>
            <w:r>
              <w:rPr>
                <w:rFonts w:ascii="Arial" w:cs="Arial" w:eastAsia="Arial" w:hAnsi="Arial"/>
                <w:sz w:val="13"/>
                <w:szCs w:val="13"/>
                <w:b w:val="1"/>
                <w:bCs w:val="1"/>
                <w:color w:val="auto"/>
              </w:rPr>
              <w:t>All Other Fees</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4"/>
                <w:szCs w:val="14"/>
                <w:color w:val="auto"/>
              </w:rPr>
            </w:pPr>
          </w:p>
        </w:tc>
      </w:tr>
      <w:tr>
        <w:trPr>
          <w:trHeight w:val="161"/>
        </w:trPr>
        <w:tc>
          <w:tcPr>
            <w:tcW w:w="92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525,000</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i w:val="1"/>
          <w:iCs w:val="1"/>
          <w:color w:val="auto"/>
        </w:rPr>
        <w:t xml:space="preserve">Changes in Independent Registered Certified Public Accounting Firm. </w:t>
      </w:r>
      <w:r>
        <w:rPr>
          <w:rFonts w:ascii="Arial" w:cs="Arial" w:eastAsia="Arial" w:hAnsi="Arial"/>
          <w:sz w:val="13"/>
          <w:szCs w:val="13"/>
          <w:color w:val="auto"/>
        </w:rPr>
        <w:t>Prior to Altisource’s separation from Ocwen on August 10, 2009, the independent public accounting firm</w:t>
      </w:r>
      <w:r>
        <w:rPr>
          <w:rFonts w:ascii="Arial" w:cs="Arial" w:eastAsia="Arial" w:hAnsi="Arial"/>
          <w:sz w:val="13"/>
          <w:szCs w:val="13"/>
          <w:i w:val="1"/>
          <w:iCs w:val="1"/>
          <w:color w:val="auto"/>
        </w:rPr>
        <w:t xml:space="preserve"> </w:t>
      </w:r>
      <w:r>
        <w:rPr>
          <w:rFonts w:ascii="Arial" w:cs="Arial" w:eastAsia="Arial" w:hAnsi="Arial"/>
          <w:sz w:val="13"/>
          <w:szCs w:val="13"/>
          <w:color w:val="auto"/>
        </w:rPr>
        <w:t>for Ocwen was PricewaterhouseCoopers LLP. On September 22, 2009, at the initial meeting of the Board of Directors of Altisource following the separation from Ocwen, the Board of Directors engaged Deloitte &amp; Touche LLP as Altisource’s independent registered public accounting firm for the year ending December 31, 2009, subject to the completion of their customary client acceptance procedures.</w:t>
      </w:r>
    </w:p>
    <w:p>
      <w:pPr>
        <w:spacing w:after="0" w:line="63"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report of PricewaterhouseCoopers LLP on Ocwen’s consolidated financial statements for each of the two years in the period ended December 31, 2008, which was included in Ocwen’s 2008 Annual Report on Form 10-K, did not contain any adverse opinion or disclaimer of opinion, nor was such report qualified or modified as to uncertainty, audit scope or accounting principle.</w:t>
      </w:r>
    </w:p>
    <w:p>
      <w:pPr>
        <w:spacing w:after="0" w:line="59" w:lineRule="exact"/>
        <w:rPr>
          <w:sz w:val="20"/>
          <w:szCs w:val="20"/>
          <w:color w:val="auto"/>
        </w:rPr>
      </w:pPr>
    </w:p>
    <w:p>
      <w:pPr>
        <w:ind w:left="680" w:right="120" w:firstLine="399"/>
        <w:spacing w:after="0" w:line="299" w:lineRule="auto"/>
        <w:rPr>
          <w:sz w:val="20"/>
          <w:szCs w:val="20"/>
          <w:color w:val="auto"/>
        </w:rPr>
      </w:pPr>
      <w:r>
        <w:rPr>
          <w:rFonts w:ascii="Arial" w:cs="Arial" w:eastAsia="Arial" w:hAnsi="Arial"/>
          <w:sz w:val="12"/>
          <w:szCs w:val="12"/>
          <w:color w:val="auto"/>
        </w:rPr>
        <w:t>During each of the two years in the period ended December 31, 2008 and through August 10, 2009 (the date Altisource separated from Ocwen), there were no (i) disagreements between Ocwen and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the disagreements in connection with its reports on the financial statements for such years, and (ii) “reportable events” as defined in Item 304(a)(1)(v) of Regulation S-K.</w:t>
      </w:r>
    </w:p>
    <w:p>
      <w:pPr>
        <w:spacing w:after="0" w:line="48"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During each of the two years in the period ended December 31, 2008 and through August 10, 2009, neither the Company nor anyone on its behalf consulted with Deloitte &amp; Touche LLP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&amp; Touche LLP to the Company that Deloitte &amp; Touche LLP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6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Ocwen requested that PricewaterhouseCoopers LLP furnish Ocwen with a letter addressed to the Securities Exchange Commission stating whether or not PricewaterhouseCoopers LLP agrees with the above statements that are related to PricewaterhouseCoopers LLP. A copy of PricewaterhouseCoopers LLP’s letter, dated September 3, 2009, is attached to that certain Current Report on Form 8-K filed by Ocwen on September 3, 2009.</w:t>
      </w:r>
    </w:p>
    <w:p>
      <w:pPr>
        <w:spacing w:after="0" w:line="59"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i w:val="1"/>
          <w:iCs w:val="1"/>
          <w:color w:val="auto"/>
        </w:rPr>
        <w:t xml:space="preserve">Audit Fees. </w:t>
      </w:r>
      <w:r>
        <w:rPr>
          <w:rFonts w:ascii="Arial" w:cs="Arial" w:eastAsia="Arial" w:hAnsi="Arial"/>
          <w:sz w:val="13"/>
          <w:szCs w:val="13"/>
          <w:color w:val="auto"/>
        </w:rPr>
        <w:t>This category includes the aggregate fees billed for professional services rendered for the audits of Altisource’s consolidated financial statements for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2009, for the reviews of the financial statements included in Altisource’s quarterly reports on Form 10-Q during fiscal year 2009 and for services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2"/>
          <w:szCs w:val="12"/>
          <w:color w:val="auto"/>
        </w:rPr>
        <w:t>that are normally provided by the independent registered certified public accounting firm in connection with statutory and regulatory filings or engagements for the relevant fiscal year.</w:t>
      </w:r>
    </w:p>
    <w:p>
      <w:pPr>
        <w:spacing w:after="0" w:line="11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i w:val="1"/>
          <w:iCs w:val="1"/>
          <w:color w:val="auto"/>
        </w:rPr>
        <w:t xml:space="preserve">Audit-Related Fees. </w:t>
      </w:r>
      <w:r>
        <w:rPr>
          <w:rFonts w:ascii="Arial" w:cs="Arial" w:eastAsia="Arial" w:hAnsi="Arial"/>
          <w:sz w:val="12"/>
          <w:szCs w:val="12"/>
          <w:color w:val="auto"/>
        </w:rPr>
        <w:t>This category includes the aggregate fees billed for fiscal year 2009 for assurance and related services by the independent registered certified public</w:t>
      </w:r>
      <w:r>
        <w:rPr>
          <w:rFonts w:ascii="Arial" w:cs="Arial" w:eastAsia="Arial" w:hAnsi="Arial"/>
          <w:sz w:val="12"/>
          <w:szCs w:val="12"/>
          <w:i w:val="1"/>
          <w:iCs w:val="1"/>
          <w:color w:val="auto"/>
        </w:rPr>
        <w:t xml:space="preserve"> </w:t>
      </w:r>
      <w:r>
        <w:rPr>
          <w:rFonts w:ascii="Arial" w:cs="Arial" w:eastAsia="Arial" w:hAnsi="Arial"/>
          <w:sz w:val="12"/>
          <w:szCs w:val="12"/>
          <w:color w:val="auto"/>
        </w:rPr>
        <w:t>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41"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This category includes the aggregate fees billed for fiscal year 2009 for professional services rendered by the independent registered certified public accounting firm</w:t>
      </w:r>
      <w:r>
        <w:rPr>
          <w:rFonts w:ascii="Arial" w:cs="Arial" w:eastAsia="Arial" w:hAnsi="Arial"/>
          <w:sz w:val="13"/>
          <w:szCs w:val="13"/>
          <w:i w:val="1"/>
          <w:iCs w:val="1"/>
          <w:color w:val="auto"/>
        </w:rPr>
        <w:t xml:space="preserve"> </w:t>
      </w:r>
      <w:r>
        <w:rPr>
          <w:rFonts w:ascii="Arial" w:cs="Arial" w:eastAsia="Arial" w:hAnsi="Arial"/>
          <w:sz w:val="13"/>
          <w:szCs w:val="13"/>
          <w:color w:val="auto"/>
        </w:rPr>
        <w:t>for tax compliance, tax planning and tax advice.</w:t>
      </w:r>
    </w:p>
    <w:p>
      <w:pPr>
        <w:spacing w:after="0" w:line="47"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i w:val="1"/>
          <w:iCs w:val="1"/>
          <w:color w:val="auto"/>
        </w:rPr>
        <w:t xml:space="preserve">All Other Fees. </w:t>
      </w:r>
      <w:r>
        <w:rPr>
          <w:rFonts w:ascii="Arial" w:cs="Arial" w:eastAsia="Arial" w:hAnsi="Arial"/>
          <w:sz w:val="13"/>
          <w:szCs w:val="13"/>
          <w:color w:val="auto"/>
        </w:rPr>
        <w:t>This category includes the aggregate fees billed for fiscal year 2009 for products and services provided by the independent registered certified public accounting</w:t>
      </w:r>
      <w:r>
        <w:rPr>
          <w:rFonts w:ascii="Arial" w:cs="Arial" w:eastAsia="Arial" w:hAnsi="Arial"/>
          <w:sz w:val="13"/>
          <w:szCs w:val="13"/>
          <w:i w:val="1"/>
          <w:iCs w:val="1"/>
          <w:color w:val="auto"/>
        </w:rPr>
        <w:t xml:space="preserve"> </w:t>
      </w:r>
      <w:r>
        <w:rPr>
          <w:rFonts w:ascii="Arial" w:cs="Arial" w:eastAsia="Arial" w:hAnsi="Arial"/>
          <w:sz w:val="13"/>
          <w:szCs w:val="13"/>
          <w:color w:val="auto"/>
        </w:rPr>
        <w:t>firm that are not reported above under “Audit Fees,” “Audit-Related Fees” or “Tax Fees.”</w:t>
      </w:r>
    </w:p>
    <w:p>
      <w:pPr>
        <w:spacing w:after="0" w:line="47"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Audit Committee considered the compatibility of the non-audit-related services provided by and fees paid to Deloitte &amp; Touche LLP in 2009 and determined that such services and fees are compatible with the independence of Deloitte &amp; Touche LLP.</w:t>
      </w:r>
    </w:p>
    <w:p>
      <w:pPr>
        <w:spacing w:after="0" w:line="47"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2009, all fees associated with the independent registered certified public accounting firm’s services were pre-approved by the Audit Committee.</w:t>
      </w:r>
    </w:p>
    <w:p>
      <w:pPr>
        <w:spacing w:after="0" w:line="22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APPROVAL AND RATIFICATION OF SHARE REPURCHASE PROGRAM</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Three)</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Board of Directors has approved a proposal to submit to the shareholders of Altisource a share repurchase program (the “Share Repurchase Program”) whereby the Board of Directors of Altisource is empowered to purchase outstanding shares of the Company’s stock within certain limits. The Share Repurchase Program shall be subject to Luxembourg law and provide for equal treatment for shareholders. The term of authorization to the Board of Directors will be five (5) years. The maximum number of shares authorized to be repurchased will be up to fifteen percent (15%) of shares outstanding as of the date of shareholder approval (shares previously purchased by Altisource from Ocwen shall not apply against this maximum number). Shares are eligible for purchase at a minimum price of one dollar ($1.00) per share and a maximum price of seventy-five dollars ($75.00) per share. The purchase volumes will be subject to daily volume restrictions per SEC regulations. The Board of Directors shall be empowered to give authority to the Company’s Chief Executive Officer to decide within the limits of the authorization set out above, the timing and conditions of the share repurchase program</w:t>
      </w:r>
    </w:p>
    <w:p>
      <w:pPr>
        <w:spacing w:after="0" w:line="5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In lieu of accumulating cash, which provides a low rate of return to shareholders, or paying dividends, which are often subject to double taxation, the Board of Directors believes the Share Repurchase Program will be an effective use of Altisource’s cash earnings to generate shareholder value.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left="920"/>
        <w:spacing w:after="0" w:line="297" w:lineRule="auto"/>
        <w:rPr>
          <w:sz w:val="20"/>
          <w:szCs w:val="20"/>
          <w:color w:val="auto"/>
        </w:rPr>
      </w:pPr>
      <w:r>
        <w:rPr>
          <w:rFonts w:ascii="Arial" w:cs="Arial" w:eastAsia="Arial" w:hAnsi="Arial"/>
          <w:sz w:val="13"/>
          <w:szCs w:val="13"/>
          <w:b w:val="1"/>
          <w:bCs w:val="1"/>
          <w:color w:val="auto"/>
        </w:rPr>
        <w:t>OUR BOARD OF DIRECTORS UNANIMOUSLY RECOMMENDS THAT YOU VOTE “FOR” THE APPROVAL AND RATIFICATION OF THE SHARE REPURCHASE PROGRAM</w:t>
      </w:r>
    </w:p>
    <w:p>
      <w:pPr>
        <w:spacing w:after="0" w:line="23" w:lineRule="exact"/>
        <w:rPr>
          <w:sz w:val="20"/>
          <w:szCs w:val="20"/>
          <w:color w:val="auto"/>
        </w:rPr>
      </w:pPr>
    </w:p>
    <w:p>
      <w:pPr>
        <w:jc w:val="center"/>
        <w:ind w:left="900" w:right="320"/>
        <w:spacing w:after="0" w:line="297" w:lineRule="auto"/>
        <w:rPr>
          <w:sz w:val="20"/>
          <w:szCs w:val="20"/>
          <w:color w:val="auto"/>
        </w:rPr>
      </w:pPr>
      <w:r>
        <w:rPr>
          <w:rFonts w:ascii="Arial" w:cs="Arial" w:eastAsia="Arial" w:hAnsi="Arial"/>
          <w:sz w:val="13"/>
          <w:szCs w:val="13"/>
          <w:b w:val="1"/>
          <w:bCs w:val="1"/>
          <w:color w:val="auto"/>
        </w:rPr>
        <w:t>RECEIPT OF THE DIRECTORS’ REPORTS (“RAPPORTS DE GESTION”) ON THE LUXEMBOURG STATUTORY ACCOUNTS FOR THE YEARS ENDED DECEMBER 31, 2009, DECEMBER 31, 2008 AND DECEMBER 31, 2007 (THE “DIRECTORS’ REPORTS”)</w:t>
      </w:r>
    </w:p>
    <w:p>
      <w:pPr>
        <w:spacing w:after="0" w:line="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Four)</w:t>
      </w:r>
    </w:p>
    <w:p>
      <w:pPr>
        <w:spacing w:after="0" w:line="74"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Altisource was incorporated under the laws of Luxembourg on November 4, 1999 as Ocwen Luxembourg S.àr.l., renamed Altisource Portfolio Solutions S.à r.l. on May 12, 2009 and converted into Altisource Portfolio Solutions S.A. on June 5, 2009. Consequently, the Directors’ Reports described below for the years ended December 31, 2008 and December 31, 2007 relate to Ocwen Luxembourg S.ár.l.</w:t>
      </w:r>
    </w:p>
    <w:p>
      <w:pPr>
        <w:spacing w:after="0" w:line="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further described in Proposal Five below, Luxembourg law requires that we maintain Luxembourg statutory accounts for Altisource. Under Luxembourg law, the Board of Directors has a legal obligation to prepare an annual Directors’ Report that presents the Luxembourg statutory account figures for the relevant fiscal year, provides an explanation as to the results, and makes a proposal to the shareholders of Altisource as to the allocation of such results for such fiscal year. This Directors’ Report must be available to and approved by the shareholders of Altisource at the annual general meeting. Altisource’s Directors’ Reports for the years ended December 31, 2009, December 31, 2008 and December 31, 2007 will be available from April 15, 2010 at Altisource’s registered office. Following shareholder approval of the Directors Reports, these documents will be filed with the Luxembourg trade registry as a public document. If Altisource does not receive shareholder approval of the Directors’ Reports, we cannot make this filing with the Luxembourg trade registry that is required by Luxembourg law.</w:t>
      </w:r>
    </w:p>
    <w:p>
      <w:pPr>
        <w:spacing w:after="0" w:line="147" w:lineRule="exact"/>
        <w:rPr>
          <w:sz w:val="20"/>
          <w:szCs w:val="20"/>
          <w:color w:val="auto"/>
        </w:rPr>
      </w:pPr>
    </w:p>
    <w:p>
      <w:pPr>
        <w:jc w:val="center"/>
        <w:ind w:left="900" w:right="300"/>
        <w:spacing w:after="0" w:line="297" w:lineRule="auto"/>
        <w:rPr>
          <w:sz w:val="20"/>
          <w:szCs w:val="20"/>
          <w:color w:val="auto"/>
        </w:rPr>
      </w:pPr>
      <w:r>
        <w:rPr>
          <w:rFonts w:ascii="Arial" w:cs="Arial" w:eastAsia="Arial" w:hAnsi="Arial"/>
          <w:sz w:val="13"/>
          <w:szCs w:val="13"/>
          <w:b w:val="1"/>
          <w:bCs w:val="1"/>
          <w:color w:val="auto"/>
        </w:rPr>
        <w:t>OUR BOARD OF DIRECTORS UNANIMOUSLY RECOMMENDS THAT YOU VOTE “FOR” THE APPROVAL AND RATIFICATION OF THE DIRECTORS’ REPORTS FOR THE YEARS ENDED DECEMBER 31, 2009, DECEMBER 31, 2008 AND DECEMBER 31, 2007</w:t>
      </w:r>
    </w:p>
    <w:p>
      <w:pPr>
        <w:spacing w:after="0" w:line="23" w:lineRule="exact"/>
        <w:rPr>
          <w:sz w:val="20"/>
          <w:szCs w:val="20"/>
          <w:color w:val="auto"/>
        </w:rPr>
      </w:pPr>
    </w:p>
    <w:p>
      <w:pPr>
        <w:jc w:val="center"/>
        <w:ind w:left="920" w:right="60"/>
        <w:spacing w:after="0" w:line="290" w:lineRule="auto"/>
        <w:rPr>
          <w:sz w:val="20"/>
          <w:szCs w:val="20"/>
          <w:color w:val="auto"/>
        </w:rPr>
      </w:pPr>
      <w:r>
        <w:rPr>
          <w:rFonts w:ascii="Arial" w:cs="Arial" w:eastAsia="Arial" w:hAnsi="Arial"/>
          <w:sz w:val="13"/>
          <w:szCs w:val="13"/>
          <w:b w:val="1"/>
          <w:bCs w:val="1"/>
          <w:color w:val="auto"/>
        </w:rPr>
        <w:t>APPROVAL OF THE LUXEMBOURG STATUTORY ACCOUNTS FOR THE YEARS ENDED DECEMBER 31, 2009, DECEMBER 31, 2008 AND DECEMBER 31, 2007 AND ALLOCATION OF THE RESULTS OF THE YEARS ENDED DECEMBER 31, 2009, DECEMBER 31, 2008 AND DECEMBER 31, 2007</w:t>
      </w:r>
    </w:p>
    <w:p>
      <w:pPr>
        <w:spacing w:after="0" w:line="28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Five)</w:t>
      </w:r>
    </w:p>
    <w:p>
      <w:pPr>
        <w:spacing w:after="0" w:line="7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Altisource was incorporated under the laws of Luxembourg on November 4, 1999 as Ocwen Luxembourg S.àr.l., renamed Altisource Portfolio Solutions S.à r.l. on May 12, 2009 and converted into Altisource Portfolio Solutions S.A. on June 5, 2009. Consequently, the description of the Luxembourg statutory accounts set forth below for the years ending December 31, 2008 and December 31, 2007 relate to Ocwen Luxembourg S.ár.l.</w:t>
      </w:r>
    </w:p>
    <w:p>
      <w:pPr>
        <w:spacing w:after="0" w:line="28"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Pursuant to Luxembourg law, the Luxembourg statutory accounts must be submitted each year to the general meeting of the shareholders for approval. These Luxembourg statutory accounts are prepared in accordance with Luxembourg GAAP and consist of a balance sheet, a profit and loss account and the notes to the Luxembourg statutory accounts. There is no statement of movements in equity or statement of cash flow included in the Luxembourg statutory accounts under Luxembourg GAAP; consequently, profits earned by the subsidiaries of Altisource are not included in Altisource’s Luxembourg statutory accounts unless such amounts are distributed to Altisource.</w:t>
      </w:r>
    </w:p>
    <w:p>
      <w:pPr>
        <w:spacing w:after="0" w:line="28"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shareholders of Altisource must ratify the allocation of the results of the Luxembourg statutory accounts of Altisource each year. Luxembourg law requires that at least five percent (5%) of the net profits, if any, for the Luxembourg statutory accounts be apportioned to a legal reserve; provided, however that this allocation shall cease to be compulsory under Luxembourg law when the reserve attains 10% of the share capital of Altisource but shall again become compulsory as soon as the reserve amount falls below this threshold. Following shareholder approval of the Luxembourg statutory accounts, the Directors Reports described in Proposal Four above will be filed with the Luxembourg trade registry as a public document. If Altisource does not receive shareholder approval of the Luxembourg statutory accounts, we cannot make this filing with the Luxembourg trade registry that is required by Luxembourg law.</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Board of Directors proposes to carry forward the results of Altisource as set forth below.</w:t>
      </w:r>
    </w:p>
    <w:p>
      <w:pPr>
        <w:spacing w:after="0" w:line="8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For the fiscal year ended December 31, 2009, the Luxembourg statutory accounts for Altisource show a balance sheet total of US $34,041,000 and a loss for the year of US $57,080. Of this amount, the loss of $57,080 is proposed to be carried forward. As noted earlier, profits earned by subsidiaries of Altisource are not included in the calculation of net profits for Altisource’s Luxembourg statutory accounts unless such profits have been distributed to Altisource.</w:t>
      </w:r>
    </w:p>
    <w:p>
      <w:pPr>
        <w:spacing w:after="0" w:line="28"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For the fiscal year ended December 31, 2008, the Luxembourg statutory accounts for Altisource Portfolio Solutions S.A. show a balance sheet total of EUR 9,769,771.75 and a profit for the year of EUR 136,049.45. This profit amount is proposed to be carried forward.</w:t>
      </w:r>
    </w:p>
    <w:p>
      <w:pPr>
        <w:spacing w:after="0" w:line="17"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For the fiscal year ended December 31, 2007, the Luxembourg statutory accounts for Altisource Portfolio Solutions S.A. show a balance sheet total of EUR 9,613,570.61 and a profit for the year of EUR 3,177,480.46. This profit amount is proposed to be carried forward.</w:t>
      </w:r>
    </w:p>
    <w:p>
      <w:pPr>
        <w:spacing w:after="0" w:line="27"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Altisource’s Luxembourg statutory accounts for the years ended December 31, 2009, December 31, 2008 and December 31, 2007 will be available from March 31, 2010 at Altisource’s registered office.</w:t>
      </w:r>
    </w:p>
    <w:p>
      <w:pPr>
        <w:spacing w:after="0" w:line="1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BOARD OF DIRECTORS UNANIMOUSLY RECOMMENDS THAT YOU VOTE “FOR” THE APPROVAL OF THE LUXEMBOURG STATUTORY ACCOUNTS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 THE YEARS ENDED DECEMBER 31, 2009, DECEMBER 31, 2008 AND DECEMBER 31, 2007 AND ALLOCATION OF THE RESULTS OF THE YEARS ENDED</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DECEMBER 31, 2009, DECEMBER 31, 2008 AND</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DECEMBER 31, 2007</w:t>
      </w:r>
    </w:p>
    <w:p>
      <w:pPr>
        <w:spacing w:after="0" w:line="6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DISCHARGE OF EACH OF THE CURRENT AND PAST DIRECTORS OF ALTISOURCE FOR THE PERFORMANCE OF THEIR MANDATE DURING THE YEAR</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ENDED DECEMBER 31, 2009</w:t>
      </w:r>
    </w:p>
    <w:p>
      <w:pPr>
        <w:spacing w:after="0" w:line="9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Six)</w:t>
      </w:r>
    </w:p>
    <w:p>
      <w:pPr>
        <w:spacing w:after="0" w:line="7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Five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position. Furthermore, such discharge will not be valid with respect to any acts taken by a Director which fall outside the scope of Altisource’s Articles of Association unless such actions have been disclosed to the shareholders and approved by them. For fiscal year 2009, Altisource believes none of the Directors have taken any actions outside the scope of Altisource’s Articles of Association.</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fiscal year ended December 31, 2009, the following persons served as Directors:</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William C. Erbey;</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William B. Shepro;</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Roland Müller-Ineichen;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Timo Vättö and</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Robert L. de Normandie.</w:t>
      </w:r>
    </w:p>
    <w:p>
      <w:pPr>
        <w:spacing w:after="0" w:line="171" w:lineRule="exact"/>
        <w:rPr>
          <w:sz w:val="20"/>
          <w:szCs w:val="20"/>
          <w:color w:val="auto"/>
        </w:rPr>
      </w:pPr>
    </w:p>
    <w:p>
      <w:pPr>
        <w:jc w:val="center"/>
        <w:ind w:left="920" w:right="340"/>
        <w:spacing w:after="0" w:line="297" w:lineRule="auto"/>
        <w:rPr>
          <w:sz w:val="20"/>
          <w:szCs w:val="20"/>
          <w:color w:val="auto"/>
        </w:rPr>
      </w:pPr>
      <w:r>
        <w:rPr>
          <w:rFonts w:ascii="Arial" w:cs="Arial" w:eastAsia="Arial" w:hAnsi="Arial"/>
          <w:sz w:val="13"/>
          <w:szCs w:val="13"/>
          <w:b w:val="1"/>
          <w:bCs w:val="1"/>
          <w:color w:val="auto"/>
        </w:rPr>
        <w:t>OUR BOARD OF DIRECTORS UNANIMOUSLY RECOMMENDS THAT YOU VOTE “FOR” THE DISCHARGE OF EACH OF THE CURRENT AND PAST DIRECTORS OF ALTISOURCE FOR THE PERFORMANCE OF THEIR MANDATE DURING THE YEAR ENDED DECEMBER 31, 2009</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BUSINESS RELATIONSHIPS AND RELATED TRANSACTIONS</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Board has adopted a policy and procedure for review, approval and monitoring of transactions involving Altisource and related persons (Directors and executive officers or their immediate family members or shareholders owning five percent (5%) or greater of the Company’s outstanding stock) within our written Code of Business Conduct and Ethics which is available at www.altisource.com.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63"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SHAREHOLDER PROPOSALS</w:t>
      </w:r>
    </w:p>
    <w:p>
      <w:pPr>
        <w:spacing w:after="0" w:line="104" w:lineRule="exact"/>
        <w:rPr>
          <w:sz w:val="20"/>
          <w:szCs w:val="20"/>
          <w:color w:val="auto"/>
        </w:rPr>
      </w:pPr>
    </w:p>
    <w:p>
      <w:pPr>
        <w:jc w:val="both"/>
        <w:ind w:left="680" w:firstLine="399"/>
        <w:spacing w:after="0" w:line="270" w:lineRule="auto"/>
        <w:rPr>
          <w:sz w:val="20"/>
          <w:szCs w:val="20"/>
          <w:color w:val="auto"/>
        </w:rPr>
      </w:pPr>
      <w:r>
        <w:rPr>
          <w:rFonts w:ascii="Arial" w:cs="Arial" w:eastAsia="Arial" w:hAnsi="Arial"/>
          <w:sz w:val="13"/>
          <w:szCs w:val="13"/>
          <w:color w:val="auto"/>
        </w:rPr>
        <w:t>Any proposal which a shareholder desires to have included in our proxy materials relating to our next Annual Meeting of Shareholders, which is scheduled to be held on May 18, 2011, must be received at our executive offices no later than December 1, 2010. All shareholder proposals for the 2011 Annual Meeting should be directed to our Corporate Secretary at Altisource Portfolio Solutions S.A., 2, rue Jean Bertholet, L-1233 Luxembourg, Grand Duchy of Luxembourg. We recommend that you send any shareholder proposal by certified mail, return-receipt requested.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any proposal that is not submitted for inclusion in the 2011 proxy statement, but is instead sought to be presented directly at the 2011 Annual Meeting, Securities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Exchange Commission rules permit management to vote proxies in its discretion if we:</w:t>
      </w:r>
    </w:p>
    <w:p>
      <w:pPr>
        <w:spacing w:after="0" w:line="92" w:lineRule="exact"/>
        <w:rPr>
          <w:sz w:val="20"/>
          <w:szCs w:val="20"/>
          <w:color w:val="auto"/>
        </w:rPr>
      </w:pPr>
    </w:p>
    <w:p>
      <w:pPr>
        <w:ind w:left="1080" w:firstLine="390"/>
        <w:spacing w:after="0" w:line="294" w:lineRule="auto"/>
        <w:tabs>
          <w:tab w:leader="none" w:pos="1653"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receive notice of the proposal before the close of business on February 13, 2011 and advise shareholders in the 2011 proxy statement about the nature of the matter and how management intends to vote on such matter or</w:t>
      </w:r>
    </w:p>
    <w:p>
      <w:pPr>
        <w:spacing w:after="0" w:line="46" w:lineRule="exact"/>
        <w:rPr>
          <w:rFonts w:ascii="Arial" w:cs="Arial" w:eastAsia="Arial" w:hAnsi="Arial"/>
          <w:sz w:val="13"/>
          <w:szCs w:val="13"/>
          <w:color w:val="auto"/>
        </w:rPr>
      </w:pPr>
    </w:p>
    <w:p>
      <w:pPr>
        <w:ind w:left="1660" w:hanging="190"/>
        <w:spacing w:after="0"/>
        <w:tabs>
          <w:tab w:leader="none" w:pos="1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do not receive notice of the proposal prior to the close of business on February 13, 2011.</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Notice of intent to present a proposal at the 2011 Annual Meeting should be directed to our Corporate Secretary at Altisource Portfolio Solutions S.A., 2, rue Jean Bertholet, L-1233 Luxembourg, Grand Duchy of Luxembourg.</w:t>
      </w:r>
    </w:p>
    <w:p>
      <w:pPr>
        <w:spacing w:after="0" w:line="47"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We did not receive notice of any shareholder proposals relating to the 2010 Annual Meeting. At the 2010 Annual Meeting, our management may exercise discretionary authority when voting on any properly presented shareholder proposal that is not included as an agenda item in this proxy statement.</w:t>
      </w:r>
    </w:p>
    <w:p>
      <w:pPr>
        <w:spacing w:after="0" w:line="20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ANNUAL REPORTS</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A copy of our annual report to shareholders on Form 10-K for the year ended December 31, 2009 was made available to shareholders on or about March 16, 2010. The annual report is not part of the proxy solicitation materials and can be found on our website www.altisource.com under Investor Relations.</w:t>
      </w:r>
    </w:p>
    <w:p>
      <w:pPr>
        <w:spacing w:after="0" w:line="47"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We will furnish without charge to each person whose proxy is solicited and to each beneficial owner entitled to vote, on written request, a copy of our annual report on Form 10-K for the year ended December 31,</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60"/>
        <w:spacing w:after="0" w:line="294" w:lineRule="auto"/>
        <w:rPr>
          <w:sz w:val="20"/>
          <w:szCs w:val="20"/>
          <w:color w:val="auto"/>
        </w:rPr>
      </w:pPr>
      <w:r>
        <w:rPr>
          <w:rFonts w:ascii="Arial" w:cs="Arial" w:eastAsia="Arial" w:hAnsi="Arial"/>
          <w:sz w:val="13"/>
          <w:szCs w:val="13"/>
          <w:color w:val="auto"/>
        </w:rPr>
        <w:t>2009, required to be filed by us with the Securities and Exchange Commission under the Securities Exchange Act of 1934, as amended. Such requests should be directed to Investor Relations, Altisource Portfolio Solutions S.A., 2, rue Jean Bertholet, L-1233 Luxembourg, Grand Duchy of Luxembourg.</w:t>
      </w:r>
    </w:p>
    <w:p>
      <w:pPr>
        <w:spacing w:after="0" w:line="20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OTHER MATTERS</w:t>
      </w:r>
    </w:p>
    <w:p>
      <w:pPr>
        <w:spacing w:after="0" w:line="104" w:lineRule="exact"/>
        <w:rPr>
          <w:sz w:val="20"/>
          <w:szCs w:val="20"/>
          <w:color w:val="auto"/>
        </w:rPr>
      </w:pPr>
    </w:p>
    <w:p>
      <w:pPr>
        <w:jc w:val="both"/>
        <w:ind w:left="680" w:right="280" w:firstLine="399"/>
        <w:spacing w:after="0" w:line="309" w:lineRule="auto"/>
        <w:rPr>
          <w:sz w:val="20"/>
          <w:szCs w:val="20"/>
          <w:color w:val="auto"/>
        </w:rPr>
      </w:pPr>
      <w:r>
        <w:rPr>
          <w:rFonts w:ascii="Arial" w:cs="Arial" w:eastAsia="Arial" w:hAnsi="Arial"/>
          <w:sz w:val="12"/>
          <w:szCs w:val="12"/>
          <w:color w:val="auto"/>
        </w:rPr>
        <w:t>Proxies will be solicited on behalf of the Board of Directors by mail or electronic means, and we will pay the solicitation costs. Copies of the annual report for 2009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4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(3) for the approval of the share repurchase program, (4) for the approval of the Directors’ reports (“</w:t>
      </w:r>
      <w:r>
        <w:rPr>
          <w:rFonts w:ascii="Arial" w:cs="Arial" w:eastAsia="Arial" w:hAnsi="Arial"/>
          <w:sz w:val="12"/>
          <w:szCs w:val="12"/>
          <w:i w:val="1"/>
          <w:iCs w:val="1"/>
          <w:color w:val="auto"/>
        </w:rPr>
        <w:t>rapports de gestion</w:t>
      </w:r>
      <w:r>
        <w:rPr>
          <w:rFonts w:ascii="Arial" w:cs="Arial" w:eastAsia="Arial" w:hAnsi="Arial"/>
          <w:sz w:val="12"/>
          <w:szCs w:val="12"/>
          <w:color w:val="auto"/>
        </w:rPr>
        <w:t>”) on the Luxembourg statutory accounts for the years ended December 31, 2009, December 31, 2008 and December 31, 2007, (5) for the approval of the Luxembourg statutory accounts for the years ended December 31, 2009, December 31, 2008 and December 31, 2007 and to allocate the results of the years ended December 31, 2009, December 31, 2008 and December 31, 2007 and (6) for approval of the discharge of all of the current and past Directors of Altisource for the performance of their mandate during the year ended December 31, 2009. Should any matter not described above be properly presented at the meeting, the persons named in the proxy form will vote in accordance with their judgment.</w:t>
      </w:r>
    </w:p>
    <w:p>
      <w:pPr>
        <w:spacing w:after="0" w:line="5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If you are the beneficial owner, but not the record holder, of shares of our Common Stock and have requested a copy of this proxy statement, your broker, bank or other nominee may only deliver one (1) copy of this proxy statement and our 2009 annual report to multiple shareholders who share an address unless that nominee has received contrary instructions from one (1) or more of the shareholders. Shareholders at an address to which a single copy of this proxy statement and our 2009 annual report was sent may request a separate copy by contacting Investor Relations, Altisource Portfolio Solutions S.A., 2, rue Jean Bertholet, L-1233 Luxembourg, Grand Duchy of Luxembourg.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68"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 xml:space="preserve">This proxy statement and our 2009 annual report may be viewed online at www.altisource.com under Investor Relations. In addition, this proxy statement and our 2009 annual report may are available at </w:t>
      </w:r>
      <w:r>
        <w:rPr>
          <w:rFonts w:ascii="Arial" w:cs="Arial" w:eastAsia="Arial" w:hAnsi="Arial"/>
          <w:sz w:val="13"/>
          <w:szCs w:val="13"/>
          <w:u w:val="single" w:color="auto"/>
          <w:color w:val="auto"/>
        </w:rPr>
        <w:t>www.proxyvote.com</w:t>
      </w:r>
      <w:r>
        <w:rPr>
          <w:rFonts w:ascii="Arial" w:cs="Arial" w:eastAsia="Arial" w:hAnsi="Arial"/>
          <w:sz w:val="13"/>
          <w:szCs w:val="13"/>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7" w:name="page38"/>
    <w:bookmarkEnd w:id="37"/>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540"/>
          </w:cols>
          <w:pgMar w:left="220" w:top="34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Arial" w:cs="Arial" w:eastAsia="Arial" w:hAnsi="Arial"/>
          <w:sz w:val="8"/>
          <w:szCs w:val="8"/>
          <w:b w:val="1"/>
          <w:bCs w:val="1"/>
          <w:i w:val="1"/>
          <w:iCs w:val="1"/>
          <w:color w:val="auto"/>
        </w:rPr>
        <w:t>ALTISOURCE PORTFOLIO SOLUTIONS S.A.</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8"/>
          <w:szCs w:val="8"/>
          <w:b w:val="1"/>
          <w:bCs w:val="1"/>
          <w:i w:val="1"/>
          <w:iCs w:val="1"/>
          <w:color w:val="auto"/>
        </w:rPr>
        <w:t>C/O PROXY SERVICES P.O. BOX 9142</w:t>
      </w:r>
    </w:p>
    <w:p>
      <w:pPr>
        <w:ind w:left="440"/>
        <w:spacing w:after="0"/>
        <w:rPr>
          <w:sz w:val="20"/>
          <w:szCs w:val="20"/>
          <w:color w:val="auto"/>
        </w:rPr>
      </w:pPr>
      <w:r>
        <w:rPr>
          <w:rFonts w:ascii="Arial" w:cs="Arial" w:eastAsia="Arial" w:hAnsi="Arial"/>
          <w:sz w:val="8"/>
          <w:szCs w:val="8"/>
          <w:b w:val="1"/>
          <w:bCs w:val="1"/>
          <w:i w:val="1"/>
          <w:iCs w:val="1"/>
          <w:color w:val="auto"/>
        </w:rPr>
        <w:t>FARMINGDALE, NY 11735</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VOTE BY INTERNET - www.proxyvote.com</w:t>
      </w:r>
    </w:p>
    <w:p>
      <w:pPr>
        <w:spacing w:after="0" w:line="9" w:lineRule="exact"/>
        <w:rPr>
          <w:sz w:val="20"/>
          <w:szCs w:val="20"/>
          <w:color w:val="auto"/>
        </w:rPr>
      </w:pPr>
    </w:p>
    <w:p>
      <w:pPr>
        <w:ind w:right="200"/>
        <w:spacing w:after="0" w:line="243" w:lineRule="auto"/>
        <w:rPr>
          <w:sz w:val="20"/>
          <w:szCs w:val="20"/>
          <w:color w:val="auto"/>
        </w:rPr>
      </w:pPr>
      <w:r>
        <w:rPr>
          <w:rFonts w:ascii="Arial" w:cs="Arial" w:eastAsia="Arial" w:hAnsi="Arial"/>
          <w:sz w:val="8"/>
          <w:szCs w:val="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Electronic Delivery of Future PROXY MATERIALS</w:t>
      </w:r>
    </w:p>
    <w:p>
      <w:pPr>
        <w:spacing w:after="0" w:line="9" w:lineRule="exact"/>
        <w:rPr>
          <w:sz w:val="20"/>
          <w:szCs w:val="20"/>
          <w:color w:val="auto"/>
        </w:rPr>
      </w:pPr>
    </w:p>
    <w:p>
      <w:pPr>
        <w:jc w:val="both"/>
        <w:ind w:right="120"/>
        <w:spacing w:after="0" w:line="243" w:lineRule="auto"/>
        <w:rPr>
          <w:sz w:val="20"/>
          <w:szCs w:val="20"/>
          <w:color w:val="auto"/>
        </w:rPr>
      </w:pPr>
      <w:r>
        <w:rPr>
          <w:rFonts w:ascii="Arial" w:cs="Arial" w:eastAsia="Arial" w:hAnsi="Arial"/>
          <w:sz w:val="8"/>
          <w:szCs w:val="8"/>
          <w:color w:val="auto"/>
        </w:rPr>
        <w:t>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VOTE BY PHONE - 1-800-690-6903</w:t>
      </w:r>
    </w:p>
    <w:p>
      <w:pPr>
        <w:spacing w:after="0" w:line="9" w:lineRule="exact"/>
        <w:rPr>
          <w:sz w:val="20"/>
          <w:szCs w:val="20"/>
          <w:color w:val="auto"/>
        </w:rPr>
      </w:pPr>
    </w:p>
    <w:p>
      <w:pPr>
        <w:ind w:right="160"/>
        <w:spacing w:after="0" w:line="249" w:lineRule="auto"/>
        <w:rPr>
          <w:sz w:val="20"/>
          <w:szCs w:val="20"/>
          <w:color w:val="auto"/>
        </w:rPr>
      </w:pPr>
      <w:r>
        <w:rPr>
          <w:rFonts w:ascii="Arial" w:cs="Arial" w:eastAsia="Arial" w:hAnsi="Arial"/>
          <w:sz w:val="8"/>
          <w:szCs w:val="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4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VOTE BY MAIL</w:t>
      </w:r>
    </w:p>
    <w:p>
      <w:pPr>
        <w:spacing w:after="0" w:line="9" w:lineRule="exact"/>
        <w:rPr>
          <w:sz w:val="20"/>
          <w:szCs w:val="20"/>
          <w:color w:val="auto"/>
        </w:rPr>
      </w:pPr>
    </w:p>
    <w:p>
      <w:pPr>
        <w:ind w:right="340"/>
        <w:spacing w:after="0" w:line="249" w:lineRule="auto"/>
        <w:rPr>
          <w:sz w:val="20"/>
          <w:szCs w:val="20"/>
          <w:color w:val="auto"/>
        </w:rPr>
      </w:pPr>
      <w:r>
        <w:rPr>
          <w:rFonts w:ascii="Arial" w:cs="Arial" w:eastAsia="Arial" w:hAnsi="Arial"/>
          <w:sz w:val="8"/>
          <w:szCs w:val="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580"/>
          </w:cols>
          <w:pgMar w:left="220" w:top="349"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40" w:type="dxa"/>
        <w:tblCellMar>
          <w:top w:w="0" w:type="dxa"/>
          <w:left w:w="0" w:type="dxa"/>
          <w:bottom w:w="0" w:type="dxa"/>
          <w:right w:w="0" w:type="dxa"/>
        </w:tblCellMar>
      </w:tblPr>
      <w:tr>
        <w:trPr>
          <w:trHeight w:val="133"/>
        </w:trPr>
        <w:tc>
          <w:tcPr>
            <w:tcW w:w="3720" w:type="dxa"/>
            <w:vAlign w:val="bottom"/>
            <w:gridSpan w:val="3"/>
          </w:tcPr>
          <w:p>
            <w:pPr>
              <w:spacing w:after="0"/>
              <w:rPr>
                <w:sz w:val="20"/>
                <w:szCs w:val="20"/>
                <w:color w:val="auto"/>
              </w:rPr>
            </w:pPr>
            <w:r>
              <w:rPr>
                <w:rFonts w:ascii="Arial" w:cs="Arial" w:eastAsia="Arial" w:hAnsi="Arial"/>
                <w:sz w:val="9"/>
                <w:szCs w:val="9"/>
                <w:color w:val="auto"/>
              </w:rPr>
              <w:t>TO VOTE, MARK BLOCKS BELOW IN BLUE OR BLACK INK AS FOLLOWS:</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0" w:type="dxa"/>
            <w:vAlign w:val="bottom"/>
            <w:gridSpan w:val="4"/>
          </w:tcPr>
          <w:p>
            <w:pPr>
              <w:jc w:val="right"/>
              <w:ind w:right="80"/>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0" w:type="dxa"/>
            <w:vAlign w:val="bottom"/>
            <w:gridSpan w:val="4"/>
          </w:tcPr>
          <w:p>
            <w:pPr>
              <w:jc w:val="right"/>
              <w:ind w:right="80"/>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17"/>
        </w:trPr>
        <w:tc>
          <w:tcPr>
            <w:tcW w:w="1200" w:type="dxa"/>
            <w:vAlign w:val="bottom"/>
            <w:tcBorders>
              <w:bottom w:val="single" w:sz="8" w:color="C5C5C5"/>
            </w:tcBorders>
          </w:tcPr>
          <w:p>
            <w:pPr>
              <w:spacing w:after="0"/>
              <w:rPr>
                <w:sz w:val="10"/>
                <w:szCs w:val="10"/>
                <w:color w:val="auto"/>
              </w:rPr>
            </w:pPr>
          </w:p>
        </w:tc>
        <w:tc>
          <w:tcPr>
            <w:tcW w:w="1200" w:type="dxa"/>
            <w:vAlign w:val="bottom"/>
            <w:tcBorders>
              <w:bottom w:val="single" w:sz="8" w:color="C5C5C5"/>
            </w:tcBorders>
          </w:tcPr>
          <w:p>
            <w:pPr>
              <w:spacing w:after="0"/>
              <w:rPr>
                <w:sz w:val="10"/>
                <w:szCs w:val="10"/>
                <w:color w:val="auto"/>
              </w:rPr>
            </w:pPr>
          </w:p>
        </w:tc>
        <w:tc>
          <w:tcPr>
            <w:tcW w:w="1320" w:type="dxa"/>
            <w:vAlign w:val="bottom"/>
            <w:tcBorders>
              <w:bottom w:val="single" w:sz="8" w:color="C5C5C5"/>
            </w:tcBorders>
          </w:tcPr>
          <w:p>
            <w:pPr>
              <w:spacing w:after="0"/>
              <w:rPr>
                <w:sz w:val="10"/>
                <w:szCs w:val="10"/>
                <w:color w:val="auto"/>
              </w:rPr>
            </w:pPr>
          </w:p>
        </w:tc>
        <w:tc>
          <w:tcPr>
            <w:tcW w:w="7580" w:type="dxa"/>
            <w:vAlign w:val="bottom"/>
            <w:tcBorders>
              <w:bottom w:val="single" w:sz="8" w:color="C5C5C5"/>
            </w:tcBorders>
            <w:gridSpan w:val="7"/>
          </w:tcPr>
          <w:p>
            <w:pPr>
              <w:ind w:left="100"/>
              <w:spacing w:after="0" w:line="117" w:lineRule="exact"/>
              <w:rPr>
                <w:sz w:val="20"/>
                <w:szCs w:val="20"/>
                <w:color w:val="auto"/>
              </w:rPr>
            </w:pPr>
            <w:r>
              <w:rPr>
                <w:rFonts w:ascii="Arial" w:cs="Arial" w:eastAsia="Arial" w:hAnsi="Arial"/>
                <w:sz w:val="11"/>
                <w:szCs w:val="11"/>
                <w:color w:val="auto"/>
              </w:rPr>
              <w:t>THIS PROXY CARD IS VALID ONLY WHEN SIGNED AND DATED.</w:t>
            </w: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jc w:val="center"/>
              <w:ind w:left="492"/>
              <w:spacing w:after="0"/>
              <w:rPr>
                <w:sz w:val="20"/>
                <w:szCs w:val="20"/>
                <w:color w:val="auto"/>
              </w:rPr>
            </w:pPr>
            <w:r>
              <w:rPr>
                <w:rFonts w:ascii="Arial" w:cs="Arial" w:eastAsia="Arial" w:hAnsi="Arial"/>
                <w:sz w:val="9"/>
                <w:szCs w:val="9"/>
                <w:b w:val="1"/>
                <w:bCs w:val="1"/>
                <w:color w:val="auto"/>
                <w:w w:val="96"/>
              </w:rPr>
              <w:t>For</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Withhold</w:t>
            </w:r>
          </w:p>
        </w:tc>
        <w:tc>
          <w:tcPr>
            <w:tcW w:w="820" w:type="dxa"/>
            <w:vAlign w:val="bottom"/>
          </w:tcPr>
          <w:p>
            <w:pPr>
              <w:jc w:val="center"/>
              <w:ind w:right="333"/>
              <w:spacing w:after="0"/>
              <w:rPr>
                <w:sz w:val="20"/>
                <w:szCs w:val="20"/>
                <w:color w:val="auto"/>
              </w:rPr>
            </w:pPr>
            <w:r>
              <w:rPr>
                <w:rFonts w:ascii="Arial" w:cs="Arial" w:eastAsia="Arial" w:hAnsi="Arial"/>
                <w:sz w:val="9"/>
                <w:szCs w:val="9"/>
                <w:b w:val="1"/>
                <w:bCs w:val="1"/>
                <w:color w:val="auto"/>
                <w:w w:val="98"/>
              </w:rPr>
              <w:t>For All</w:t>
            </w: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40" w:type="dxa"/>
            <w:vAlign w:val="bottom"/>
            <w:vMerge w:val="restart"/>
          </w:tcPr>
          <w:p>
            <w:pPr>
              <w:jc w:val="center"/>
              <w:ind w:left="472"/>
              <w:spacing w:after="0"/>
              <w:rPr>
                <w:sz w:val="20"/>
                <w:szCs w:val="20"/>
                <w:color w:val="auto"/>
              </w:rPr>
            </w:pPr>
            <w:r>
              <w:rPr>
                <w:rFonts w:ascii="Arial" w:cs="Arial" w:eastAsia="Arial" w:hAnsi="Arial"/>
                <w:sz w:val="9"/>
                <w:szCs w:val="9"/>
                <w:b w:val="1"/>
                <w:bCs w:val="1"/>
                <w:color w:val="auto"/>
              </w:rPr>
              <w:t>All</w:t>
            </w:r>
          </w:p>
        </w:tc>
        <w:tc>
          <w:tcPr>
            <w:tcW w:w="52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All</w:t>
            </w:r>
          </w:p>
        </w:tc>
        <w:tc>
          <w:tcPr>
            <w:tcW w:w="820" w:type="dxa"/>
            <w:vAlign w:val="bottom"/>
            <w:vMerge w:val="restart"/>
          </w:tcPr>
          <w:p>
            <w:pPr>
              <w:jc w:val="center"/>
              <w:ind w:right="333"/>
              <w:spacing w:after="0"/>
              <w:rPr>
                <w:sz w:val="20"/>
                <w:szCs w:val="20"/>
                <w:color w:val="auto"/>
              </w:rPr>
            </w:pPr>
            <w:r>
              <w:rPr>
                <w:rFonts w:ascii="Arial" w:cs="Arial" w:eastAsia="Arial" w:hAnsi="Arial"/>
                <w:sz w:val="9"/>
                <w:szCs w:val="9"/>
                <w:b w:val="1"/>
                <w:bCs w:val="1"/>
                <w:color w:val="auto"/>
              </w:rPr>
              <w:t>Except</w:t>
            </w:r>
          </w:p>
        </w:tc>
        <w:tc>
          <w:tcPr>
            <w:tcW w:w="5340" w:type="dxa"/>
            <w:vAlign w:val="bottom"/>
            <w:tcBorders>
              <w:right w:val="single" w:sz="8" w:color="auto"/>
            </w:tcBorders>
            <w:gridSpan w:val="3"/>
          </w:tcPr>
          <w:p>
            <w:pPr>
              <w:ind w:left="20"/>
              <w:spacing w:after="0" w:line="76" w:lineRule="exact"/>
              <w:rPr>
                <w:sz w:val="20"/>
                <w:szCs w:val="20"/>
                <w:color w:val="auto"/>
              </w:rPr>
            </w:pPr>
            <w:r>
              <w:rPr>
                <w:rFonts w:ascii="Arial" w:cs="Arial" w:eastAsia="Arial" w:hAnsi="Arial"/>
                <w:sz w:val="8"/>
                <w:szCs w:val="8"/>
                <w:color w:val="auto"/>
              </w:rPr>
              <w:t>To withhold authority to vote for any individual nominee(s), mark “For All Except”</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720" w:type="dxa"/>
            <w:vAlign w:val="bottom"/>
            <w:gridSpan w:val="3"/>
            <w:vMerge w:val="restart"/>
          </w:tcPr>
          <w:p>
            <w:pPr>
              <w:ind w:left="120"/>
              <w:spacing w:after="0"/>
              <w:rPr>
                <w:sz w:val="20"/>
                <w:szCs w:val="20"/>
                <w:color w:val="auto"/>
              </w:rPr>
            </w:pPr>
            <w:r>
              <w:rPr>
                <w:rFonts w:ascii="Arial" w:cs="Arial" w:eastAsia="Arial" w:hAnsi="Arial"/>
                <w:sz w:val="9"/>
                <w:szCs w:val="9"/>
                <w:b w:val="1"/>
                <w:bCs w:val="1"/>
                <w:color w:val="auto"/>
              </w:rPr>
              <w:t>The Board of Directors recommends that you vote FOR the following:</w:t>
            </w: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3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9"/>
                <w:szCs w:val="9"/>
                <w:color w:val="auto"/>
              </w:rPr>
              <w:t>and write the number(s) of the nominee(s) on the line below.</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372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34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720" w:type="dxa"/>
            <w:vAlign w:val="bottom"/>
            <w:gridSpan w:val="3"/>
            <w:vMerge w:val="continue"/>
          </w:tcPr>
          <w:p>
            <w:pPr>
              <w:spacing w:after="0"/>
              <w:rPr>
                <w:sz w:val="4"/>
                <w:szCs w:val="4"/>
                <w:color w:val="auto"/>
              </w:rPr>
            </w:pPr>
          </w:p>
        </w:tc>
        <w:tc>
          <w:tcPr>
            <w:tcW w:w="840" w:type="dxa"/>
            <w:vAlign w:val="bottom"/>
            <w:vMerge w:val="restart"/>
          </w:tcPr>
          <w:p>
            <w:pPr>
              <w:jc w:val="center"/>
              <w:ind w:left="492"/>
              <w:spacing w:after="0"/>
              <w:rPr>
                <w:sz w:val="20"/>
                <w:szCs w:val="20"/>
                <w:color w:val="auto"/>
              </w:rPr>
            </w:pPr>
            <w:r>
              <w:rPr>
                <w:rFonts w:ascii="Arial" w:cs="Arial" w:eastAsia="Arial" w:hAnsi="Arial"/>
                <w:sz w:val="9"/>
                <w:szCs w:val="9"/>
                <w:color w:val="auto"/>
              </w:rPr>
              <w:t>o</w:t>
            </w:r>
          </w:p>
        </w:tc>
        <w:tc>
          <w:tcPr>
            <w:tcW w:w="52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820" w:type="dxa"/>
            <w:vAlign w:val="bottom"/>
            <w:vMerge w:val="restart"/>
          </w:tcPr>
          <w:p>
            <w:pPr>
              <w:jc w:val="center"/>
              <w:ind w:right="333"/>
              <w:spacing w:after="0"/>
              <w:rPr>
                <w:sz w:val="20"/>
                <w:szCs w:val="20"/>
                <w:color w:val="auto"/>
              </w:rPr>
            </w:pPr>
            <w:r>
              <w:rPr>
                <w:rFonts w:ascii="Arial" w:cs="Arial" w:eastAsia="Arial" w:hAnsi="Arial"/>
                <w:sz w:val="9"/>
                <w:szCs w:val="9"/>
                <w:color w:val="auto"/>
                <w:w w:val="78"/>
              </w:rPr>
              <w:t>o</w:t>
            </w:r>
          </w:p>
        </w:tc>
        <w:tc>
          <w:tcPr>
            <w:tcW w:w="3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2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 xml:space="preserve">1.  </w:t>
            </w:r>
            <w:r>
              <w:rPr>
                <w:rFonts w:ascii="Arial" w:cs="Arial" w:eastAsia="Arial" w:hAnsi="Arial"/>
                <w:sz w:val="9"/>
                <w:szCs w:val="9"/>
                <w:color w:val="auto"/>
              </w:rPr>
              <w:t>Election of Directors</w:t>
            </w:r>
          </w:p>
        </w:tc>
        <w:tc>
          <w:tcPr>
            <w:tcW w:w="1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2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200" w:type="dxa"/>
            <w:vAlign w:val="bottom"/>
          </w:tcPr>
          <w:p>
            <w:pPr>
              <w:ind w:left="320"/>
              <w:spacing w:after="0"/>
              <w:rPr>
                <w:sz w:val="20"/>
                <w:szCs w:val="20"/>
                <w:color w:val="auto"/>
              </w:rPr>
            </w:pPr>
            <w:r>
              <w:rPr>
                <w:rFonts w:ascii="Arial" w:cs="Arial" w:eastAsia="Arial" w:hAnsi="Arial"/>
                <w:sz w:val="9"/>
                <w:szCs w:val="9"/>
                <w:b w:val="1"/>
                <w:bCs w:val="1"/>
                <w:color w:val="auto"/>
              </w:rPr>
              <w:t>Nominees</w:t>
            </w: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1200" w:type="dxa"/>
            <w:vAlign w:val="bottom"/>
          </w:tcPr>
          <w:p>
            <w:pPr>
              <w:ind w:left="120"/>
              <w:spacing w:after="0"/>
              <w:rPr>
                <w:sz w:val="20"/>
                <w:szCs w:val="20"/>
                <w:color w:val="auto"/>
              </w:rPr>
            </w:pPr>
            <w:r>
              <w:rPr>
                <w:rFonts w:ascii="Arial" w:cs="Arial" w:eastAsia="Arial" w:hAnsi="Arial"/>
                <w:sz w:val="9"/>
                <w:szCs w:val="9"/>
                <w:color w:val="auto"/>
              </w:rPr>
              <w:t>01 William C. Erbey</w:t>
            </w:r>
          </w:p>
        </w:tc>
        <w:tc>
          <w:tcPr>
            <w:tcW w:w="1200" w:type="dxa"/>
            <w:vAlign w:val="bottom"/>
          </w:tcPr>
          <w:p>
            <w:pPr>
              <w:ind w:left="40"/>
              <w:spacing w:after="0"/>
              <w:rPr>
                <w:sz w:val="20"/>
                <w:szCs w:val="20"/>
                <w:color w:val="auto"/>
              </w:rPr>
            </w:pPr>
            <w:r>
              <w:rPr>
                <w:rFonts w:ascii="Arial" w:cs="Arial" w:eastAsia="Arial" w:hAnsi="Arial"/>
                <w:sz w:val="9"/>
                <w:szCs w:val="9"/>
                <w:color w:val="auto"/>
              </w:rPr>
              <w:t>02 Silke Andresen-Kienz</w:t>
            </w:r>
          </w:p>
        </w:tc>
        <w:tc>
          <w:tcPr>
            <w:tcW w:w="1320" w:type="dxa"/>
            <w:vAlign w:val="bottom"/>
          </w:tcPr>
          <w:p>
            <w:pPr>
              <w:ind w:left="160"/>
              <w:spacing w:after="0"/>
              <w:rPr>
                <w:sz w:val="20"/>
                <w:szCs w:val="20"/>
                <w:color w:val="auto"/>
              </w:rPr>
            </w:pPr>
            <w:r>
              <w:rPr>
                <w:rFonts w:ascii="Arial" w:cs="Arial" w:eastAsia="Arial" w:hAnsi="Arial"/>
                <w:sz w:val="9"/>
                <w:szCs w:val="9"/>
                <w:color w:val="auto"/>
              </w:rPr>
              <w:t>03 Roland Müller-Ineichen</w:t>
            </w:r>
          </w:p>
        </w:tc>
        <w:tc>
          <w:tcPr>
            <w:tcW w:w="1360" w:type="dxa"/>
            <w:vAlign w:val="bottom"/>
            <w:gridSpan w:val="2"/>
          </w:tcPr>
          <w:p>
            <w:pPr>
              <w:ind w:left="220"/>
              <w:spacing w:after="0"/>
              <w:rPr>
                <w:sz w:val="20"/>
                <w:szCs w:val="20"/>
                <w:color w:val="auto"/>
              </w:rPr>
            </w:pPr>
            <w:r>
              <w:rPr>
                <w:rFonts w:ascii="Arial" w:cs="Arial" w:eastAsia="Arial" w:hAnsi="Arial"/>
                <w:sz w:val="9"/>
                <w:szCs w:val="9"/>
                <w:color w:val="auto"/>
              </w:rPr>
              <w:t>04 William B. Shepro</w:t>
            </w:r>
          </w:p>
        </w:tc>
        <w:tc>
          <w:tcPr>
            <w:tcW w:w="820" w:type="dxa"/>
            <w:vAlign w:val="bottom"/>
          </w:tcPr>
          <w:p>
            <w:pPr>
              <w:ind w:left="20"/>
              <w:spacing w:after="0"/>
              <w:rPr>
                <w:sz w:val="20"/>
                <w:szCs w:val="20"/>
                <w:color w:val="auto"/>
              </w:rPr>
            </w:pPr>
            <w:r>
              <w:rPr>
                <w:rFonts w:ascii="Arial" w:cs="Arial" w:eastAsia="Arial" w:hAnsi="Arial"/>
                <w:sz w:val="9"/>
                <w:szCs w:val="9"/>
                <w:color w:val="auto"/>
              </w:rPr>
              <w:t>05 Timo Vättö</w:t>
            </w: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-778510</wp:posOffset>
            </wp:positionV>
            <wp:extent cx="7180580" cy="2693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269367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type w:val="continuous"/>
        </w:sectPr>
      </w:pP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03"/>
        </w:trPr>
        <w:tc>
          <w:tcPr>
            <w:tcW w:w="4140" w:type="dxa"/>
            <w:vAlign w:val="bottom"/>
            <w:gridSpan w:val="2"/>
          </w:tcPr>
          <w:p>
            <w:pPr>
              <w:spacing w:after="0"/>
              <w:rPr>
                <w:sz w:val="20"/>
                <w:szCs w:val="20"/>
                <w:color w:val="auto"/>
              </w:rPr>
            </w:pPr>
            <w:r>
              <w:rPr>
                <w:rFonts w:ascii="Arial" w:cs="Arial" w:eastAsia="Arial" w:hAnsi="Arial"/>
                <w:sz w:val="9"/>
                <w:szCs w:val="9"/>
                <w:b w:val="1"/>
                <w:bCs w:val="1"/>
                <w:color w:val="auto"/>
              </w:rPr>
              <w:t>The Board of Directors recommends you vote FOR</w:t>
            </w: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25"/>
        </w:trPr>
        <w:tc>
          <w:tcPr>
            <w:tcW w:w="4140" w:type="dxa"/>
            <w:vAlign w:val="bottom"/>
            <w:gridSpan w:val="2"/>
          </w:tcPr>
          <w:p>
            <w:pPr>
              <w:spacing w:after="0"/>
              <w:rPr>
                <w:sz w:val="20"/>
                <w:szCs w:val="20"/>
                <w:color w:val="auto"/>
              </w:rPr>
            </w:pPr>
            <w:r>
              <w:rPr>
                <w:rFonts w:ascii="Arial" w:cs="Arial" w:eastAsia="Arial" w:hAnsi="Arial"/>
                <w:sz w:val="9"/>
                <w:szCs w:val="9"/>
                <w:b w:val="1"/>
                <w:bCs w:val="1"/>
                <w:color w:val="auto"/>
              </w:rPr>
              <w:t>the following proposal(s):</w:t>
            </w:r>
          </w:p>
        </w:tc>
        <w:tc>
          <w:tcPr>
            <w:tcW w:w="320" w:type="dxa"/>
            <w:vAlign w:val="bottom"/>
          </w:tcPr>
          <w:p>
            <w:pPr>
              <w:jc w:val="center"/>
              <w:spacing w:after="0"/>
              <w:rPr>
                <w:sz w:val="20"/>
                <w:szCs w:val="20"/>
                <w:color w:val="auto"/>
              </w:rPr>
            </w:pPr>
            <w:r>
              <w:rPr>
                <w:rFonts w:ascii="Arial" w:cs="Arial" w:eastAsia="Arial" w:hAnsi="Arial"/>
                <w:sz w:val="9"/>
                <w:szCs w:val="9"/>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rPr>
              <w:t>Against</w:t>
            </w: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rPr>
              <w:t>Abstain</w:t>
            </w:r>
          </w:p>
        </w:tc>
      </w:tr>
      <w:tr>
        <w:trPr>
          <w:trHeight w:val="189"/>
        </w:trPr>
        <w:tc>
          <w:tcPr>
            <w:tcW w:w="120" w:type="dxa"/>
            <w:vAlign w:val="bottom"/>
          </w:tcPr>
          <w:p>
            <w:pPr>
              <w:spacing w:after="0"/>
              <w:rPr>
                <w:sz w:val="20"/>
                <w:szCs w:val="20"/>
                <w:color w:val="auto"/>
              </w:rPr>
            </w:pPr>
            <w:r>
              <w:rPr>
                <w:rFonts w:ascii="Arial" w:cs="Arial" w:eastAsia="Arial" w:hAnsi="Arial"/>
                <w:sz w:val="9"/>
                <w:szCs w:val="9"/>
                <w:b w:val="1"/>
                <w:bCs w:val="1"/>
                <w:color w:val="auto"/>
              </w:rPr>
              <w:t>2</w:t>
            </w:r>
          </w:p>
        </w:tc>
        <w:tc>
          <w:tcPr>
            <w:tcW w:w="4020" w:type="dxa"/>
            <w:vAlign w:val="bottom"/>
          </w:tcPr>
          <w:p>
            <w:pPr>
              <w:ind w:left="80"/>
              <w:spacing w:after="0"/>
              <w:rPr>
                <w:sz w:val="20"/>
                <w:szCs w:val="20"/>
                <w:color w:val="auto"/>
              </w:rPr>
            </w:pPr>
            <w:r>
              <w:rPr>
                <w:rFonts w:ascii="Arial" w:cs="Arial" w:eastAsia="Arial" w:hAnsi="Arial"/>
                <w:sz w:val="9"/>
                <w:szCs w:val="9"/>
                <w:color w:val="auto"/>
              </w:rPr>
              <w:t>Proposal to approve and ratify the appointment of Deloitte &amp; Touche LLP as our independent</w:t>
            </w:r>
          </w:p>
        </w:tc>
        <w:tc>
          <w:tcPr>
            <w:tcW w:w="3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00" w:type="dxa"/>
            <w:vAlign w:val="bottom"/>
          </w:tcPr>
          <w:p>
            <w:pPr>
              <w:jc w:val="center"/>
              <w:spacing w:after="0"/>
              <w:rPr>
                <w:sz w:val="20"/>
                <w:szCs w:val="20"/>
                <w:color w:val="auto"/>
              </w:rPr>
            </w:pPr>
            <w:r>
              <w:rPr>
                <w:rFonts w:ascii="Arial" w:cs="Arial" w:eastAsia="Arial" w:hAnsi="Arial"/>
                <w:sz w:val="9"/>
                <w:szCs w:val="9"/>
                <w:color w:val="auto"/>
                <w:w w:val="78"/>
              </w:rPr>
              <w:t>o</w:t>
            </w:r>
          </w:p>
        </w:tc>
      </w:tr>
      <w:tr>
        <w:trPr>
          <w:trHeight w:val="113"/>
        </w:trPr>
        <w:tc>
          <w:tcPr>
            <w:tcW w:w="120" w:type="dxa"/>
            <w:vAlign w:val="bottom"/>
          </w:tcPr>
          <w:p>
            <w:pPr>
              <w:spacing w:after="0"/>
              <w:rPr>
                <w:sz w:val="9"/>
                <w:szCs w:val="9"/>
                <w:color w:val="auto"/>
              </w:rPr>
            </w:pPr>
          </w:p>
        </w:tc>
        <w:tc>
          <w:tcPr>
            <w:tcW w:w="4020" w:type="dxa"/>
            <w:vAlign w:val="bottom"/>
          </w:tcPr>
          <w:p>
            <w:pPr>
              <w:ind w:left="80"/>
              <w:spacing w:after="0"/>
              <w:rPr>
                <w:sz w:val="20"/>
                <w:szCs w:val="20"/>
                <w:color w:val="auto"/>
              </w:rPr>
            </w:pPr>
            <w:r>
              <w:rPr>
                <w:rFonts w:ascii="Arial" w:cs="Arial" w:eastAsia="Arial" w:hAnsi="Arial"/>
                <w:sz w:val="9"/>
                <w:szCs w:val="9"/>
                <w:color w:val="auto"/>
              </w:rPr>
              <w:t>registered certified public accounting firm for the fiscal year ending December 31, 2010.</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02"/>
        </w:trPr>
        <w:tc>
          <w:tcPr>
            <w:tcW w:w="120" w:type="dxa"/>
            <w:vAlign w:val="bottom"/>
          </w:tcPr>
          <w:p>
            <w:pPr>
              <w:spacing w:after="0"/>
              <w:rPr>
                <w:sz w:val="20"/>
                <w:szCs w:val="20"/>
                <w:color w:val="auto"/>
              </w:rPr>
            </w:pPr>
            <w:r>
              <w:rPr>
                <w:rFonts w:ascii="Arial" w:cs="Arial" w:eastAsia="Arial" w:hAnsi="Arial"/>
                <w:sz w:val="9"/>
                <w:szCs w:val="9"/>
                <w:b w:val="1"/>
                <w:bCs w:val="1"/>
                <w:color w:val="auto"/>
              </w:rPr>
              <w:t>3</w:t>
            </w:r>
          </w:p>
        </w:tc>
        <w:tc>
          <w:tcPr>
            <w:tcW w:w="4020" w:type="dxa"/>
            <w:vAlign w:val="bottom"/>
          </w:tcPr>
          <w:p>
            <w:pPr>
              <w:ind w:left="80"/>
              <w:spacing w:after="0"/>
              <w:rPr>
                <w:sz w:val="20"/>
                <w:szCs w:val="20"/>
                <w:color w:val="auto"/>
              </w:rPr>
            </w:pPr>
            <w:r>
              <w:rPr>
                <w:rFonts w:ascii="Arial" w:cs="Arial" w:eastAsia="Arial" w:hAnsi="Arial"/>
                <w:sz w:val="9"/>
                <w:szCs w:val="9"/>
                <w:color w:val="auto"/>
              </w:rPr>
              <w:t>Proposal to approve and ratify the share repurchase program.</w:t>
            </w:r>
          </w:p>
        </w:tc>
        <w:tc>
          <w:tcPr>
            <w:tcW w:w="3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00" w:type="dxa"/>
            <w:vAlign w:val="bottom"/>
          </w:tcPr>
          <w:p>
            <w:pPr>
              <w:jc w:val="center"/>
              <w:spacing w:after="0"/>
              <w:rPr>
                <w:sz w:val="20"/>
                <w:szCs w:val="20"/>
                <w:color w:val="auto"/>
              </w:rPr>
            </w:pPr>
            <w:r>
              <w:rPr>
                <w:rFonts w:ascii="Arial" w:cs="Arial" w:eastAsia="Arial" w:hAnsi="Arial"/>
                <w:sz w:val="9"/>
                <w:szCs w:val="9"/>
                <w:color w:val="auto"/>
                <w:w w:val="78"/>
              </w:rPr>
              <w:t>o</w:t>
            </w:r>
          </w:p>
        </w:tc>
      </w:tr>
      <w:tr>
        <w:trPr>
          <w:trHeight w:val="189"/>
        </w:trPr>
        <w:tc>
          <w:tcPr>
            <w:tcW w:w="120" w:type="dxa"/>
            <w:vAlign w:val="bottom"/>
          </w:tcPr>
          <w:p>
            <w:pPr>
              <w:spacing w:after="0"/>
              <w:rPr>
                <w:sz w:val="20"/>
                <w:szCs w:val="20"/>
                <w:color w:val="auto"/>
              </w:rPr>
            </w:pPr>
            <w:r>
              <w:rPr>
                <w:rFonts w:ascii="Arial" w:cs="Arial" w:eastAsia="Arial" w:hAnsi="Arial"/>
                <w:sz w:val="9"/>
                <w:szCs w:val="9"/>
                <w:b w:val="1"/>
                <w:bCs w:val="1"/>
                <w:color w:val="auto"/>
              </w:rPr>
              <w:t>4</w:t>
            </w:r>
          </w:p>
        </w:tc>
        <w:tc>
          <w:tcPr>
            <w:tcW w:w="4020" w:type="dxa"/>
            <w:vAlign w:val="bottom"/>
          </w:tcPr>
          <w:p>
            <w:pPr>
              <w:ind w:left="80"/>
              <w:spacing w:after="0"/>
              <w:rPr>
                <w:sz w:val="20"/>
                <w:szCs w:val="20"/>
                <w:color w:val="auto"/>
              </w:rPr>
            </w:pPr>
            <w:r>
              <w:rPr>
                <w:rFonts w:ascii="Arial" w:cs="Arial" w:eastAsia="Arial" w:hAnsi="Arial"/>
                <w:sz w:val="9"/>
                <w:szCs w:val="9"/>
                <w:color w:val="auto"/>
              </w:rPr>
              <w:t>Proposal to approve and ratify the directors’ reports for the years ended December 31, 2009,</w:t>
            </w:r>
          </w:p>
        </w:tc>
        <w:tc>
          <w:tcPr>
            <w:tcW w:w="3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00" w:type="dxa"/>
            <w:vAlign w:val="bottom"/>
          </w:tcPr>
          <w:p>
            <w:pPr>
              <w:jc w:val="center"/>
              <w:spacing w:after="0"/>
              <w:rPr>
                <w:sz w:val="20"/>
                <w:szCs w:val="20"/>
                <w:color w:val="auto"/>
              </w:rPr>
            </w:pPr>
            <w:r>
              <w:rPr>
                <w:rFonts w:ascii="Arial" w:cs="Arial" w:eastAsia="Arial" w:hAnsi="Arial"/>
                <w:sz w:val="9"/>
                <w:szCs w:val="9"/>
                <w:color w:val="auto"/>
                <w:w w:val="78"/>
              </w:rPr>
              <w:t>o</w:t>
            </w:r>
          </w:p>
        </w:tc>
      </w:tr>
      <w:tr>
        <w:trPr>
          <w:trHeight w:val="113"/>
        </w:trPr>
        <w:tc>
          <w:tcPr>
            <w:tcW w:w="120" w:type="dxa"/>
            <w:vAlign w:val="bottom"/>
          </w:tcPr>
          <w:p>
            <w:pPr>
              <w:spacing w:after="0"/>
              <w:rPr>
                <w:sz w:val="9"/>
                <w:szCs w:val="9"/>
                <w:color w:val="auto"/>
              </w:rPr>
            </w:pPr>
          </w:p>
        </w:tc>
        <w:tc>
          <w:tcPr>
            <w:tcW w:w="4020" w:type="dxa"/>
            <w:vAlign w:val="bottom"/>
          </w:tcPr>
          <w:p>
            <w:pPr>
              <w:ind w:left="80"/>
              <w:spacing w:after="0"/>
              <w:rPr>
                <w:sz w:val="20"/>
                <w:szCs w:val="20"/>
                <w:color w:val="auto"/>
              </w:rPr>
            </w:pPr>
            <w:r>
              <w:rPr>
                <w:rFonts w:ascii="Arial" w:cs="Arial" w:eastAsia="Arial" w:hAnsi="Arial"/>
                <w:sz w:val="9"/>
                <w:szCs w:val="9"/>
                <w:color w:val="auto"/>
              </w:rPr>
              <w:t>December 31, 2008, and December 31, 2007.</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89"/>
        </w:trPr>
        <w:tc>
          <w:tcPr>
            <w:tcW w:w="120" w:type="dxa"/>
            <w:vAlign w:val="bottom"/>
          </w:tcPr>
          <w:p>
            <w:pPr>
              <w:spacing w:after="0"/>
              <w:rPr>
                <w:sz w:val="20"/>
                <w:szCs w:val="20"/>
                <w:color w:val="auto"/>
              </w:rPr>
            </w:pPr>
            <w:r>
              <w:rPr>
                <w:rFonts w:ascii="Arial" w:cs="Arial" w:eastAsia="Arial" w:hAnsi="Arial"/>
                <w:sz w:val="9"/>
                <w:szCs w:val="9"/>
                <w:b w:val="1"/>
                <w:bCs w:val="1"/>
                <w:color w:val="auto"/>
              </w:rPr>
              <w:t>5</w:t>
            </w:r>
          </w:p>
        </w:tc>
        <w:tc>
          <w:tcPr>
            <w:tcW w:w="4020" w:type="dxa"/>
            <w:vAlign w:val="bottom"/>
          </w:tcPr>
          <w:p>
            <w:pPr>
              <w:ind w:left="80"/>
              <w:spacing w:after="0"/>
              <w:rPr>
                <w:sz w:val="20"/>
                <w:szCs w:val="20"/>
                <w:color w:val="auto"/>
              </w:rPr>
            </w:pPr>
            <w:r>
              <w:rPr>
                <w:rFonts w:ascii="Arial" w:cs="Arial" w:eastAsia="Arial" w:hAnsi="Arial"/>
                <w:sz w:val="9"/>
                <w:szCs w:val="9"/>
                <w:color w:val="auto"/>
              </w:rPr>
              <w:t>Proposal to approve and ratify the Luxembourg statutory accounts for the years ended</w:t>
            </w:r>
          </w:p>
        </w:tc>
        <w:tc>
          <w:tcPr>
            <w:tcW w:w="3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00" w:type="dxa"/>
            <w:vAlign w:val="bottom"/>
          </w:tcPr>
          <w:p>
            <w:pPr>
              <w:jc w:val="center"/>
              <w:spacing w:after="0"/>
              <w:rPr>
                <w:sz w:val="20"/>
                <w:szCs w:val="20"/>
                <w:color w:val="auto"/>
              </w:rPr>
            </w:pPr>
            <w:r>
              <w:rPr>
                <w:rFonts w:ascii="Arial" w:cs="Arial" w:eastAsia="Arial" w:hAnsi="Arial"/>
                <w:sz w:val="9"/>
                <w:szCs w:val="9"/>
                <w:color w:val="auto"/>
                <w:w w:val="78"/>
              </w:rPr>
              <w:t>o</w:t>
            </w:r>
          </w:p>
        </w:tc>
      </w:tr>
      <w:tr>
        <w:trPr>
          <w:trHeight w:val="113"/>
        </w:trPr>
        <w:tc>
          <w:tcPr>
            <w:tcW w:w="120" w:type="dxa"/>
            <w:vAlign w:val="bottom"/>
          </w:tcPr>
          <w:p>
            <w:pPr>
              <w:spacing w:after="0"/>
              <w:rPr>
                <w:sz w:val="9"/>
                <w:szCs w:val="9"/>
                <w:color w:val="auto"/>
              </w:rPr>
            </w:pPr>
          </w:p>
        </w:tc>
        <w:tc>
          <w:tcPr>
            <w:tcW w:w="4020" w:type="dxa"/>
            <w:vAlign w:val="bottom"/>
          </w:tcPr>
          <w:p>
            <w:pPr>
              <w:ind w:left="80"/>
              <w:spacing w:after="0"/>
              <w:rPr>
                <w:sz w:val="20"/>
                <w:szCs w:val="20"/>
                <w:color w:val="auto"/>
              </w:rPr>
            </w:pPr>
            <w:r>
              <w:rPr>
                <w:rFonts w:ascii="Arial" w:cs="Arial" w:eastAsia="Arial" w:hAnsi="Arial"/>
                <w:sz w:val="9"/>
                <w:szCs w:val="9"/>
                <w:color w:val="auto"/>
              </w:rPr>
              <w:t>December 31, 2009, December 31, 2008, and December 31, 2007.</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89"/>
        </w:trPr>
        <w:tc>
          <w:tcPr>
            <w:tcW w:w="120" w:type="dxa"/>
            <w:vAlign w:val="bottom"/>
          </w:tcPr>
          <w:p>
            <w:pPr>
              <w:spacing w:after="0"/>
              <w:rPr>
                <w:sz w:val="20"/>
                <w:szCs w:val="20"/>
                <w:color w:val="auto"/>
              </w:rPr>
            </w:pPr>
            <w:r>
              <w:rPr>
                <w:rFonts w:ascii="Arial" w:cs="Arial" w:eastAsia="Arial" w:hAnsi="Arial"/>
                <w:sz w:val="9"/>
                <w:szCs w:val="9"/>
                <w:b w:val="1"/>
                <w:bCs w:val="1"/>
                <w:color w:val="auto"/>
              </w:rPr>
              <w:t>6</w:t>
            </w:r>
          </w:p>
        </w:tc>
        <w:tc>
          <w:tcPr>
            <w:tcW w:w="4020" w:type="dxa"/>
            <w:vAlign w:val="bottom"/>
          </w:tcPr>
          <w:p>
            <w:pPr>
              <w:ind w:left="80"/>
              <w:spacing w:after="0"/>
              <w:rPr>
                <w:sz w:val="20"/>
                <w:szCs w:val="20"/>
                <w:color w:val="auto"/>
              </w:rPr>
            </w:pPr>
            <w:r>
              <w:rPr>
                <w:rFonts w:ascii="Arial" w:cs="Arial" w:eastAsia="Arial" w:hAnsi="Arial"/>
                <w:sz w:val="9"/>
                <w:szCs w:val="9"/>
                <w:color w:val="auto"/>
              </w:rPr>
              <w:t>Proposal to discharge all of the current and past directors of Altisource Portfolio Solutions</w:t>
            </w:r>
          </w:p>
        </w:tc>
        <w:tc>
          <w:tcPr>
            <w:tcW w:w="32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400" w:type="dxa"/>
            <w:vAlign w:val="bottom"/>
          </w:tcPr>
          <w:p>
            <w:pPr>
              <w:jc w:val="center"/>
              <w:spacing w:after="0"/>
              <w:rPr>
                <w:sz w:val="20"/>
                <w:szCs w:val="20"/>
                <w:color w:val="auto"/>
              </w:rPr>
            </w:pPr>
            <w:r>
              <w:rPr>
                <w:rFonts w:ascii="Arial" w:cs="Arial" w:eastAsia="Arial" w:hAnsi="Arial"/>
                <w:sz w:val="9"/>
                <w:szCs w:val="9"/>
                <w:color w:val="auto"/>
                <w:w w:val="78"/>
              </w:rPr>
              <w:t>o</w:t>
            </w:r>
          </w:p>
        </w:tc>
      </w:tr>
      <w:tr>
        <w:trPr>
          <w:trHeight w:val="113"/>
        </w:trPr>
        <w:tc>
          <w:tcPr>
            <w:tcW w:w="120" w:type="dxa"/>
            <w:vAlign w:val="bottom"/>
          </w:tcPr>
          <w:p>
            <w:pPr>
              <w:spacing w:after="0"/>
              <w:rPr>
                <w:sz w:val="9"/>
                <w:szCs w:val="9"/>
                <w:color w:val="auto"/>
              </w:rPr>
            </w:pPr>
          </w:p>
        </w:tc>
        <w:tc>
          <w:tcPr>
            <w:tcW w:w="4020" w:type="dxa"/>
            <w:vAlign w:val="bottom"/>
          </w:tcPr>
          <w:p>
            <w:pPr>
              <w:ind w:left="80"/>
              <w:spacing w:after="0"/>
              <w:rPr>
                <w:sz w:val="20"/>
                <w:szCs w:val="20"/>
                <w:color w:val="auto"/>
              </w:rPr>
            </w:pPr>
            <w:r>
              <w:rPr>
                <w:rFonts w:ascii="Arial" w:cs="Arial" w:eastAsia="Arial" w:hAnsi="Arial"/>
                <w:sz w:val="9"/>
                <w:szCs w:val="9"/>
                <w:color w:val="auto"/>
              </w:rPr>
              <w:t>S.A. for the performance of their mandate during the year ended December 31, 2009.</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-62230</wp:posOffset>
            </wp:positionV>
            <wp:extent cx="64135" cy="812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35" cy="812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4200"/>
        <w:spacing w:after="0"/>
        <w:tabs>
          <w:tab w:leader="none" w:pos="4500" w:val="left"/>
          <w:tab w:leader="none" w:pos="4960" w:val="left"/>
        </w:tabs>
        <w:rPr>
          <w:sz w:val="20"/>
          <w:szCs w:val="20"/>
          <w:color w:val="auto"/>
        </w:rPr>
      </w:pPr>
      <w:r>
        <w:rPr>
          <w:rFonts w:ascii="Arial" w:cs="Arial" w:eastAsia="Arial" w:hAnsi="Arial"/>
          <w:sz w:val="9"/>
          <w:szCs w:val="9"/>
          <w:b w:val="1"/>
          <w:bCs w:val="1"/>
          <w:color w:val="auto"/>
        </w:rPr>
        <w:t>For</w:t>
        <w:tab/>
        <w:t>Against</w:t>
        <w:tab/>
        <w:t>Abstain</w:t>
      </w:r>
    </w:p>
    <w:p>
      <w:pPr>
        <w:spacing w:after="0" w:line="65" w:lineRule="exact"/>
        <w:rPr>
          <w:sz w:val="20"/>
          <w:szCs w:val="20"/>
          <w:color w:val="auto"/>
        </w:rPr>
      </w:pPr>
    </w:p>
    <w:p>
      <w:pPr>
        <w:spacing w:after="0"/>
        <w:tabs>
          <w:tab w:leader="none" w:pos="160" w:val="left"/>
          <w:tab w:leader="none" w:pos="4240" w:val="left"/>
          <w:tab w:leader="none" w:pos="4640" w:val="left"/>
          <w:tab w:leader="none" w:pos="5100" w:val="left"/>
        </w:tabs>
        <w:rPr>
          <w:sz w:val="20"/>
          <w:szCs w:val="20"/>
          <w:color w:val="auto"/>
        </w:rPr>
      </w:pPr>
      <w:r>
        <w:rPr>
          <w:rFonts w:ascii="Arial" w:cs="Arial" w:eastAsia="Arial" w:hAnsi="Arial"/>
          <w:sz w:val="9"/>
          <w:szCs w:val="9"/>
          <w:b w:val="1"/>
          <w:bCs w:val="1"/>
          <w:color w:val="auto"/>
        </w:rPr>
        <w:t>7</w:t>
      </w:r>
      <w:r>
        <w:rPr>
          <w:sz w:val="20"/>
          <w:szCs w:val="20"/>
          <w:color w:val="auto"/>
        </w:rPr>
        <w:tab/>
      </w:r>
      <w:r>
        <w:rPr>
          <w:rFonts w:ascii="Arial" w:cs="Arial" w:eastAsia="Arial" w:hAnsi="Arial"/>
          <w:sz w:val="9"/>
          <w:szCs w:val="9"/>
          <w:color w:val="auto"/>
        </w:rPr>
        <w:t>In their discretion, upon such other matters that may properly come before the meeting or</w:t>
      </w:r>
      <w:r>
        <w:rPr>
          <w:sz w:val="20"/>
          <w:szCs w:val="20"/>
          <w:color w:val="auto"/>
        </w:rPr>
        <w:tab/>
      </w:r>
      <w:r>
        <w:rPr>
          <w:rFonts w:ascii="Arial" w:cs="Arial" w:eastAsia="Arial" w:hAnsi="Arial"/>
          <w:sz w:val="9"/>
          <w:szCs w:val="9"/>
          <w:color w:val="auto"/>
        </w:rPr>
        <w:t>o</w:t>
      </w:r>
      <w:r>
        <w:rPr>
          <w:sz w:val="20"/>
          <w:szCs w:val="20"/>
          <w:color w:val="auto"/>
        </w:rPr>
        <w:tab/>
      </w:r>
      <w:r>
        <w:rPr>
          <w:rFonts w:ascii="Arial" w:cs="Arial" w:eastAsia="Arial" w:hAnsi="Arial"/>
          <w:sz w:val="9"/>
          <w:szCs w:val="9"/>
          <w:color w:val="auto"/>
        </w:rPr>
        <w:t>o</w:t>
      </w:r>
      <w:r>
        <w:rPr>
          <w:sz w:val="20"/>
          <w:szCs w:val="20"/>
          <w:color w:val="auto"/>
        </w:rPr>
        <w:tab/>
      </w:r>
      <w:r>
        <w:rPr>
          <w:rFonts w:ascii="Arial" w:cs="Arial" w:eastAsia="Arial" w:hAnsi="Arial"/>
          <w:sz w:val="7"/>
          <w:szCs w:val="7"/>
          <w:color w:val="auto"/>
        </w:rPr>
        <w: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9"/>
          <w:szCs w:val="9"/>
          <w:color w:val="auto"/>
        </w:rPr>
        <w:t>any adjournment or adjournments thereof.</w:t>
      </w:r>
    </w:p>
    <w:p>
      <w:pPr>
        <w:spacing w:after="0" w:line="267" w:lineRule="exact"/>
        <w:rPr>
          <w:sz w:val="20"/>
          <w:szCs w:val="20"/>
          <w:color w:val="auto"/>
        </w:rPr>
      </w:pPr>
    </w:p>
    <w:p>
      <w:pPr>
        <w:ind w:right="220"/>
        <w:spacing w:after="0" w:line="251" w:lineRule="auto"/>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The shares represented by this proxy when properly executed will be voted in the manner directed herein by the</w:t>
      </w:r>
      <w:r>
        <w:rPr>
          <w:rFonts w:ascii="Arial" w:cs="Arial" w:eastAsia="Arial" w:hAnsi="Arial"/>
          <w:sz w:val="9"/>
          <w:szCs w:val="9"/>
          <w:b w:val="1"/>
          <w:bCs w:val="1"/>
          <w:color w:val="auto"/>
        </w:rPr>
        <w:t xml:space="preserve"> </w:t>
      </w:r>
      <w:r>
        <w:rPr>
          <w:rFonts w:ascii="Arial" w:cs="Arial" w:eastAsia="Arial" w:hAnsi="Arial"/>
          <w:sz w:val="9"/>
          <w:szCs w:val="9"/>
          <w:color w:val="auto"/>
        </w:rPr>
        <w:t>undersigned Stockholder(s). If no direction is made, this proxy will be voted FOR items 1, 2, 3, 4, 5, 6, and 7. If any other matters properly come before the meeting, or if cumulative voting is required, the person named in this proxy will vote in their discretion.</w:t>
      </w:r>
    </w:p>
    <w:p>
      <w:pPr>
        <w:spacing w:after="0" w:line="742" w:lineRule="exact"/>
        <w:rPr>
          <w:sz w:val="20"/>
          <w:szCs w:val="20"/>
          <w:color w:val="auto"/>
        </w:rPr>
      </w:pPr>
    </w:p>
    <w:p>
      <w:pPr>
        <w:sectPr>
          <w:pgSz w:w="11900" w:h="16838" w:orient="portrait"/>
          <w:cols w:equalWidth="0" w:num="2">
            <w:col w:w="5700" w:space="460"/>
            <w:col w:w="5380"/>
          </w:cols>
          <w:pgMar w:left="220" w:top="349" w:right="139" w:bottom="1440" w:gutter="0" w:footer="0" w:header="0"/>
          <w:type w:val="continuous"/>
        </w:sectPr>
      </w:pPr>
    </w:p>
    <w:p>
      <w:pPr>
        <w:ind w:left="360"/>
        <w:spacing w:after="0"/>
        <w:rPr>
          <w:sz w:val="20"/>
          <w:szCs w:val="20"/>
          <w:color w:val="auto"/>
        </w:rPr>
      </w:pPr>
      <w:r>
        <w:rPr>
          <w:rFonts w:ascii="Arial" w:cs="Arial" w:eastAsia="Arial" w:hAnsi="Arial"/>
          <w:sz w:val="9"/>
          <w:szCs w:val="9"/>
          <w:color w:val="auto"/>
        </w:rPr>
        <w:t>Please sign exactly as your name(s) appear(s) hereon. When signing as attorney, executor, administrator, or other fiduciary,</w:t>
      </w:r>
    </w:p>
    <w:p>
      <w:pPr>
        <w:ind w:left="360"/>
        <w:spacing w:after="0" w:line="233" w:lineRule="auto"/>
        <w:rPr>
          <w:sz w:val="20"/>
          <w:szCs w:val="20"/>
          <w:color w:val="auto"/>
        </w:rPr>
      </w:pPr>
      <w:r>
        <w:rPr>
          <w:rFonts w:ascii="Arial" w:cs="Arial" w:eastAsia="Arial" w:hAnsi="Arial"/>
          <w:sz w:val="9"/>
          <w:szCs w:val="9"/>
          <w:color w:val="auto"/>
        </w:rPr>
        <w:t>please give full title as such. Joint owners should each sign personally. All holders must sign. If a corporation or partnership,</w:t>
      </w:r>
    </w:p>
    <w:p>
      <w:pPr>
        <w:ind w:left="360"/>
        <w:spacing w:after="0"/>
        <w:rPr>
          <w:sz w:val="20"/>
          <w:szCs w:val="20"/>
          <w:color w:val="auto"/>
        </w:rPr>
      </w:pPr>
      <w:r>
        <w:rPr>
          <w:rFonts w:ascii="Arial" w:cs="Arial" w:eastAsia="Arial" w:hAnsi="Arial"/>
          <w:sz w:val="9"/>
          <w:szCs w:val="9"/>
          <w:color w:val="auto"/>
        </w:rPr>
        <w:t>please sign in full corporate or partnership name, by authorized officer.</w:t>
      </w:r>
    </w:p>
    <w:p>
      <w:pPr>
        <w:spacing w:after="0" w:line="200" w:lineRule="exact"/>
        <w:rPr>
          <w:sz w:val="20"/>
          <w:szCs w:val="20"/>
          <w:color w:val="auto"/>
        </w:rPr>
      </w:pPr>
    </w:p>
    <w:p>
      <w:pPr>
        <w:spacing w:after="0" w:line="220" w:lineRule="exact"/>
        <w:rPr>
          <w:sz w:val="20"/>
          <w:szCs w:val="20"/>
          <w:color w:val="auto"/>
        </w:rPr>
      </w:pPr>
    </w:p>
    <w:p>
      <w:pPr>
        <w:ind w:left="360"/>
        <w:spacing w:after="0"/>
        <w:tabs>
          <w:tab w:leader="none" w:pos="3280" w:val="left"/>
          <w:tab w:leader="none" w:pos="6120" w:val="left"/>
          <w:tab w:leader="none" w:pos="9060" w:val="left"/>
        </w:tabs>
        <w:rPr>
          <w:sz w:val="20"/>
          <w:szCs w:val="20"/>
          <w:color w:val="auto"/>
        </w:rPr>
      </w:pPr>
      <w:r>
        <w:rPr>
          <w:rFonts w:ascii="Arial" w:cs="Arial" w:eastAsia="Arial" w:hAnsi="Arial"/>
          <w:sz w:val="9"/>
          <w:szCs w:val="9"/>
          <w:color w:val="auto"/>
        </w:rPr>
        <w:t>Signature [PLEASE SIGN WITHIN BOX]</w:t>
      </w:r>
      <w:r>
        <w:rPr>
          <w:sz w:val="20"/>
          <w:szCs w:val="20"/>
          <w:color w:val="auto"/>
        </w:rPr>
        <w:tab/>
      </w:r>
      <w:r>
        <w:rPr>
          <w:rFonts w:ascii="Arial" w:cs="Arial" w:eastAsia="Arial" w:hAnsi="Arial"/>
          <w:sz w:val="9"/>
          <w:szCs w:val="9"/>
          <w:color w:val="auto"/>
        </w:rPr>
        <w:t>Date</w:t>
      </w:r>
      <w:r>
        <w:rPr>
          <w:sz w:val="20"/>
          <w:szCs w:val="20"/>
          <w:color w:val="auto"/>
        </w:rPr>
        <w:tab/>
      </w:r>
      <w:r>
        <w:rPr>
          <w:rFonts w:ascii="Arial" w:cs="Arial" w:eastAsia="Arial" w:hAnsi="Arial"/>
          <w:sz w:val="9"/>
          <w:szCs w:val="9"/>
          <w:color w:val="auto"/>
        </w:rPr>
        <w:t>Signature (Joint Owners)</w:t>
      </w:r>
      <w:r>
        <w:rPr>
          <w:sz w:val="20"/>
          <w:szCs w:val="20"/>
          <w:color w:val="auto"/>
        </w:rPr>
        <w:tab/>
      </w:r>
      <w:r>
        <w:rPr>
          <w:rFonts w:ascii="Arial" w:cs="Arial" w:eastAsia="Arial" w:hAnsi="Arial"/>
          <w:sz w:val="9"/>
          <w:szCs w:val="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540"/>
          </w:cols>
          <w:pgMar w:left="220" w:top="349" w:right="139" w:bottom="1440" w:gutter="0" w:footer="0" w:header="0"/>
          <w:type w:val="continuous"/>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 xml:space="preserve">Important Notice Regarding the Availability of Proxy Materials for the Annual Meeting: </w:t>
      </w:r>
      <w:r>
        <w:rPr>
          <w:rFonts w:ascii="Arial" w:cs="Arial" w:eastAsia="Arial" w:hAnsi="Arial"/>
          <w:sz w:val="12"/>
          <w:szCs w:val="12"/>
          <w:color w:val="auto"/>
        </w:rPr>
        <w:t>The Form 10-K, Notice &amp; Proxy Statement is/are available at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www.proxyvote.com</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176530</wp:posOffset>
            </wp:positionV>
            <wp:extent cx="7180580" cy="2245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2245995"/>
                    </a:xfrm>
                    <a:prstGeom prst="rect">
                      <a:avLst/>
                    </a:prstGeom>
                    <a:noFill/>
                  </pic:spPr>
                </pic:pic>
              </a:graphicData>
            </a:graphic>
          </wp:anchor>
        </w:drawing>
      </w:r>
    </w:p>
    <w:p>
      <w:pPr>
        <w:spacing w:after="0" w:line="368"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ALTISOURCE PORTFOLIO SOLUTIONS S.A.</w:t>
      </w:r>
    </w:p>
    <w:p>
      <w:pPr>
        <w:jc w:val="center"/>
        <w:ind w:left="500"/>
        <w:spacing w:after="0" w:line="233" w:lineRule="auto"/>
        <w:rPr>
          <w:sz w:val="20"/>
          <w:szCs w:val="20"/>
          <w:color w:val="auto"/>
        </w:rPr>
      </w:pPr>
      <w:r>
        <w:rPr>
          <w:rFonts w:ascii="Arial" w:cs="Arial" w:eastAsia="Arial" w:hAnsi="Arial"/>
          <w:sz w:val="15"/>
          <w:szCs w:val="15"/>
          <w:b w:val="1"/>
          <w:bCs w:val="1"/>
          <w:color w:val="auto"/>
        </w:rPr>
        <w:t>2, rue Jean Bertholet - L-1233 Luxembourg</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Grand Duchy of Luxembourg</w:t>
      </w: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THIS PROXY IS SOLICITED ON BEHALF OF THE BOARD OF DIRECTORS</w:t>
      </w:r>
    </w:p>
    <w:p>
      <w:pPr>
        <w:spacing w:after="0" w:line="18"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ANNUAL MEETING OF SHAREHOLDERS</w:t>
      </w:r>
    </w:p>
    <w:p>
      <w:pPr>
        <w:spacing w:after="0" w:line="2"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Wednesday, May 19, 2010</w:t>
      </w:r>
    </w:p>
    <w:p>
      <w:pPr>
        <w:spacing w:after="0" w:line="200" w:lineRule="exact"/>
        <w:rPr>
          <w:sz w:val="20"/>
          <w:szCs w:val="20"/>
          <w:color w:val="auto"/>
        </w:rPr>
      </w:pPr>
    </w:p>
    <w:p>
      <w:pPr>
        <w:spacing w:after="0" w:line="205" w:lineRule="exact"/>
        <w:rPr>
          <w:sz w:val="20"/>
          <w:szCs w:val="20"/>
          <w:color w:val="auto"/>
        </w:rPr>
      </w:pPr>
    </w:p>
    <w:p>
      <w:pPr>
        <w:ind w:left="820"/>
        <w:spacing w:after="0" w:line="249" w:lineRule="auto"/>
        <w:rPr>
          <w:sz w:val="20"/>
          <w:szCs w:val="20"/>
          <w:color w:val="auto"/>
        </w:rPr>
      </w:pPr>
      <w:r>
        <w:rPr>
          <w:rFonts w:ascii="Arial" w:cs="Arial" w:eastAsia="Arial" w:hAnsi="Arial"/>
          <w:sz w:val="13"/>
          <w:szCs w:val="13"/>
          <w:color w:val="auto"/>
        </w:rPr>
        <w:t>The shareholders hereby appoint William C. Erbey, William B. Shepro and Kevin J. Wilcox, or either of them, as proxies, each with the power to appoint his substitute, and hereby authorize either of them to represent and to vote, as designated on the reverse side of this ballot, all of the shares of Common Stock of Altisource Portfolio Solutions S.A. that the shareholders are entitled to vote at the Annual Meeting of Shareholders to be held at 9:00 a.m., (Central European Time) on May 19, 2010, at 2, rue Jean Bertholet, L-1233 Luxembourg, Grand Duchy of Luxembourg, and any adjournment or postponement thereof.</w:t>
      </w:r>
    </w:p>
    <w:p>
      <w:pPr>
        <w:spacing w:after="0" w:line="49" w:lineRule="exact"/>
        <w:rPr>
          <w:sz w:val="20"/>
          <w:szCs w:val="20"/>
          <w:color w:val="auto"/>
        </w:rPr>
      </w:pPr>
    </w:p>
    <w:p>
      <w:pPr>
        <w:ind w:left="820" w:right="20"/>
        <w:spacing w:after="0" w:line="287" w:lineRule="auto"/>
        <w:rPr>
          <w:sz w:val="20"/>
          <w:szCs w:val="20"/>
          <w:color w:val="auto"/>
        </w:rPr>
      </w:pPr>
      <w:r>
        <w:rPr>
          <w:rFonts w:ascii="Arial" w:cs="Arial" w:eastAsia="Arial" w:hAnsi="Arial"/>
          <w:sz w:val="13"/>
          <w:szCs w:val="13"/>
          <w:b w:val="1"/>
          <w:bCs w:val="1"/>
          <w:color w:val="auto"/>
        </w:rPr>
        <w:t>THIS PROXY, WHEN PROPERLY EXECUTED, WILL BE VOTED AS DIRECTED BY THE SHAREHOLDERS. IF NO SUCH DIRECTIONS ARE MADE, THIS PROXY WILL BE VOTED FOR THE ELECTION OF THE NOMINEES LISTED ON THE REVERSE SIDE FOR THE BOARD OF DIRECTORS AND FOR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-120015</wp:posOffset>
            </wp:positionV>
            <wp:extent cx="64135" cy="812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35" cy="812800"/>
                    </a:xfrm>
                    <a:prstGeom prst="rect">
                      <a:avLst/>
                    </a:prstGeom>
                    <a:noFill/>
                  </pic:spPr>
                </pic:pic>
              </a:graphicData>
            </a:graphic>
          </wp:anchor>
        </w:drawing>
      </w:r>
    </w:p>
    <w:p>
      <w:pPr>
        <w:spacing w:after="0" w:line="5"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PLEASE MARK, SIGN, DATE AND RETURN THIS PROXY CARD PROMPTLY USING THE ENCLOSED REPLY ENVELOPE.</w:t>
      </w:r>
    </w:p>
    <w:p>
      <w:pPr>
        <w:spacing w:after="0" w:line="324"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680085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60"/>
          </w:cols>
          <w:pgMar w:left="220" w:top="349" w:right="3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ALTISOURCE PORTFOLIO SOLUTIONS S.A.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 rue Jean Bertholet – L-1233 Luxembourg</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Grand Duchy of Luxembourg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REVOCABLE PROXY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THlS PROXY IS SOLICITED ON BEHALF OF THE BOARD OF DIRECTORS OF</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ALTISOURCE PORTFOLIO SOLUTIONS S.A.</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USE ONLY AT THE ANNUAL MEETING OF SHAREHOLDERS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TO BE HELD ON MAY 19, 2010, AND AT ANY ADJOURNMENT THEREOF.</w:t>
      </w:r>
    </w:p>
    <w:p>
      <w:pPr>
        <w:spacing w:after="0" w:line="142"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Stock”)of Altisource Portfolio Solutions S.A. (the “Company”) held of record by the undersigned on March 15, 2010 at the Annual Meeting of Shareholders to be held at the offices of the Company located at 2, rue Jean Bertholet, L-1233 Luxembourg, Grand Duchy of Luxembourg on Wednesday, May 19, 2010, at 9:00 a.m., Central European Time and at any adjournment thereof.</w:t>
      </w:r>
    </w:p>
    <w:p>
      <w:pPr>
        <w:spacing w:after="0" w:line="101"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 xml:space="preserve">Shares of Common Stock of the Company will be voted as specified. </w:t>
      </w:r>
      <w:r>
        <w:rPr>
          <w:rFonts w:ascii="Arial" w:cs="Arial" w:eastAsia="Arial" w:hAnsi="Arial"/>
          <w:sz w:val="13"/>
          <w:szCs w:val="13"/>
          <w:b w:val="1"/>
          <w:bCs w:val="1"/>
          <w:color w:val="auto"/>
        </w:rPr>
        <w:t>If you execute and return this proxy without specific voting instructions, this proxy will be voted FOR the election of each of the Board</w:t>
      </w:r>
      <w:r>
        <w:rPr>
          <w:rFonts w:ascii="Arial" w:cs="Arial" w:eastAsia="Arial" w:hAnsi="Arial"/>
          <w:sz w:val="13"/>
          <w:szCs w:val="13"/>
          <w:color w:val="auto"/>
        </w:rPr>
        <w:t xml:space="preserve"> </w:t>
      </w:r>
      <w:r>
        <w:rPr>
          <w:rFonts w:ascii="Arial" w:cs="Arial" w:eastAsia="Arial" w:hAnsi="Arial"/>
          <w:sz w:val="13"/>
          <w:szCs w:val="13"/>
          <w:b w:val="1"/>
          <w:bCs w:val="1"/>
          <w:color w:val="auto"/>
        </w:rPr>
        <w:t>of Directors’ nominees to the Board of Directors, FOR the ratification of the appointment of Deloitte &amp; Touche LLP as the independent registered certified public accounting firm, FOR the proposal to approve the share repurchase program whereby the Company may purchase outstanding shares of its Common Stock, FOR the proposal to approve the Directors’ reports (“</w:t>
      </w:r>
      <w:r>
        <w:rPr>
          <w:rFonts w:ascii="Arial" w:cs="Arial" w:eastAsia="Arial" w:hAnsi="Arial"/>
          <w:sz w:val="13"/>
          <w:szCs w:val="13"/>
          <w:b w:val="1"/>
          <w:bCs w:val="1"/>
          <w:i w:val="1"/>
          <w:iCs w:val="1"/>
          <w:color w:val="auto"/>
        </w:rPr>
        <w:t>rapports de gestion</w:t>
      </w:r>
      <w:r>
        <w:rPr>
          <w:rFonts w:ascii="Arial" w:cs="Arial" w:eastAsia="Arial" w:hAnsi="Arial"/>
          <w:sz w:val="13"/>
          <w:szCs w:val="13"/>
          <w:b w:val="1"/>
          <w:bCs w:val="1"/>
          <w:color w:val="auto"/>
        </w:rPr>
        <w:t xml:space="preserve">”) on the Luxembourg statutory accounts for the years ended December 31, 2009, December 31, 2008 and December 31, 2007, FOR the proposal to approve the Luxembourg statutory accounts for the years ended December 31, 2009, December 31, 2008 and December 31, 2007 and to allocate the results of the years ended December 31, 2009, December 31, 2008 and December 31, 2007 and FOR the proposal to approve the discharge of each of the current and past Directors of the Company for the performance of their mandate during the year ended December 31, 2009. </w:t>
      </w:r>
      <w:r>
        <w:rPr>
          <w:rFonts w:ascii="Arial" w:cs="Arial" w:eastAsia="Arial" w:hAnsi="Arial"/>
          <w:sz w:val="13"/>
          <w:szCs w:val="13"/>
          <w:color w:val="auto"/>
        </w:rPr>
        <w:t>You may revoke this proxy</w:t>
      </w:r>
      <w:r>
        <w:rPr>
          <w:rFonts w:ascii="Arial" w:cs="Arial" w:eastAsia="Arial" w:hAnsi="Arial"/>
          <w:sz w:val="13"/>
          <w:szCs w:val="13"/>
          <w:b w:val="1"/>
          <w:bCs w:val="1"/>
          <w:color w:val="auto"/>
        </w:rPr>
        <w:t xml:space="preserve"> </w:t>
      </w:r>
      <w:r>
        <w:rPr>
          <w:rFonts w:ascii="Arial" w:cs="Arial" w:eastAsia="Arial" w:hAnsi="Arial"/>
          <w:sz w:val="13"/>
          <w:szCs w:val="13"/>
          <w:color w:val="auto"/>
        </w:rPr>
        <w:t>at any time prior to the time it is voted at the Annual Meeting.</w:t>
      </w:r>
    </w:p>
    <w:p>
      <w:pPr>
        <w:spacing w:after="0" w:line="106"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The undersigned hereby acknowledges receipt of the Notice of Annual Meeting of Shareholders of Altisource Portfolio Solutions S.A. to be held on May 19, 2010, or any adjournment thereof, a Proxy Statement for the Annual Meeting and the 2009 Annual Report to Shareholders of the Company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330440"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0440" cy="3771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(Continued and to be dated and signed on the reverse side)</w:t>
      </w:r>
    </w:p>
    <w:sectPr>
      <w:pgSz w:w="11900" w:h="16838" w:orient="portrait"/>
      <w:cols w:equalWidth="0" w:num="1">
        <w:col w:w="11440"/>
      </w:cols>
      <w:pgMar w:left="220" w:top="3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o"/>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o"/>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lvl>
    <w:lvl w:ilvl="1">
      <w:lvlJc w:val="left"/>
      <w:lvlText w:val="o"/>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3"/>
    </w:lvl>
    <w:lvl w:ilvl="1">
      <w:lvlJc w:val="left"/>
      <w:lvlText w:val="(%2)"/>
      <w:numFmt w:val="decimal"/>
      <w:start w:val="10"/>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7"/>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2019-12-11T06:58:19Z</dcterms:created>
  <dcterms:modified xsi:type="dcterms:W3CDTF">2019-12-11T06:58:19Z</dcterms:modified>
</cp:coreProperties>
</file>