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137795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191135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04" w:lineRule="exact"/>
        <w:rPr>
          <w:sz w:val="24"/>
          <w:szCs w:val="24"/>
          <w:color w:val="auto"/>
        </w:rPr>
      </w:pPr>
    </w:p>
    <w:p>
      <w:pPr>
        <w:ind w:left="660" w:right="280" w:hanging="328"/>
        <w:spacing w:after="0" w:line="267" w:lineRule="auto"/>
        <w:tabs>
          <w:tab w:leader="none" w:pos="49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 FOR THE FISCAL YEAR ENDED DECEMBER 31, 2012</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o TRANSITION REPORT PURSUANT TO SECTION 13 OR 15(d) OF THE SECURITIES EXCHANGE ACT OF 1934 FOR</w:t>
      </w:r>
    </w:p>
    <w:p>
      <w:pPr>
        <w:spacing w:after="0" w:line="33" w:lineRule="exact"/>
        <w:rPr>
          <w:sz w:val="24"/>
          <w:szCs w:val="24"/>
          <w:color w:val="auto"/>
        </w:rPr>
      </w:pPr>
    </w:p>
    <w:p>
      <w:pPr>
        <w:ind w:left="660"/>
        <w:spacing w:after="0"/>
        <w:tabs>
          <w:tab w:leader="none" w:pos="4280" w:val="left"/>
        </w:tabs>
        <w:rPr>
          <w:sz w:val="20"/>
          <w:szCs w:val="20"/>
          <w:color w:val="auto"/>
        </w:rPr>
      </w:pPr>
      <w:r>
        <w:rPr>
          <w:rFonts w:ascii="Arial" w:cs="Arial" w:eastAsia="Arial" w:hAnsi="Arial"/>
          <w:sz w:val="20"/>
          <w:szCs w:val="20"/>
          <w:b w:val="1"/>
          <w:bCs w:val="1"/>
          <w:color w:val="auto"/>
        </w:rPr>
        <w:t>THE TRANSITION PERIOD FROM</w:t>
      </w:r>
      <w:r>
        <w:rPr>
          <w:sz w:val="20"/>
          <w:szCs w:val="20"/>
          <w:color w:val="auto"/>
        </w:rPr>
        <w:tab/>
      </w:r>
      <w:r>
        <w:rPr>
          <w:rFonts w:ascii="Arial" w:cs="Arial" w:eastAsia="Arial" w:hAnsi="Arial"/>
          <w:sz w:val="20"/>
          <w:szCs w:val="20"/>
          <w:b w:val="1"/>
          <w:bCs w:val="1"/>
          <w:color w:val="auto"/>
        </w:rPr>
        <w:t>TO</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192405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Altisource Portfolio Solutions S.A.</w:t>
      </w: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0"/>
          </w:cols>
          <w:pgMar w:left="240" w:top="233" w:right="279" w:bottom="0" w:gutter="0" w:footer="0" w:header="0"/>
        </w:sectPr>
      </w:pPr>
    </w:p>
    <w:p>
      <w:pPr>
        <w:spacing w:after="0" w:line="16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Luxembourg</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580"/>
        <w:spacing w:after="0"/>
        <w:rPr>
          <w:sz w:val="20"/>
          <w:szCs w:val="20"/>
          <w:color w:val="auto"/>
        </w:rPr>
      </w:pPr>
      <w:r>
        <w:rPr>
          <w:rFonts w:ascii="Arial" w:cs="Arial" w:eastAsia="Arial" w:hAnsi="Arial"/>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720" w:space="720"/>
            <w:col w:w="3940"/>
          </w:cols>
          <w:pgMar w:left="240" w:top="233" w:right="279" w:bottom="0" w:gutter="0" w:footer="0" w:header="0"/>
          <w:type w:val="continuous"/>
        </w:sectPr>
      </w:pPr>
    </w:p>
    <w:p>
      <w:pPr>
        <w:ind w:left="5060"/>
        <w:spacing w:after="0"/>
        <w:rPr>
          <w:sz w:val="20"/>
          <w:szCs w:val="20"/>
          <w:color w:val="auto"/>
        </w:rPr>
      </w:pPr>
      <w:r>
        <w:rPr>
          <w:rFonts w:ascii="Arial" w:cs="Arial" w:eastAsia="Arial" w:hAnsi="Arial"/>
          <w:sz w:val="16"/>
          <w:szCs w:val="16"/>
          <w:b w:val="1"/>
          <w:bCs w:val="1"/>
          <w:color w:val="auto"/>
        </w:rPr>
        <w:t>291, Route d’Arlon</w:t>
      </w:r>
    </w:p>
    <w:p>
      <w:pPr>
        <w:spacing w:after="0" w:line="26" w:lineRule="exact"/>
        <w:rPr>
          <w:sz w:val="24"/>
          <w:szCs w:val="24"/>
          <w:color w:val="auto"/>
        </w:rPr>
      </w:pPr>
    </w:p>
    <w:p>
      <w:pPr>
        <w:ind w:left="5000"/>
        <w:spacing w:after="0"/>
        <w:rPr>
          <w:sz w:val="20"/>
          <w:szCs w:val="20"/>
          <w:color w:val="auto"/>
        </w:rPr>
      </w:pPr>
      <w:r>
        <w:rPr>
          <w:rFonts w:ascii="Arial" w:cs="Arial" w:eastAsia="Arial" w:hAnsi="Arial"/>
          <w:sz w:val="16"/>
          <w:szCs w:val="16"/>
          <w:b w:val="1"/>
          <w:bCs w:val="1"/>
          <w:color w:val="auto"/>
        </w:rPr>
        <w:t>L-1150 Luxembourg</w:t>
      </w:r>
    </w:p>
    <w:p>
      <w:pPr>
        <w:spacing w:after="0" w:line="19"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Grand Duchy of Luxembourg</w:t>
      </w:r>
    </w:p>
    <w:p>
      <w:pPr>
        <w:ind w:left="5140"/>
        <w:spacing w:after="0" w:line="213" w:lineRule="auto"/>
        <w:rPr>
          <w:sz w:val="20"/>
          <w:szCs w:val="20"/>
          <w:color w:val="auto"/>
        </w:rPr>
      </w:pPr>
      <w:r>
        <w:rPr>
          <w:rFonts w:ascii="Arial" w:cs="Arial" w:eastAsia="Arial" w:hAnsi="Arial"/>
          <w:sz w:val="16"/>
          <w:szCs w:val="16"/>
          <w:b w:val="1"/>
          <w:bCs w:val="1"/>
          <w:color w:val="auto"/>
        </w:rPr>
        <w:t>(352) 24 69 79 00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180975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2" w:lineRule="exact"/>
        <w:rPr>
          <w:sz w:val="24"/>
          <w:szCs w:val="24"/>
          <w:color w:val="auto"/>
        </w:rPr>
      </w:pPr>
    </w:p>
    <w:tbl>
      <w:tblPr>
        <w:tblLayout w:type="fixed"/>
        <w:tblInd w:w="340" w:type="dxa"/>
        <w:tblCellMar>
          <w:top w:w="0" w:type="dxa"/>
          <w:left w:w="0" w:type="dxa"/>
          <w:bottom w:w="0" w:type="dxa"/>
          <w:right w:w="0" w:type="dxa"/>
        </w:tblCellMar>
      </w:tblPr>
      <w:tr>
        <w:trPr>
          <w:trHeight w:val="153"/>
        </w:trPr>
        <w:tc>
          <w:tcPr>
            <w:tcW w:w="1100" w:type="dxa"/>
            <w:vAlign w:val="bottom"/>
          </w:tcPr>
          <w:p>
            <w:pPr>
              <w:spacing w:after="0"/>
              <w:rPr>
                <w:sz w:val="13"/>
                <w:szCs w:val="13"/>
                <w:color w:val="auto"/>
              </w:rPr>
            </w:pPr>
          </w:p>
        </w:tc>
        <w:tc>
          <w:tcPr>
            <w:tcW w:w="3620" w:type="dxa"/>
            <w:vAlign w:val="bottom"/>
            <w:tcBorders>
              <w:bottom w:val="single" w:sz="8" w:color="auto"/>
            </w:tcBorders>
          </w:tcPr>
          <w:p>
            <w:pPr>
              <w:jc w:val="center"/>
              <w:ind w:left="508"/>
              <w:spacing w:after="0"/>
              <w:rPr>
                <w:sz w:val="20"/>
                <w:szCs w:val="20"/>
                <w:color w:val="auto"/>
              </w:rPr>
            </w:pPr>
            <w:r>
              <w:rPr>
                <w:rFonts w:ascii="Arial" w:cs="Arial" w:eastAsia="Arial" w:hAnsi="Arial"/>
                <w:sz w:val="13"/>
                <w:szCs w:val="13"/>
                <w:b w:val="1"/>
                <w:bCs w:val="1"/>
                <w:color w:val="auto"/>
                <w:w w:val="85"/>
              </w:rPr>
              <w:t>Title of each class</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3620" w:type="dxa"/>
            <w:vAlign w:val="bottom"/>
          </w:tcPr>
          <w:p>
            <w:pPr>
              <w:jc w:val="center"/>
              <w:ind w:left="508"/>
              <w:spacing w:after="0"/>
              <w:rPr>
                <w:sz w:val="20"/>
                <w:szCs w:val="20"/>
                <w:color w:val="auto"/>
              </w:rPr>
            </w:pPr>
            <w:r>
              <w:rPr>
                <w:rFonts w:ascii="Arial" w:cs="Arial" w:eastAsia="Arial" w:hAnsi="Arial"/>
                <w:sz w:val="16"/>
                <w:szCs w:val="16"/>
                <w:color w:val="auto"/>
                <w:w w:val="90"/>
              </w:rPr>
              <w:t>Common Stock, $1.00 par value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287"/>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4920" w:type="dxa"/>
            <w:vAlign w:val="bottom"/>
            <w:gridSpan w:val="3"/>
            <w:vMerge w:val="restart"/>
          </w:tcPr>
          <w:p>
            <w:pPr>
              <w:ind w:left="480"/>
              <w:spacing w:after="0"/>
              <w:rPr>
                <w:sz w:val="20"/>
                <w:szCs w:val="20"/>
                <w:color w:val="auto"/>
              </w:rPr>
            </w:pPr>
            <w:r>
              <w:rPr>
                <w:rFonts w:ascii="Arial" w:cs="Arial" w:eastAsia="Arial" w:hAnsi="Arial"/>
                <w:sz w:val="16"/>
                <w:szCs w:val="16"/>
                <w:b w:val="1"/>
                <w:bCs w:val="1"/>
                <w:color w:val="auto"/>
              </w:rPr>
              <w:t>None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9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340" w:right="2400"/>
        <w:spacing w:after="0" w:line="442"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80" w:firstLine="324"/>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3" w:lineRule="exact"/>
        <w:rPr>
          <w:sz w:val="24"/>
          <w:szCs w:val="24"/>
          <w:color w:val="auto"/>
        </w:rPr>
      </w:pPr>
    </w:p>
    <w:p>
      <w:pPr>
        <w:ind w:right="280" w:firstLine="324"/>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 Yes x No o</w:t>
      </w:r>
    </w:p>
    <w:p>
      <w:pPr>
        <w:spacing w:after="0" w:line="63" w:lineRule="exact"/>
        <w:rPr>
          <w:sz w:val="24"/>
          <w:szCs w:val="24"/>
          <w:color w:val="auto"/>
        </w:rPr>
      </w:pPr>
    </w:p>
    <w:p>
      <w:pPr>
        <w:ind w:right="560" w:firstLine="324"/>
        <w:spacing w:after="0" w:line="278"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x</w:t>
      </w:r>
    </w:p>
    <w:p>
      <w:pPr>
        <w:spacing w:after="0" w:line="63" w:lineRule="exact"/>
        <w:rPr>
          <w:sz w:val="24"/>
          <w:szCs w:val="24"/>
          <w:color w:val="auto"/>
        </w:rPr>
      </w:pPr>
    </w:p>
    <w:p>
      <w:pPr>
        <w:ind w:right="100" w:firstLine="324"/>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0" w:gutter="0" w:footer="0" w:header="0"/>
          <w:type w:val="continuous"/>
        </w:sectPr>
      </w:pPr>
    </w:p>
    <w:p>
      <w:pPr>
        <w:spacing w:after="0" w:line="50"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0" w:lineRule="exact"/>
        <w:rPr>
          <w:sz w:val="24"/>
          <w:szCs w:val="24"/>
          <w:color w:val="auto"/>
        </w:rPr>
      </w:pPr>
    </w:p>
    <w:p>
      <w:pPr>
        <w:sectPr>
          <w:pgSz w:w="11900" w:h="16838" w:orient="portrait"/>
          <w:cols w:equalWidth="0" w:num="2">
            <w:col w:w="7280" w:space="720"/>
            <w:col w:w="3380"/>
          </w:cols>
          <w:pgMar w:left="240" w:top="233" w:right="279" w:bottom="0" w:gutter="0" w:footer="0" w:header="0"/>
          <w:type w:val="continuous"/>
        </w:sectPr>
      </w:pPr>
    </w:p>
    <w:p>
      <w:pPr>
        <w:spacing w:after="0" w:line="33"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Non-accelerated filer o</w:t>
      </w:r>
    </w:p>
    <w:p>
      <w:pPr>
        <w:spacing w:after="0" w:line="22"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26" w:lineRule="exact"/>
        <w:rPr>
          <w:sz w:val="24"/>
          <w:szCs w:val="24"/>
          <w:color w:val="auto"/>
        </w:rPr>
      </w:pPr>
    </w:p>
    <w:p>
      <w:pPr>
        <w:sectPr>
          <w:pgSz w:w="11900" w:h="16838" w:orient="portrait"/>
          <w:cols w:equalWidth="0" w:num="2">
            <w:col w:w="6940" w:space="720"/>
            <w:col w:w="3720"/>
          </w:cols>
          <w:pgMar w:left="240" w:top="233" w:right="279" w:bottom="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113" w:lineRule="exact"/>
        <w:rPr>
          <w:sz w:val="24"/>
          <w:szCs w:val="24"/>
          <w:color w:val="auto"/>
        </w:rPr>
      </w:pPr>
    </w:p>
    <w:p>
      <w:pPr>
        <w:ind w:firstLine="324"/>
        <w:spacing w:after="0" w:line="278"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2012 was $1,269,084,321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63" w:lineRule="exact"/>
        <w:rPr>
          <w:sz w:val="24"/>
          <w:szCs w:val="24"/>
          <w:color w:val="auto"/>
        </w:rPr>
      </w:pPr>
    </w:p>
    <w:p>
      <w:pPr>
        <w:jc w:val="center"/>
        <w:ind w:left="260" w:right="320"/>
        <w:spacing w:after="0" w:line="387" w:lineRule="auto"/>
        <w:rPr>
          <w:sz w:val="20"/>
          <w:szCs w:val="20"/>
          <w:color w:val="auto"/>
        </w:rPr>
      </w:pPr>
      <w:r>
        <w:rPr>
          <w:rFonts w:ascii="Arial" w:cs="Arial" w:eastAsia="Arial" w:hAnsi="Arial"/>
          <w:sz w:val="16"/>
          <w:szCs w:val="16"/>
          <w:color w:val="auto"/>
        </w:rPr>
        <w:t>As of January 31, 2013, there were 23,426,763 outstanding shares of the Registrant’s shares of beneficial interest (excluding 1,985,985 shares held as treasury stock). DOCUMENTS INCORPORATED BY REFERENCE</w:t>
      </w:r>
    </w:p>
    <w:p>
      <w:pPr>
        <w:spacing w:after="0" w:line="1" w:lineRule="exact"/>
        <w:rPr>
          <w:sz w:val="24"/>
          <w:szCs w:val="24"/>
          <w:color w:val="auto"/>
        </w:rPr>
      </w:pPr>
    </w:p>
    <w:p>
      <w:pPr>
        <w:ind w:right="140" w:firstLine="324"/>
        <w:spacing w:after="0" w:line="305" w:lineRule="auto"/>
        <w:rPr>
          <w:sz w:val="20"/>
          <w:szCs w:val="20"/>
          <w:color w:val="auto"/>
        </w:rPr>
      </w:pPr>
      <w:r>
        <w:rPr>
          <w:rFonts w:ascii="Arial" w:cs="Arial" w:eastAsia="Arial" w:hAnsi="Arial"/>
          <w:sz w:val="15"/>
          <w:szCs w:val="15"/>
          <w:color w:val="auto"/>
        </w:rPr>
        <w:t>Portions of the registrant’s Definitive Proxy Statement to be filed subsequent to the date hereof with the Commission pursuant to Regulation 14A in connection with the registrant’s Annual Meeting of Stockholders to be held on May 15, 2013 are incorporated by reference into Part III of this Report. Such Definitive Proxy Statement will be filed with the Securities and Exchange Commission not later than 120 days after the conclusion of the registrant’s fiscal year ended 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0" w:type="dxa"/>
            <w:vAlign w:val="bottom"/>
            <w:gridSpan w:val="1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1200" w:type="dxa"/>
            <w:vAlign w:val="bottom"/>
            <w:gridSpan w:val="8"/>
            <w:vMerge w:val="restart"/>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1200" w:type="dxa"/>
            <w:vAlign w:val="bottom"/>
            <w:gridSpan w:val="8"/>
            <w:vMerge w:val="continue"/>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1000" w:type="dxa"/>
            <w:vAlign w:val="bottom"/>
            <w:gridSpan w:val="5"/>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BUSINESS</w:t>
              </w:r>
            </w:hyperlink>
          </w:p>
        </w:tc>
        <w:tc>
          <w:tcPr>
            <w:tcW w:w="8160" w:type="dxa"/>
            <w:vAlign w:val="bottom"/>
            <w:gridSpan w:val="22"/>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8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1A.</w:t>
              </w:r>
            </w:hyperlink>
          </w:p>
        </w:tc>
        <w:tc>
          <w:tcPr>
            <w:tcW w:w="840" w:type="dxa"/>
            <w:vAlign w:val="bottom"/>
            <w:gridSpan w:val="2"/>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7760" w:type="dxa"/>
            <w:vAlign w:val="bottom"/>
            <w:gridSpan w:val="18"/>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40" w:type="dxa"/>
            <w:vAlign w:val="bottom"/>
            <w:gridSpan w:val="6"/>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ITEM 1B.</w:t>
              </w:r>
            </w:hyperlink>
          </w:p>
        </w:tc>
        <w:tc>
          <w:tcPr>
            <w:tcW w:w="880" w:type="dxa"/>
            <w:vAlign w:val="bottom"/>
            <w:gridSpan w:val="3"/>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UNRESOLVED STAFF COMMENTS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ITEM 2.</w:t>
              </w:r>
            </w:hyperlink>
          </w:p>
        </w:tc>
        <w:tc>
          <w:tcPr>
            <w:tcW w:w="12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PROPERTIES</w:t>
              </w:r>
            </w:hyperlink>
          </w:p>
        </w:tc>
        <w:tc>
          <w:tcPr>
            <w:tcW w:w="1760" w:type="dxa"/>
            <w:vAlign w:val="bottom"/>
            <w:tcBorders>
              <w:top w:val="single" w:sz="8" w:color="0000EE"/>
            </w:tcBorders>
            <w:gridSpan w:val="8"/>
          </w:tcPr>
          <w:p>
            <w:pPr>
              <w:spacing w:after="0"/>
              <w:rPr>
                <w:sz w:val="17"/>
                <w:szCs w:val="17"/>
                <w:color w:val="auto"/>
              </w:rPr>
            </w:pPr>
          </w:p>
        </w:tc>
        <w:tc>
          <w:tcPr>
            <w:tcW w:w="6200" w:type="dxa"/>
            <w:vAlign w:val="bottom"/>
            <w:gridSpan w:val="13"/>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ITEM 3.</w:t>
              </w:r>
            </w:hyperlink>
          </w:p>
        </w:tc>
        <w:tc>
          <w:tcPr>
            <w:tcW w:w="1000" w:type="dxa"/>
            <w:vAlign w:val="bottom"/>
            <w:gridSpan w:val="5"/>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LEGAL PROCEEDINGS</w:t>
              </w:r>
            </w:hyperlink>
          </w:p>
        </w:tc>
        <w:tc>
          <w:tcPr>
            <w:tcW w:w="7140" w:type="dxa"/>
            <w:vAlign w:val="bottom"/>
            <w:gridSpan w:val="17"/>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20" w:type="dxa"/>
            <w:vAlign w:val="bottom"/>
            <w:gridSpan w:val="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902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gridSpan w:val="10"/>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62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5.</w:t>
              </w:r>
            </w:hyperlink>
          </w:p>
        </w:tc>
        <w:tc>
          <w:tcPr>
            <w:tcW w:w="902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MARKET FOR REGISTRANT’S COMMON EQUITY, RELATED STOCKHOLDER MATTERS AND ISSUER</w:t>
              </w:r>
            </w:hyperlink>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PURCHASES OF EQUITY SECURITIES</w:t>
              </w:r>
            </w:hyperlink>
          </w:p>
        </w:tc>
        <w:tc>
          <w:tcPr>
            <w:tcW w:w="5160" w:type="dxa"/>
            <w:vAlign w:val="bottom"/>
            <w:tcBorders>
              <w:top w:val="single" w:sz="8" w:color="0000EE"/>
            </w:tcBorders>
            <w:gridSpan w:val="11"/>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6.</w:t>
              </w:r>
            </w:hyperlink>
          </w:p>
        </w:tc>
        <w:tc>
          <w:tcPr>
            <w:tcW w:w="1000" w:type="dxa"/>
            <w:vAlign w:val="bottom"/>
            <w:gridSpan w:val="5"/>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SELECTED CONSOLIDATED FINANCIAL DATA</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ITEM 7.</w:t>
              </w:r>
            </w:hyperlink>
          </w:p>
        </w:tc>
        <w:tc>
          <w:tcPr>
            <w:tcW w:w="1000" w:type="dxa"/>
            <w:vAlign w:val="bottom"/>
            <w:gridSpan w:val="5"/>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w:t>
              </w:r>
            </w:hyperlink>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OPERATIONS</w:t>
              </w:r>
            </w:hyperlink>
          </w:p>
        </w:tc>
        <w:tc>
          <w:tcPr>
            <w:tcW w:w="1240" w:type="dxa"/>
            <w:vAlign w:val="bottom"/>
            <w:gridSpan w:val="4"/>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80" w:type="dxa"/>
            <w:vAlign w:val="bottom"/>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7A.</w:t>
              </w:r>
            </w:hyperlink>
          </w:p>
        </w:tc>
        <w:tc>
          <w:tcPr>
            <w:tcW w:w="840" w:type="dxa"/>
            <w:vAlign w:val="bottom"/>
            <w:gridSpan w:val="2"/>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8.</w:t>
              </w:r>
            </w:hyperlink>
          </w:p>
        </w:tc>
        <w:tc>
          <w:tcPr>
            <w:tcW w:w="160" w:type="dxa"/>
            <w:vAlign w:val="bottom"/>
            <w:tcBorders>
              <w:top w:val="single" w:sz="8" w:color="0000EE"/>
            </w:tcBorders>
            <w:gridSpan w:val="3"/>
          </w:tcPr>
          <w:p>
            <w:pPr>
              <w:spacing w:after="0"/>
              <w:rPr>
                <w:sz w:val="17"/>
                <w:szCs w:val="17"/>
                <w:color w:val="auto"/>
              </w:rPr>
            </w:pPr>
          </w:p>
        </w:tc>
        <w:tc>
          <w:tcPr>
            <w:tcW w:w="840" w:type="dxa"/>
            <w:vAlign w:val="bottom"/>
            <w:gridSpan w:val="2"/>
          </w:tcPr>
          <w:p>
            <w:pPr>
              <w:spacing w:after="0"/>
              <w:rPr>
                <w:sz w:val="17"/>
                <w:szCs w:val="17"/>
                <w:color w:val="auto"/>
              </w:rPr>
            </w:pPr>
          </w:p>
        </w:tc>
        <w:tc>
          <w:tcPr>
            <w:tcW w:w="6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2880" w:type="dxa"/>
            <w:vAlign w:val="bottom"/>
            <w:gridSpan w:val="5"/>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ITEM 9.</w:t>
              </w:r>
            </w:hyperlink>
          </w:p>
        </w:tc>
        <w:tc>
          <w:tcPr>
            <w:tcW w:w="1000" w:type="dxa"/>
            <w:vAlign w:val="bottom"/>
            <w:gridSpan w:val="5"/>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w:t>
              </w:r>
            </w:hyperlink>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DISCLOSURES</w:t>
              </w:r>
            </w:hyperlink>
          </w:p>
        </w:tc>
        <w:tc>
          <w:tcPr>
            <w:tcW w:w="6720" w:type="dxa"/>
            <w:vAlign w:val="bottom"/>
            <w:tcBorders>
              <w:top w:val="single" w:sz="8" w:color="0000EE"/>
            </w:tcBorders>
            <w:gridSpan w:val="16"/>
          </w:tcPr>
          <w:p>
            <w:pPr>
              <w:spacing w:after="0"/>
              <w:rPr>
                <w:sz w:val="17"/>
                <w:szCs w:val="17"/>
                <w:color w:val="auto"/>
              </w:rPr>
            </w:pPr>
          </w:p>
        </w:tc>
        <w:tc>
          <w:tcPr>
            <w:tcW w:w="1080" w:type="dxa"/>
            <w:vAlign w:val="bottom"/>
            <w:gridSpan w:val="3"/>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8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9A.</w:t>
              </w:r>
            </w:hyperlink>
          </w:p>
        </w:tc>
        <w:tc>
          <w:tcPr>
            <w:tcW w:w="840" w:type="dxa"/>
            <w:vAlign w:val="bottom"/>
            <w:gridSpan w:val="2"/>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4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ITEM 9B.</w:t>
              </w:r>
            </w:hyperlink>
          </w:p>
        </w:tc>
        <w:tc>
          <w:tcPr>
            <w:tcW w:w="40" w:type="dxa"/>
            <w:vAlign w:val="bottom"/>
            <w:tcBorders>
              <w:top w:val="single" w:sz="8" w:color="0000EE"/>
            </w:tcBorders>
          </w:tcPr>
          <w:p>
            <w:pPr>
              <w:spacing w:after="0"/>
              <w:rPr>
                <w:sz w:val="17"/>
                <w:szCs w:val="17"/>
                <w:color w:val="auto"/>
              </w:rPr>
            </w:pPr>
          </w:p>
        </w:tc>
        <w:tc>
          <w:tcPr>
            <w:tcW w:w="840" w:type="dxa"/>
            <w:vAlign w:val="bottom"/>
            <w:gridSpan w:val="2"/>
          </w:tcPr>
          <w:p>
            <w:pPr>
              <w:spacing w:after="0"/>
              <w:rPr>
                <w:sz w:val="17"/>
                <w:szCs w:val="17"/>
                <w:color w:val="auto"/>
              </w:rPr>
            </w:pPr>
          </w:p>
        </w:tc>
        <w:tc>
          <w:tcPr>
            <w:tcW w:w="2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6420" w:type="dxa"/>
            <w:vAlign w:val="bottom"/>
            <w:gridSpan w:val="14"/>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100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20" w:type="dxa"/>
            <w:vAlign w:val="bottom"/>
            <w:gridSpan w:val="5"/>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ITEM 10.</w:t>
              </w:r>
            </w:hyperlink>
          </w:p>
        </w:tc>
        <w:tc>
          <w:tcPr>
            <w:tcW w:w="900" w:type="dxa"/>
            <w:vAlign w:val="bottom"/>
            <w:gridSpan w:val="4"/>
          </w:tcPr>
          <w:p>
            <w:pPr>
              <w:spacing w:after="0"/>
              <w:rPr>
                <w:sz w:val="24"/>
                <w:szCs w:val="24"/>
                <w:color w:val="auto"/>
              </w:rPr>
            </w:pPr>
          </w:p>
        </w:tc>
        <w:tc>
          <w:tcPr>
            <w:tcW w:w="902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DIRECTORS, EXECUTIVE OFFICERS AND CORPORATE GOVERNANCE</w:t>
              </w:r>
            </w:hyperlink>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ITEM 11.</w:t>
              </w:r>
            </w:hyperlink>
          </w:p>
        </w:tc>
        <w:tc>
          <w:tcPr>
            <w:tcW w:w="900" w:type="dxa"/>
            <w:vAlign w:val="bottom"/>
            <w:gridSpan w:val="4"/>
          </w:tcPr>
          <w:p>
            <w:pPr>
              <w:spacing w:after="0"/>
              <w:rPr>
                <w:sz w:val="17"/>
                <w:szCs w:val="17"/>
                <w:color w:val="auto"/>
              </w:rPr>
            </w:pPr>
          </w:p>
        </w:tc>
        <w:tc>
          <w:tcPr>
            <w:tcW w:w="5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EXECUTIVE COMPENSATION</w:t>
              </w:r>
            </w:hyperlink>
          </w:p>
        </w:tc>
        <w:tc>
          <w:tcPr>
            <w:tcW w:w="3220" w:type="dxa"/>
            <w:vAlign w:val="bottom"/>
            <w:gridSpan w:val="6"/>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ITEM 12.</w:t>
              </w:r>
            </w:hyperlink>
          </w:p>
        </w:tc>
        <w:tc>
          <w:tcPr>
            <w:tcW w:w="900" w:type="dxa"/>
            <w:vAlign w:val="bottom"/>
            <w:gridSpan w:val="4"/>
          </w:tcPr>
          <w:p>
            <w:pPr>
              <w:spacing w:after="0"/>
              <w:rPr>
                <w:sz w:val="17"/>
                <w:szCs w:val="17"/>
                <w:color w:val="auto"/>
              </w:rPr>
            </w:pPr>
          </w:p>
        </w:tc>
        <w:tc>
          <w:tcPr>
            <w:tcW w:w="802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SECURITY OWNERSHIP OF CERTAIN BENEFICIAL OWNERS AND MANAGEMENT AND RELATED</w:t>
              </w:r>
            </w:hyperlink>
          </w:p>
        </w:tc>
        <w:tc>
          <w:tcPr>
            <w:tcW w:w="10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STOCKHOLDER MATTERS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40" w:type="dxa"/>
            <w:vAlign w:val="bottom"/>
            <w:gridSpan w:val="6"/>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ITEM 13.</w:t>
              </w:r>
            </w:hyperlink>
          </w:p>
        </w:tc>
        <w:tc>
          <w:tcPr>
            <w:tcW w:w="880" w:type="dxa"/>
            <w:vAlign w:val="bottom"/>
            <w:gridSpan w:val="3"/>
          </w:tcPr>
          <w:p>
            <w:pPr>
              <w:spacing w:after="0"/>
              <w:rPr>
                <w:sz w:val="17"/>
                <w:szCs w:val="17"/>
                <w:color w:val="auto"/>
              </w:rPr>
            </w:pPr>
          </w:p>
        </w:tc>
        <w:tc>
          <w:tcPr>
            <w:tcW w:w="902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CERTAIN RELATIONSHIPS AND RELATED TRANSACTIONS</w:t>
              </w:r>
            </w:hyperlink>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ITEM 14.</w:t>
              </w:r>
            </w:hyperlink>
          </w:p>
        </w:tc>
        <w:tc>
          <w:tcPr>
            <w:tcW w:w="20" w:type="dxa"/>
            <w:vAlign w:val="bottom"/>
            <w:tcBorders>
              <w:top w:val="single" w:sz="8" w:color="0000EE"/>
            </w:tcBorders>
          </w:tcPr>
          <w:p>
            <w:pPr>
              <w:spacing w:after="0"/>
              <w:rPr>
                <w:sz w:val="17"/>
                <w:szCs w:val="17"/>
                <w:color w:val="auto"/>
              </w:rPr>
            </w:pPr>
          </w:p>
        </w:tc>
        <w:tc>
          <w:tcPr>
            <w:tcW w:w="880" w:type="dxa"/>
            <w:vAlign w:val="bottom"/>
            <w:gridSpan w:val="3"/>
          </w:tcPr>
          <w:p>
            <w:pPr>
              <w:spacing w:after="0"/>
              <w:rPr>
                <w:sz w:val="17"/>
                <w:szCs w:val="17"/>
                <w:color w:val="auto"/>
              </w:rPr>
            </w:pPr>
          </w:p>
        </w:tc>
        <w:tc>
          <w:tcPr>
            <w:tcW w:w="4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ACCOUNTANT FEES AND SERVICES</w:t>
              </w:r>
            </w:hyperlink>
          </w:p>
        </w:tc>
        <w:tc>
          <w:tcPr>
            <w:tcW w:w="4160" w:type="dxa"/>
            <w:vAlign w:val="bottom"/>
            <w:gridSpan w:val="7"/>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gridSpan w:val="1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40" w:type="dxa"/>
            <w:vAlign w:val="bottom"/>
            <w:gridSpan w:val="14"/>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40" w:type="dxa"/>
            <w:vAlign w:val="bottom"/>
            <w:gridSpan w:val="6"/>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ITEM 15.</w:t>
              </w:r>
            </w:hyperlink>
          </w:p>
        </w:tc>
        <w:tc>
          <w:tcPr>
            <w:tcW w:w="880" w:type="dxa"/>
            <w:vAlign w:val="bottom"/>
            <w:gridSpan w:val="3"/>
          </w:tcPr>
          <w:p>
            <w:pPr>
              <w:spacing w:after="0"/>
              <w:rPr>
                <w:sz w:val="24"/>
                <w:szCs w:val="24"/>
                <w:color w:val="auto"/>
              </w:rPr>
            </w:pPr>
          </w:p>
        </w:tc>
        <w:tc>
          <w:tcPr>
            <w:tcW w:w="902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 FINANCIAL STATEMENT SCHEDULES</w:t>
              </w:r>
            </w:hyperlink>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20" w:type="dxa"/>
            <w:vAlign w:val="bottom"/>
            <w:gridSpan w:val="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68"/>
        </w:trPr>
        <w:tc>
          <w:tcPr>
            <w:tcW w:w="180" w:type="dxa"/>
            <w:vAlign w:val="bottom"/>
            <w:tcBorders>
              <w:bottom w:val="single" w:sz="8" w:color="010101"/>
            </w:tcBorders>
          </w:tcPr>
          <w:p>
            <w:pPr>
              <w:spacing w:after="0"/>
              <w:rPr>
                <w:sz w:val="24"/>
                <w:szCs w:val="24"/>
                <w:color w:val="auto"/>
              </w:rPr>
            </w:pPr>
          </w:p>
        </w:tc>
        <w:tc>
          <w:tcPr>
            <w:tcW w:w="42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10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40" w:type="dxa"/>
            <w:vAlign w:val="bottom"/>
            <w:tcBorders>
              <w:top w:val="single" w:sz="8" w:color="0000EE"/>
              <w:bottom w:val="single" w:sz="8" w:color="010101"/>
            </w:tcBorders>
          </w:tcPr>
          <w:p>
            <w:pPr>
              <w:spacing w:after="0"/>
              <w:rPr>
                <w:sz w:val="24"/>
                <w:szCs w:val="24"/>
                <w:color w:val="auto"/>
              </w:rPr>
            </w:pPr>
          </w:p>
        </w:tc>
        <w:tc>
          <w:tcPr>
            <w:tcW w:w="320" w:type="dxa"/>
            <w:vAlign w:val="bottom"/>
            <w:tcBorders>
              <w:top w:val="single" w:sz="8" w:color="0000EE"/>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“we,” “us,” “our” and the “Company” refer to Altisource Portfolio Solutions S.A., a Luxembourg société anonyme, or public limited company, and its wholly-owned subsidiaries.</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Altisource Portfolio Solutions S.A., together with its subsidiaries, is a global provider of services focused on high-value, technology-enabled, knowledge-based solutions principally related to real estate and mortgage portfolio management, asset recovery and customer relationship management. We enable our clients to achieve their goals by leveraging our process management, innovative technology, econometrics and consumer behavior practice and high-quality, cost effective global human resources.</w:t>
      </w:r>
    </w:p>
    <w:p>
      <w:pPr>
        <w:spacing w:after="0" w:line="187"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On August 10, 2009, we became a stand-alone public company in connection with our separation from Ocwen Financial Corporation (“Ocwen</w:t>
      </w:r>
      <w:r>
        <w:rPr>
          <w:rFonts w:ascii="Arial" w:cs="Arial" w:eastAsia="Arial" w:hAnsi="Arial"/>
          <w:sz w:val="20"/>
          <w:szCs w:val="20"/>
          <w:color w:val="auto"/>
          <w:vertAlign w:val="superscript"/>
        </w:rPr>
        <w:t>®</w:t>
      </w:r>
      <w:r>
        <w:rPr>
          <w:rFonts w:ascii="Arial" w:cs="Arial" w:eastAsia="Arial" w:hAnsi="Arial"/>
          <w:sz w:val="16"/>
          <w:szCs w:val="16"/>
          <w:color w:val="auto"/>
        </w:rPr>
        <w:t>”) (the “Separation from Ocwen”). Prior to our Separation from Ocwen, our businesses were wholly-owned subsidiaries of Ocwen.</w:t>
      </w:r>
    </w:p>
    <w:p>
      <w:pPr>
        <w:sectPr>
          <w:pgSz w:w="11900" w:h="16838" w:orient="portrait"/>
          <w:cols w:equalWidth="0" w:num="1">
            <w:col w:w="11460"/>
          </w:cols>
          <w:pgMar w:left="240" w:top="121" w:right="199" w:bottom="0" w:gutter="0" w:footer="0" w:header="0"/>
        </w:sectPr>
      </w:pPr>
    </w:p>
    <w:bookmarkStart w:id="2" w:name="page3"/>
    <w:bookmarkEnd w:id="2"/>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2012 highlights include:</w:t>
      </w:r>
    </w:p>
    <w:p>
      <w:pPr>
        <w:spacing w:after="0" w:line="225"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revenue of $568.4 million, representing a 34% increase over the year ended December 31, 2011;</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service revenue of $466.9 million representing a 39% increase over the year ended December 31, 2011;</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diluted earnings per share of $4.43 representing a 60% increase over the year ended December 31, 2011;</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cash flows from operations of $116.5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20" w:hanging="324"/>
        <w:spacing w:after="0" w:line="22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Relaunched the consumer real estate portal under the new Hubzu</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 over 25,000 real estate owned (“REO”) assets were sold through Hubzu during the year;</w:t>
      </w:r>
    </w:p>
    <w:p>
      <w:pPr>
        <w:spacing w:after="0" w:line="202"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Recognized origination related service revenue of $37.8 million, representing a 72% increase over the year ended December 31, 2011;</w:t>
      </w:r>
    </w:p>
    <w:p>
      <w:pPr>
        <w:spacing w:after="0" w:line="236" w:lineRule="exact"/>
        <w:rPr>
          <w:rFonts w:ascii="Arial" w:cs="Arial" w:eastAsia="Arial" w:hAnsi="Arial"/>
          <w:sz w:val="17"/>
          <w:szCs w:val="17"/>
          <w:color w:val="auto"/>
        </w:rPr>
      </w:pPr>
    </w:p>
    <w:p>
      <w:pPr>
        <w:ind w:left="980" w:right="22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Completed the spin-offs of Altisource Residential Corporation (“Residential”) and Altisource Asset Management Corporation (“AAMC”) into two separate publicly traded companies as further described in “</w:t>
      </w:r>
      <w:r>
        <w:rPr>
          <w:rFonts w:ascii="Arial" w:cs="Arial" w:eastAsia="Arial" w:hAnsi="Arial"/>
          <w:sz w:val="17"/>
          <w:szCs w:val="17"/>
          <w:i w:val="1"/>
          <w:iCs w:val="1"/>
          <w:color w:val="auto"/>
        </w:rPr>
        <w:t>Separation of Residential Asset Businesses</w:t>
      </w:r>
      <w:r>
        <w:rPr>
          <w:rFonts w:ascii="Arial" w:cs="Arial" w:eastAsia="Arial" w:hAnsi="Arial"/>
          <w:sz w:val="17"/>
          <w:szCs w:val="17"/>
          <w:color w:val="auto"/>
        </w:rPr>
        <w:t>” below and</w:t>
      </w:r>
    </w:p>
    <w:p>
      <w:pPr>
        <w:spacing w:after="0" w:line="146" w:lineRule="exact"/>
        <w:rPr>
          <w:rFonts w:ascii="Arial" w:cs="Arial" w:eastAsia="Arial" w:hAnsi="Arial"/>
          <w:sz w:val="17"/>
          <w:szCs w:val="17"/>
          <w:color w:val="auto"/>
        </w:rPr>
      </w:pPr>
    </w:p>
    <w:p>
      <w:pPr>
        <w:ind w:left="9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Prepared for 2013 growth from Ocwen’s December 28, 2012 acquisition of Homeward Residential Holdings, Inc. (“Homeward Residential”) and their anticipated acquisition of a portion of Residential Capital, LLC’s (“ResCap”) servicing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Residential Asset Businesses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December 21, 2012, we completed the distribution of two wholly-owned subsidiaries via the spin-off of two separate companies, Residential and AAMC (the “Separation of the Residential Asset Businesses”). Residential’s common stock is listed on the New York Stock Exchange under the symbol “RESI,” and AAMC’s common stock is listed on the OTCQX market tier operated by OTC Markets Group, Inc. (the “OTC Market”) under the symbol “AAMC”. We distributed all of the shares of Residential common stock and AAMC common stock to our shareholders of record as of December 17, 2012. Residential and AAMC plan to enter the growing residential single-family rental market. Residential will acquire residential related assets, and AAMC will provide asset management and advisory services to Residential. Residential and AAMC are further described in Item 7 of Part II,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Condition and Results of Operations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originators and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in single family homes. We provide these services primarily for loan portfolios serviced by Ocwen. We also have longstanding relationships with some of the leading capital markets firms, commercial banks, hedge funds, insurance companies and mortgage bankers. Within the Mortgage Services segment, we provide the following services:</w:t>
      </w:r>
    </w:p>
    <w:p>
      <w:pPr>
        <w:spacing w:after="0" w:line="187" w:lineRule="exact"/>
        <w:rPr>
          <w:sz w:val="20"/>
          <w:szCs w:val="20"/>
          <w:color w:val="auto"/>
        </w:rPr>
      </w:pPr>
    </w:p>
    <w:p>
      <w:pPr>
        <w:ind w:left="340" w:right="540" w:firstLine="324"/>
        <w:spacing w:after="0" w:line="286" w:lineRule="auto"/>
        <w:rPr>
          <w:sz w:val="20"/>
          <w:szCs w:val="20"/>
          <w:color w:val="auto"/>
        </w:rPr>
      </w:pPr>
      <w:r>
        <w:rPr>
          <w:rFonts w:ascii="Arial" w:cs="Arial" w:eastAsia="Arial" w:hAnsi="Arial"/>
          <w:sz w:val="17"/>
          <w:szCs w:val="17"/>
          <w:i w:val="1"/>
          <w:iCs w:val="1"/>
          <w:color w:val="auto"/>
        </w:rPr>
        <w:t xml:space="preserve">Asset management </w:t>
      </w:r>
      <w:r>
        <w:rPr>
          <w:rFonts w:ascii="Arial" w:cs="Arial" w:eastAsia="Arial" w:hAnsi="Arial"/>
          <w:sz w:val="17"/>
          <w:szCs w:val="17"/>
          <w:color w:val="auto"/>
        </w:rPr>
        <w:t>— Asset management services principally include property preservation, property inspection, REO asset management,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real estate portal and REO brokerage operations. With the Separation of the Residential Asset Businesses, we plan to provide property management, lease management and renovation management services for single-family rental properties.</w:t>
      </w:r>
    </w:p>
    <w:p>
      <w:pPr>
        <w:spacing w:after="0" w:line="166" w:lineRule="exact"/>
        <w:rPr>
          <w:sz w:val="20"/>
          <w:szCs w:val="20"/>
          <w:color w:val="auto"/>
        </w:rPr>
      </w:pPr>
    </w:p>
    <w:p>
      <w:pPr>
        <w:ind w:left="340" w:right="4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primarily through our network of real estate professionals. We generally provide these services for loan servicers and mortgage bankers.</w:t>
      </w:r>
    </w:p>
    <w:p>
      <w:pPr>
        <w:spacing w:after="0" w:line="181" w:lineRule="exact"/>
        <w:rPr>
          <w:sz w:val="20"/>
          <w:szCs w:val="20"/>
          <w:color w:val="auto"/>
        </w:rPr>
      </w:pPr>
    </w:p>
    <w:p>
      <w:pPr>
        <w:ind w:left="340" w:right="300" w:firstLine="324"/>
        <w:spacing w:after="0" w:line="312" w:lineRule="auto"/>
        <w:rPr>
          <w:sz w:val="20"/>
          <w:szCs w:val="20"/>
          <w:color w:val="auto"/>
        </w:rPr>
      </w:pPr>
      <w:r>
        <w:rPr>
          <w:rFonts w:ascii="Arial" w:cs="Arial" w:eastAsia="Arial" w:hAnsi="Arial"/>
          <w:sz w:val="16"/>
          <w:szCs w:val="16"/>
          <w:i w:val="1"/>
          <w:iCs w:val="1"/>
          <w:color w:val="auto"/>
        </w:rPr>
        <w:t xml:space="preserve">Closing and insurance services </w:t>
      </w:r>
      <w:r>
        <w:rPr>
          <w:rFonts w:ascii="Arial" w:cs="Arial" w:eastAsia="Arial" w:hAnsi="Arial"/>
          <w:sz w:val="16"/>
          <w:szCs w:val="16"/>
          <w:color w:val="auto"/>
        </w:rPr>
        <w:t>— Closing and insurance services principally include an array of title search, closing and title agency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document preparation, pre-foreclosure and REO title searches, escrow and title insurance, program management and other insurance related services applicable to residential loan servicers. We also began providing closing and title agency services for loan originations.</w:t>
      </w:r>
    </w:p>
    <w:p>
      <w:pPr>
        <w:spacing w:after="0" w:line="147" w:lineRule="exact"/>
        <w:rPr>
          <w:sz w:val="20"/>
          <w:szCs w:val="20"/>
          <w:color w:val="auto"/>
        </w:rPr>
      </w:pPr>
    </w:p>
    <w:p>
      <w:pPr>
        <w:ind w:left="340" w:right="50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80" w:firstLine="324"/>
        <w:spacing w:after="0" w:line="263"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 Mortgage Partnership of America, L.L.C.’s (“MPA™”)</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our contract underwriting and quality control businesses. MPA serves as the manager of Best Partners Mortgage Cooperative, Inc. (“BPMC</w:t>
      </w:r>
      <w:r>
        <w:rPr>
          <w:rFonts w:ascii="Arial" w:cs="Arial" w:eastAsia="Arial" w:hAnsi="Arial"/>
          <w:sz w:val="22"/>
          <w:szCs w:val="22"/>
          <w:color w:val="auto"/>
          <w:vertAlign w:val="superscript"/>
        </w:rPr>
        <w:t>™</w:t>
      </w:r>
      <w:r>
        <w:rPr>
          <w:rFonts w:ascii="Arial" w:cs="Arial" w:eastAsia="Arial" w:hAnsi="Arial"/>
          <w:sz w:val="17"/>
          <w:szCs w:val="17"/>
          <w:color w:val="auto"/>
        </w:rPr>
        <w:t>”) doing business as Lenders One Mortgage Cooperative (“Lenders One</w:t>
      </w:r>
      <w:r>
        <w:rPr>
          <w:rFonts w:ascii="Arial" w:cs="Arial" w:eastAsia="Arial" w:hAnsi="Arial"/>
          <w:sz w:val="22"/>
          <w:szCs w:val="22"/>
          <w:color w:val="auto"/>
          <w:vertAlign w:val="superscript"/>
        </w:rPr>
        <w:t>®</w:t>
      </w:r>
      <w:r>
        <w:rPr>
          <w:rFonts w:ascii="Arial" w:cs="Arial" w:eastAsia="Arial" w:hAnsi="Arial"/>
          <w:sz w:val="17"/>
          <w:szCs w:val="17"/>
          <w:color w:val="auto"/>
        </w:rPr>
        <w:t>”),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In addition, some of the origination related reseller businesses, including the flood certification business, are included in the Technology Services REALSuite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business.</w:t>
      </w:r>
    </w:p>
    <w:p>
      <w:pPr>
        <w:spacing w:after="0" w:line="10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mortgages) and the utility and insurance industries. Within the Financial Services segment, we provide the following services:</w:t>
      </w:r>
    </w:p>
    <w:p>
      <w:pPr>
        <w:sectPr>
          <w:pgSz w:w="11900" w:h="16975" w:orient="portrait"/>
          <w:cols w:equalWidth="0" w:num="1">
            <w:col w:w="11420"/>
          </w:cols>
          <w:pgMar w:left="240" w:top="121" w:right="239" w:bottom="0" w:gutter="0" w:footer="0" w:header="0"/>
        </w:sectPr>
      </w:pPr>
    </w:p>
    <w:bookmarkStart w:id="3" w:name="page4"/>
    <w:bookmarkEnd w:id="3"/>
    <w:p>
      <w:pPr>
        <w:ind w:left="340" w:right="60" w:firstLine="324"/>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 Asset recovery management principally includes post-charge-off consumer debt collection services on a contingency</w:t>
      </w:r>
      <w:r>
        <w:rPr>
          <w:rFonts w:ascii="Arial" w:cs="Arial" w:eastAsia="Arial" w:hAnsi="Arial"/>
          <w:sz w:val="18"/>
          <w:szCs w:val="18"/>
          <w:i w:val="1"/>
          <w:iCs w:val="1"/>
          <w:color w:val="auto"/>
        </w:rPr>
        <w:t xml:space="preserve"> </w:t>
      </w:r>
      <w:r>
        <w:rPr>
          <w:rFonts w:ascii="Arial" w:cs="Arial" w:eastAsia="Arial" w:hAnsi="Arial"/>
          <w:sz w:val="18"/>
          <w:szCs w:val="18"/>
          <w:color w:val="auto"/>
        </w:rPr>
        <w:t>fee basis.</w:t>
      </w:r>
    </w:p>
    <w:p>
      <w:pPr>
        <w:spacing w:after="0" w:line="170" w:lineRule="exact"/>
        <w:rPr>
          <w:sz w:val="20"/>
          <w:szCs w:val="20"/>
          <w:color w:val="auto"/>
        </w:rPr>
      </w:pPr>
    </w:p>
    <w:p>
      <w:pPr>
        <w:ind w:left="340" w:right="32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includes customer care and early stage collections services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claims processing, call center services and analytical support.</w:t>
      </w:r>
    </w:p>
    <w:p>
      <w:pPr>
        <w:spacing w:after="0" w:line="170" w:lineRule="exact"/>
        <w:rPr>
          <w:sz w:val="20"/>
          <w:szCs w:val="20"/>
          <w:color w:val="auto"/>
        </w:rPr>
      </w:pPr>
    </w:p>
    <w:p>
      <w:pPr>
        <w:ind w:right="100"/>
        <w:spacing w:after="0"/>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w:t>
      </w:r>
      <w:r>
        <w:rPr>
          <w:rFonts w:ascii="Arial" w:cs="Arial" w:eastAsia="Arial" w:hAnsi="Arial"/>
          <w:sz w:val="23"/>
          <w:szCs w:val="23"/>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of applications as well as our information technology (“IT”) infrastructure services. We currently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our IT infrastructure services to Ocwen, Home Loan Servicing Solutions (“HLSS”), Correspondent One S.A. (“Correspondent One”), Residential, AAMC and ourselves. The REALSuite platform provides a fully integrated set of software applications and technologies that manage the end-to-end lifecycle for residential and commercial mortgage loan servicing including the automated management and payment of a distributed network of vendors. A brief description of the key REALSuite software products is below:</w:t>
      </w:r>
    </w:p>
    <w:p>
      <w:pPr>
        <w:spacing w:after="0" w:line="204" w:lineRule="exact"/>
        <w:rPr>
          <w:sz w:val="20"/>
          <w:szCs w:val="20"/>
          <w:color w:val="auto"/>
        </w:rPr>
      </w:pPr>
    </w:p>
    <w:p>
      <w:pPr>
        <w:ind w:left="340" w:right="16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 dialogue engine and robust reporting capabilities. The solution spans the loan servicing lifecycle from loan boarding to satisfaction including all collections, payment processing and reporting. We also offer REALSynergy</w:t>
      </w:r>
      <w:r>
        <w:rPr>
          <w:rFonts w:ascii="Arial" w:cs="Arial" w:eastAsia="Arial" w:hAnsi="Arial"/>
          <w:sz w:val="23"/>
          <w:szCs w:val="23"/>
          <w:color w:val="auto"/>
          <w:vertAlign w:val="superscript"/>
        </w:rPr>
        <w:t>®</w:t>
      </w:r>
      <w:r>
        <w:rPr>
          <w:rFonts w:ascii="Arial" w:cs="Arial" w:eastAsia="Arial" w:hAnsi="Arial"/>
          <w:sz w:val="18"/>
          <w:szCs w:val="18"/>
          <w:color w:val="auto"/>
        </w:rPr>
        <w:t>, an enterprise commercial loan servicing system.</w:t>
      </w:r>
    </w:p>
    <w:p>
      <w:pPr>
        <w:spacing w:after="0" w:line="118" w:lineRule="exact"/>
        <w:rPr>
          <w:sz w:val="20"/>
          <w:szCs w:val="20"/>
          <w:color w:val="auto"/>
        </w:rPr>
      </w:pPr>
    </w:p>
    <w:p>
      <w:pPr>
        <w:ind w:left="340" w:right="40" w:firstLine="324"/>
        <w:spacing w:after="0" w:line="249" w:lineRule="auto"/>
        <w:rPr>
          <w:sz w:val="20"/>
          <w:szCs w:val="20"/>
          <w:color w:val="auto"/>
        </w:rPr>
      </w:pPr>
      <w:r>
        <w:rPr>
          <w:rFonts w:ascii="Arial" w:cs="Arial" w:eastAsia="Arial" w:hAnsi="Arial"/>
          <w:sz w:val="17"/>
          <w:szCs w:val="17"/>
          <w:i w:val="1"/>
          <w:iCs w:val="1"/>
          <w:color w:val="auto"/>
        </w:rPr>
        <w:t>REALTrans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96" w:lineRule="exact"/>
        <w:rPr>
          <w:sz w:val="20"/>
          <w:szCs w:val="20"/>
          <w:color w:val="auto"/>
        </w:rPr>
      </w:pPr>
    </w:p>
    <w:p>
      <w:pPr>
        <w:ind w:left="340" w:right="38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six sigma and also includes eliminations of transactions between the reporting segments.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which consists of amounts attributable to our fee based services. Reimbursable expenses and non-controlling interests are pass-through items for which we earn no margin. Reimbursable expenses consist of amounts we incur on behalf of our customers in performing our fee based services, but we pass such costs directly on to our customers without any additional markup. Non-controlling interests represent the earnings of Lenders One, a consolidated entity not owned by Altisource. It is included in revenue and reduced from net income to arrive at net income attributable to Altisource.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provide services to some of the most respected organizations in their industries, including one of the United States’ largest sub-prime servicers, utility companies, commercial banks, servicers, investors, mortgage bankers, financial service companies and hedge funds across the United States.</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three largest customers in 2012 accounted for 71% of our total revenue. Our largest customer, Ocwen, accounted for 60% of our total revenue in 2012. During 2012, Ocwen’s residential loan servicing portfolio grew from $102.2 billion in unpaid principal balance (“UPB”) to $203.7 billion in UPB. The 2012 growth is primarily from Ocwen’s acquisition of Homeward Residential in the fourth quarter and the acquisition of mortgage servicing rights and related assets from Saxon Mortgage Services, Inc. and from JP Morgan Chase portfolios in the second quarter of 2012. Additionally, in October 2012, Ocwen and Walter Investment Management Corporation presented the highest bid in the auction of ResCap’s servicing portfolio. We expect Ocwen to close the ResCap transaction in the first quarter of 2013. Excluding the approximately $120 billion of Ally Bank subservicing and master servicing, the ResCap transaction will increase Ocwen’s servicing portfolio UPB by approximately $203.7 billion. With these servicing platform acquisitions, Ocwen is now positioned as the fifth largest mortgage servicer in the United States. As the structured shift of servicing to non-banks continues, we expect Ocwen to continue to grow. Ocwen’s highly scalable platform and low cost operating structure positions it to be very competitive as additional mortgage servicing portfolios become available.</w:t>
      </w:r>
    </w:p>
    <w:p>
      <w:pPr>
        <w:spacing w:after="0" w:line="178"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Ocwen, including its wholly owned subsidiary, Ocwen Mortgage Servicing Inc. (“OMS”), are contractually obligated to purchase certain mortgage services and technology services from us under service agreements. In October 2012, the Ocwen agreement was extended by three years through 2020. Separately, we signed a similar agreement in October 2012 with OMS effective through 2020. Ocwen and OMS are not restricted from redeveloping these services. We settle amounts with Ocwen and OMS on a daily, weekly or monthly basis depending upon the nature of the service and when the service is provided.</w:t>
      </w:r>
    </w:p>
    <w:p>
      <w:pPr>
        <w:spacing w:after="0" w:line="154"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Related party revenue consists of revenue earned directly from Ocwen and its subsidiaries and revenue earned from the loans serviced by Ocwen or its subsidiaries when Ocwen determines the service provider. We earn additional revenue on the portfolios serviced by Ocwen or its subsidiaries that are not considered related party revenue when a party other than Ocwen selects the service provider. As a percentage of each of our segment revenue and as a percentage of consolidated revenue, related party revenue was as follows for the years ended December 31:</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 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&lt; 1%</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record revenue we earn from Ocwen under various long-term servicing contracts at rates we believe to be market rates as they are consistent with one or more of the following: the fees we charge to other customers for comparable services; the fees Ocwen pays to other service providers; fees commensurate with market surveys prepared by unaffiliated firms; and fees charged by our competitors.</w:t>
      </w:r>
    </w:p>
    <w:p>
      <w:pPr>
        <w:sectPr>
          <w:pgSz w:w="11900" w:h="16838" w:orient="portrait"/>
          <w:cols w:equalWidth="0" w:num="1">
            <w:col w:w="11400"/>
          </w:cols>
          <w:pgMar w:left="240" w:top="341" w:right="259" w:bottom="0" w:gutter="0" w:footer="0" w:header="0"/>
        </w:sectPr>
      </w:pPr>
    </w:p>
    <w:bookmarkStart w:id="4" w:name="page5"/>
    <w:bookmarkEnd w:id="4"/>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experienced sales personnel and relationship managers with subject matter expertise. These individuals maintain relationships throughout the industry sectors we serve and play an important role in generating new client leads as well as identifying opportunities to expand our services with existing clients. Additional leads are also generated through request for proposal processes from key industry participants. Our sales team works collaboratively and is compensated principally with a base salary and commission for sales generated.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From a sales and marketing perspective, our primary focus is supporting the growth of Ocwen, expanding relationships with existing MPA members and targeting new customers that could have a material positive impact on our results of operations. Given the highly concentrated nature of the industries we serve, the time and effort spent in expanding relationships or winning new relationships is significant.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rely on a combination of contractual restrictions, internal security practices, patents, trademarks, copyrights, trade secrets and other intellectual property to establish and protect our software, technology and expertise. We also own or, as necessary and appropriate, have obtained licenses from third parties to intellectual property relating to our services, processes and business. These intellectual property rights are important factors in the success of our businesses.</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December 31, 2012, we have been awarded two patents that expire in 2024 and five patents that expire in 2025. In addition, we have registered trademarks or recently filed applications for registration of trademarks in a number of countries or groups of countries including the United States, the European Community, India and in eight other countries or groups of countries. These trademarks generally can be renewed indefinitely provided they are being used.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all measures we deem reasonable and necessary to develop and protect our patents, trademarks, copyrights, trade secrets and other intellectual property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industry verticals in which we engage are highly competitive and generally consist of a few national vendors as well as a large number of regional, local or in-house providers resulting in a fragmented market with disparate service offerings. From an overall perspective, we compete with the global business process outsourcing firms. Our Mortgage Services segment competes with national and regional third party service providers and in-house servicing operations of large mortgage lenders and servicers. Our Financial Services segment competes with other large receivables management companies as well as a fragmented group of smaller companies and law firms focused on collections. Our Technology Services segment competes with data processing and software development companies and in-house technology and software operations of other loan servicers.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the diverse nature of services we and our competitors offer, we cannot determine our position in the market with certainty, but we believe we represent only a small portion of very large-sized markets. Given our size, some of our competitors may offer more diversified services, operate in broader geographic markets or have greater financial resources than we do. In addition, some of our larger customers retain multiple providers and continuously evaluate our performance against our competitors.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Competitive factors in our Mortgage Services business include the quality and timeliness of our services, the size and competence of our network of vendors and the breadth of the services we offer. For Financial Services, competitive factors include the ability to achieve a collection rate comparable to our competitors; the quality and personal nature of the service; the consistency and professionalism of the service and the recruitment, training and retention of our workforce. Competitive factors in our Technology Services business include the quality of the technology-based application or service; application features and functions; ease of delivery and integration; our ability to maintain, enhance and support the applications or services; our ability to recruit and retain software and other technical employees and the cost of obtaining, maintaining and enforcing our patents.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had the following number of employees: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United States</w:t>
            </w: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India</w:t>
            </w: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Financial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Corporate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employees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ability to continue to attract, hire and retain skilled and experienced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revenues are seasonal. More specifically, Financial Services’ asset recovery revenue tends to be higher in the first quarter, as borrowers may utilize tax refunds and bonuses to pay debts, and generally declines throughout the rest of the year. Mortgage Services revenue is impacted by REO sales which tend to</w:t>
      </w:r>
    </w:p>
    <w:p>
      <w:pPr>
        <w:sectPr>
          <w:pgSz w:w="11900" w:h="16908" w:orient="portrait"/>
          <w:cols w:equalWidth="0" w:num="1">
            <w:col w:w="11420"/>
          </w:cols>
          <w:pgMar w:left="240" w:top="12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be at their lowest level during fall and winter months and highest during spring and summer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2012, our shareholders approved a new stock repurchase program, which replaced the previous stock repurchase program. Under the new plan, we are authorized to purchase up to 3.5 million shares of our common stock in the open market in addition to amounts previously purchased under the prior plan. From authorization of the prior plan in May 2010 through December 31, 2012, we purchased approximately 2.5 million shares of our common stock in the open market at an average price of $37.49 per share. During the year ended December 31, 2012, we purchased 0.3 million shares of common stock at an average price of $63.25 per share. Since no common stock was repurchased following the approval of the new plan, 3.5 million shares of common stock remain available for repurchase under the plan. Luxembourg law limits share repurchases to approximately the balance of Altisource Portfolio Solutions S.A.’s retained earnings less treasury shares. The distribution of Residential and AAMC to our shareholders reduced our retained earnings which will limit our ability to repurchase shares for a period of time. Our debt agreement also contains limits on our ability to repurchase our common stock which will limit the amount we can spend on share repurchases in any year and may prevent repurchases in certain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2012, we focused on providing high quality services to Ocwen’s growing servicing portfolio while intensifying our efforts on our strategic initiatives to diversify and expand our revenue base. Because of our high margins and low capital requirements, we are very unique in that the faster we grow our revenue, the faster our net free cash flow grows. Our 2013 strategic growth initiatives are:</w:t>
      </w:r>
    </w:p>
    <w:p>
      <w:pPr>
        <w:spacing w:after="0" w:line="181" w:lineRule="exact"/>
        <w:rPr>
          <w:sz w:val="20"/>
          <w:szCs w:val="20"/>
          <w:color w:val="auto"/>
        </w:rPr>
      </w:pPr>
    </w:p>
    <w:p>
      <w:pPr>
        <w:ind w:left="660" w:right="7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 as it continues to grow its residential loan servicing portfolio and residential loan origination platform;</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growing our origination related services by leveraging our acquisition of MPA;</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for single-family home rentals;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deploying Hubzu, our consumer real estate portal to the distressed and non-distressed home sales market;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investing in our next generation software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growing the Financial Services segment’s earnings.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These initiatives are further described in Item 7 of Part II,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businesses are subject to extensive laws and regulations by federal, state and local governmental authorities including the Federal Trade Commission (“FTC”), the Consumer Financial Protection Bureau (“CFPB”), the Securities and Exchange Commission (“SEC”) and the state agencies that license our mortgage services and collection entities. We also must comply with a number of federal, state and local consumer protection laws including, among others, the Gramm-Leach-Bliley Act, the Fair Debt Collection Practices Act, the Real Estate Settlement Procedures Act (“RESPA”), the Truth in Lending Act (“TILA”), the Fair Credit Reporting Act, the Telephone Consumer Protection Act, the Homeowners Protection Act, the California Homeowner’s Bill of Rights and the Secure and Fair Enforcement for Mortgage Licensing (“SAFE”) Act. These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Included in the Dodd Frank Act, among other things, is the creation of the Consumer Financial Protection Bureau, a new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In some cases, penalties for noncompliance are significantly increased and could lead to settlements or consent orders on us or our customers that may curtail or restrict the business as it is currently conducted. The Mortgage Act generally requires implementing regulations be issued before many of its provisions are effective. Therefore, many of these provisions in the Mortgage Act will not be effective until 2013 or early 2014.</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certain federal, state and local consumer protection provisions. We are also subject to licensing and regulation as a mortgage service provider and/or debt collector in a number of states. We are subject to audits and examinations that are conducted by the states. Our employees may be required to be licensed by various state commissions for the particular type of service delivered and to participate in regular continuing education programs. From time to time, we receive requests from state and other agencies for records, documents and information regarding our policies, procedures and practices regarding our mortgage services and debt collection business activities. We are also subject to the requirements of the Foreign Corrupt Practices Act (“FCPA”) and comparable foreign laws, due to our activities in foreign jurisdictions. We incur ongoing costs to comply with governmental laws and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over the Internet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1-800-SEC-0330 for further information on the public reference room.</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Our principal Internet address is </w:t>
      </w:r>
      <w:r>
        <w:rPr>
          <w:rFonts w:ascii="Arial" w:cs="Arial" w:eastAsia="Arial" w:hAnsi="Arial"/>
          <w:sz w:val="16"/>
          <w:szCs w:val="16"/>
          <w:i w:val="1"/>
          <w:iCs w:val="1"/>
          <w:color w:val="auto"/>
        </w:rPr>
        <w:t>www.altisource.com</w:t>
      </w:r>
      <w:r>
        <w:rPr>
          <w:rFonts w:ascii="Arial" w:cs="Arial" w:eastAsia="Arial" w:hAnsi="Arial"/>
          <w:sz w:val="16"/>
          <w:szCs w:val="16"/>
          <w:color w:val="auto"/>
        </w:rPr>
        <w:t xml:space="preserve"> and we encourage investors to use it as a way of easily finding information about us. We promptly make available on this website, free of charge, the reports we file or furnish with the SEC, corporate governance information (including our Code of Business</w:t>
      </w:r>
    </w:p>
    <w:p>
      <w:pPr>
        <w:sectPr>
          <w:pgSz w:w="11900" w:h="16838" w:orient="portrait"/>
          <w:cols w:equalWidth="0" w:num="1">
            <w:col w:w="11400"/>
          </w:cols>
          <w:pgMar w:left="240" w:top="125" w:right="259" w:bottom="0" w:gutter="0" w:footer="0" w:header="0"/>
        </w:sectPr>
      </w:pPr>
    </w:p>
    <w:bookmarkStart w:id="6" w:name="page7"/>
    <w:bookmarkEnd w:id="6"/>
    <w:p>
      <w:pPr>
        <w:spacing w:after="0" w:line="9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Conduct and Ethics) and select press releases. The contents of our website are available for informational purposes only and shall not be deemed incorporated by reference in this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operating results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obtain and retain other customers that compete with Ocwen.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2012, our Chairman owns or controls more than 13% of Ocwen’s common stock and 23% of our common stock. We derived 60% of our revenue in 2012 from Ocwen or the servicing portfolio managed by Ocwen. Given this close and continuing relationship with Ocwen, we may encounter difficulties in obtaining and retaining other customers who compete with Ocwen. Should these and other potential customers continue to view Altisource as part of Ocwen or as too closely related to or dependent upon Ocwen, they may be unwilling to utilize our services, and our growth could be inhibited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certain key customer relationships, the loss of or their inability to pay could affect our business and results of operations.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generate approximately 60% of our revenue from Ocwen. Following the Separation from Ocwen, Ocwen is contractually obligated to purchase certain services from our Mortgage Services and Technology Services segments under service agreements that extend through August 2020 subject to termination under certain provisions.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no other individual client represents more than 10% of our consolidated revenue, we are exposed to customer concentration. Most of our customers are not contractually obligated to continue to use our services at historical levels or at all. The loss of any of these key customers or their failure to pay us could reduce our revenue and adversely affect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have substantial resources and some have widely used technology platforms which they seek to use as a competitive advantage to drive sales of other products and services. In addition, we expect the markets in which we compete will continue to attract new competitors and new technologies. These new technologies may render our existing technologies obsolete, resulting in operating inefficiencies and increased competitive pressure. There can be no assurance we will be able to compete successfully against current or future competitors or that competitive pressures we face in the markets in which we operate will not materially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intellectual property rights are valuable and any inability to protect them could reduce the value of our services.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The unauthorized use of our intellectual property or significant impairment of our intellectual property rights could harm our business, make it more expensive to do business or hurt our ability to compete. Protecting our intellectual property rights is costly and time consuming.</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Although we seek to obtain patent protection for our innovations, it is possible we may not be able to protect some of these innovations. Changes in patent law, such as changes in the law regarding patentable subject matter, can also impact our ability to obtain patent protection for our innovations. In addition, given the costs of obtaining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patent protection, we may choose not to protect certain innovations that later turn out to be important. Furthermore, there is always the possibility, despite our efforts, the scope of the protection gained will be insufficient or an issued patent may be deemed invalid or unenforceable.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failures could damage our business operations and increase our costs.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System disruptions or failures may interrupt or delay our ability to provide services to our customers. Any sustained and repeated disruptions in these services may have an adverse impact on our results of operations.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secure transmission of confidential information over the Internet is essential to maintaining consumer confidence. Security breaches and acts of vandalism could result in a compromise or breach of the technology we use to protect our customers’ personal information and transaction data and could result in the assessment of penalties. Furthermore, Congress or individual states could enact new laws regulating electronic commerce that could adversely affect us and our results of operations.</w:t>
      </w:r>
    </w:p>
    <w:p>
      <w:pPr>
        <w:sectPr>
          <w:pgSz w:w="11900" w:h="16929" w:orient="portrait"/>
          <w:cols w:equalWidth="0" w:num="1">
            <w:col w:w="11400"/>
          </w:cols>
          <w:pgMar w:left="240" w:top="125" w:right="259" w:bottom="0" w:gutter="0" w:footer="0" w:header="0"/>
        </w:sectPr>
      </w:pP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have a long sales cycle for many of our services and technology solutions and if we fail to close sales after expending significant time and resources to do so, our business, financial condition, and results of operations may be adversely affected.</w:t>
      </w:r>
    </w:p>
    <w:p>
      <w:pPr>
        <w:sectPr>
          <w:pgSz w:w="11900" w:h="16929" w:orient="portrait"/>
          <w:cols w:equalWidth="0" w:num="1">
            <w:col w:w="11400"/>
          </w:cols>
          <w:pgMar w:left="240" w:top="125" w:right="259" w:bottom="0" w:gutter="0" w:footer="0" w:header="0"/>
          <w:type w:val="continuous"/>
        </w:sectPr>
      </w:pPr>
    </w:p>
    <w:bookmarkStart w:id="7" w:name="page8"/>
    <w:bookmarkEnd w:id="7"/>
    <w:p>
      <w:pPr>
        <w:spacing w:after="0" w:line="2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may experience a long sales cycle for developing certain services. We may expend significant time and resources in pursuing a particular service or customer that does not generate revenue.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many of our services in the Technology Services segment are based on sophisticated software and computing systems with long sales cycles. We may encounter delays when developing new technology solutions and services.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 material adverse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extensive regulation, and failure to comply with existing or new regulations may adversely impact us.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FTC, the CFPB, the SEC and the state agencies that license certain of our mortgage related services and collection services. We also must comply with a number of federal, state and local consumer protection laws including, among others, the Gramm-Leach-Bliley Act, the Fair Debt Collection Practices Act, the Real Estate Settlement Procedures Act, the Truth in Lending Act, the Fair Credit Reporting Act, the Telephone Consumer Protection Act, the Homeowners Protection Act, the California Homeowner’s Bill of Rights, the Secure and Fair Enforcement for Mortgage Licensing Act, the Mortgage Reform and Anti-Predatory Lending Act and the Foreign Corrupt Practices Act. These requirements can and do change as statutes and regulations are enacted, promulgated or amended.</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ongoing economic uncertainty and troubled housing market have resulted in increased regulatory scrutiny of all participants involved in the mortgage industry. This scrutiny has included federal and state governmental agency review of all aspects of the mortgage lending and servicing industries, including an increased legislative and regulatory focus on consumer protection practices. One such enacted regulation is the Dodd-Frank Act (see further description in the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section in Item 1 of Part I, </w:t>
      </w:r>
      <w:r>
        <w:rPr>
          <w:rFonts w:ascii="Arial" w:cs="Arial" w:eastAsia="Arial" w:hAnsi="Arial"/>
          <w:sz w:val="16"/>
          <w:szCs w:val="16"/>
          <w:i w:val="1"/>
          <w:iCs w:val="1"/>
          <w:color w:val="auto"/>
        </w:rPr>
        <w:t>“Business”</w:t>
      </w:r>
      <w:r>
        <w:rPr>
          <w:rFonts w:ascii="Arial" w:cs="Arial" w:eastAsia="Arial" w:hAnsi="Arial"/>
          <w:sz w:val="16"/>
          <w:szCs w:val="16"/>
          <w:color w:val="auto"/>
        </w:rPr>
        <w:t>). In some cases, penalties for noncompliance are significantly increased and could lead to settlements or consent orders on us or our customers that may curtail or restrict our business as it is currently conducted.</w:t>
      </w:r>
    </w:p>
    <w:p>
      <w:pPr>
        <w:spacing w:after="0" w:line="15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are subject to certain additional certain federal, state and local consumer protection regulations. We also are subject to licensing and regulation as a mortgage services provider, mortgage origination underwriter, valuation provider, appraisal management company, asset manager, property manager, title insurance agency, other insurance related services provider, real estate broker and/or debt collector in a number of states. We are subject to audits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examinations that are conducted by the states in which we do business. Our employees and subsidiaries may be required to be licensed by various state commissions for the particular type of service sold and to participate in regular continuing education programs. From time to time, we receive requests from state and other agencies for records, documents and information regarding our policies, procedures and practices for our mortgage services and debt collection business activities. We incur significant ongoing costs to comply with governmental regulations.</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volume of new or modified laws and regulations has increased in recent years and, in addition, some individual municipalities have begun to enact laws that restrict mortgage services activities. If our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privacy regulations imposed on providers of services to financial institutions, our business could be harmed.</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a provider of services to financial institutions, we are bound by the same limitations on disclosure of the information we receive from their customers that apply to the financial institutions themselves. If we fail to comply with these regulations, we could be exposed to lawsuits or to governmental proceedings, our customer relationships and reputation could be harmed and we could be inhibited in our ability to obtain new customers. In addition, the adoption of more restrictive privacy laws or rules in the future on the federal or state level could have an adverse impact 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financial institutions at which we hold escrow funds fail, it could have a material adverse impact on our company.</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hold customers’ assets in escrow at various financial institutions, pending completion of certain real estate. These amounts are held in escrow for limited periods of time, generally consisting of a few days, and are generally not included in the accompanying consolidated balance sheets. Failure of one or more of these financial institutions may lead us to become liable for the funds owed to third parties, and there is no guarantee we would recover the funds deposited, whether through Federal Deposit Insurance Corporation coverage, private insurance or otherwise.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or damages or modify our products or processes.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From time to time, we may be subject to costly and time-consuming legal proceedings that claim legal violations or wrongful conduct. These lawsuits may involve clients, vendors, competitors and/or other large groups of plaintiffs and, if resulting in findings of violations, could result in substantial damages. Alternatively, we may be forced to settle some claims out of court and change existing company practices, services and processes that are currently revenue generating. This could lead to unexpected costs or a loss of revenue.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Our debt makes us more sensitive to the effects of economic change; our level of debt and provisions in our debt agreements could limit our ability to react to changes in the economy or our industry.</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debt makes us more vulnerable to changes in our results of operations because a portion of our cash flow from operations is dedicated to servicing our debt and is not available for other purposes. Additionally, increases in interest rates will negatively impact our cash flows as the interest on our debt is variable. The provisions of our debt agreement could have other negative consequences to us including the following:</w:t>
      </w:r>
    </w:p>
    <w:p>
      <w:pPr>
        <w:sectPr>
          <w:pgSz w:w="11900" w:h="16866" w:orient="portrait"/>
          <w:cols w:equalWidth="0" w:num="1">
            <w:col w:w="11420"/>
          </w:cols>
          <w:pgMar w:left="240" w:top="341" w:right="239" w:bottom="0" w:gutter="0" w:footer="0" w:header="0"/>
        </w:sectPr>
      </w:pPr>
    </w:p>
    <w:bookmarkStart w:id="8" w:name="page9"/>
    <w:bookmarkEnd w:id="8"/>
    <w:p>
      <w:pPr>
        <w:spacing w:after="0" w:line="36"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limiting our ability to borrow money for our working capital, capital expenditure and debt service requirements or other general corporate purposes;</w:t>
      </w:r>
    </w:p>
    <w:p>
      <w:pPr>
        <w:spacing w:after="0" w:line="46" w:lineRule="exact"/>
        <w:rPr>
          <w:rFonts w:ascii="Arial" w:cs="Arial" w:eastAsia="Arial" w:hAnsi="Arial"/>
          <w:sz w:val="16"/>
          <w:szCs w:val="16"/>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the business.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ability to make payments on our indebtedness depends on our ability to generate cash in the future. If we do not generate sufficient cash flow to meet our debt service and working capital requirements, we may need to seek additional financing or sell assets. This may make it more difficult for us to obtain financing on terms that are acceptable to us, or at all. Without any such financing, we could be forced to sell assets to make up for any shortfall in our payment obligations under unfavorable circumstances. If necessary, we may not be able to sell assets quickly enough or for sufficient amounts to enable us to meet our obligations.</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addition, our debt agreement contains covenants that limit our flexibility in planning for or reacting to changes in our business and our industry including limitations on incurring additional indebtedness, making investments, granting liens and merging or consolidating with other companies. Complying with these covenants may impair our ability to finance our future operations or capital needs or to engage in other favorable business activities.</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Our failure to comply with the covenants contained in our debt agreement, including as a result of events beyond our control, could result in an event of default which could materially and adversely affect our operating results and our financial condition.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debt agreement requires us to comply with various operational, reporting and other covenants that limit us from engaging in certain types of transactions. If there were an event of default under our debt agreement that was not cured or waived, the holders of the defaulted debt could cause all amounts outstanding with respect to that debt to be immediately due and payable. We cannot assure you that our assets or cash flow would be sufficient to fully repay borrowings under our outstanding debt instruments, either upon maturity or if accelerated, upon an event of default or that we would be able to refinance or restructure the payments on those debt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affected if Ocwen fails to repay our loan to them as expected.</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December 27, 2012, we loaned $75.0 million to Ocwen under a senior unsecured term loan agreement (the “Ocwen Term Loan”). If Ocwen defaults on our loan or on debt senior to our loan, or in the event of insolvency, liquidation, dissolution, reorganization, or bankruptcy of Ocwen, holders of debt instruments ranking senior to our loan would typically be entitled to receive payment in full before we receive any distribution in respect of our loan. After repaying such senior creditors, Ocwen may not have any remaining assets to use for repaying its obligation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grow is affected by our ability to retain and expand our existing client relationships and our ability to attract new customers.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70"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or improve the quality of services we provide to our customers;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or improve the level of attention expected by our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leverage our existing client relationships to sell additional services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other servicers and non-distressed home sellers as new customers on our consumer real estate portal.</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our efforts to retain and expand our client relationships and to attract new customers do not prove effective, it could have a material adverse effect on our business and results of operations and our ability to grow our operations.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If we do not adapt our services to changes in technology or in the marketplace, or if our ongoing efforts to upgrade our technology are not successful, we could lose customers and have difficulty attracting new customers for our services.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markets for our services are characterized by constant technological change, frequent introduction of new services and evolving industry standards. Our future success will be significantly affected by our ability to enhance, primarily through use of automation, econometrics and behavioral science principles, our current services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we will be successful in developing, marketing and selling new services that meet these changing demands. In addition, we may experience difficulties that could delay or prevent the successful development, introduction and marketing of these services. Finally, our services and their enhancements may not adequately meet the demands of the marketplace and achieve market acceptance. Any of these results would have a negative impact on our financial condition and results of operations and our ability to grow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objectives are dependent on the timing and market acceptance of our new service offerings.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new services will prove to be commercially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dependent on the trend toward outsourcing.</w:t>
      </w:r>
    </w:p>
    <w:p>
      <w:pPr>
        <w:sectPr>
          <w:pgSz w:w="11900" w:h="16874" w:orient="portrait"/>
          <w:cols w:equalWidth="0" w:num="1">
            <w:col w:w="11400"/>
          </w:cols>
          <w:pgMar w:left="240" w:top="341" w:right="259" w:bottom="0" w:gutter="0" w:footer="0" w:header="0"/>
        </w:sectPr>
      </w:pPr>
    </w:p>
    <w:bookmarkStart w:id="9" w:name="page10"/>
    <w:bookmarkEnd w:id="9"/>
    <w:p>
      <w:pPr>
        <w:jc w:val="both"/>
        <w:ind w:right="60"/>
        <w:spacing w:after="0" w:line="264" w:lineRule="auto"/>
        <w:rPr>
          <w:sz w:val="20"/>
          <w:szCs w:val="20"/>
          <w:color w:val="auto"/>
        </w:rPr>
      </w:pPr>
      <w:r>
        <w:rPr>
          <w:rFonts w:ascii="Arial" w:cs="Arial" w:eastAsia="Arial" w:hAnsi="Arial"/>
          <w:sz w:val="18"/>
          <w:szCs w:val="18"/>
          <w:color w:val="auto"/>
        </w:rPr>
        <w:t>Our continued growth at historical rates is dependent on the industry trend toward outsourced services. There can be no assurance this trend will continue, as organizations may elect to perform such services themselves or may be prevented from outsourcing services. A significant change in this trend could have a materially adverse effect on our continued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of growing through acquisitions and mergers involves potential risks.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consider acquisitions of other businesses that could complement our business. In addition to considering acquisitions that could offer us greater access in our current markets, we also consider acquisition of entities offering greater access and expertise in other asset types and markets that are related to ours but we do not currently serve. We also intend to acquire certain fee based businesses from Ocwen in connection with their acquisitions of servicing platforms. If we acquire businesses, we may face a number of risks including diverting management’s attention from our daily operations to the need for additional management, operational and financial resources along with system conversions and the inability to maintain key pre-acquisition relationships with customers, suppliers and employees. Moreover, any acquisition may result in the incurrence of additional amortization expense of related intangible assets which could reduce our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achieve some or all of the benefits we expect from the separation of Residential.</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not be able to achieve the strategic and financial benefits we expect from the spin-off of Residential or such benefits may be delayed. These outcomes may occur if, among other things, Residential is not successful in executing its strategy to acquire non-performing loan portfolios with a portion of the portfolios converting to single-family rental assets or if Residential is not successful in raising equity and debt to grow.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reduced our costs by utilizing lower cost labor in foreign countries such as India and the Philippines. As of December 31, 2012, over 4,600 of our employees were based in India and the Philippines. These countries are subject to relatively higher degrees of political and social instability and may lack the infrastructure to withstand political unrest or natural disasters. Such disruptions can decrease efficiency and increase our costs in these countries. Weakness of the United States dollar in relation to the currencies used in these foreign countries may also reduce the savings achievable through this strategy. Furthermore, the practice of utilizing labor based in foreign countries has come under increased scrutiny in the United States and, as a result, some of our customers may require us to use labor based in the United States. We may not be able to pass on the increased costs of higher-priced United States-based labor to our customers which ultimately could have an adverse effect on our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many foreign countries, particularly in those with developing economies, it is common to engage in business practices that are prohibited by laws and regulations applicable to us, such as the FCPA. Any violations of the FCPA or local anti-corruption laws by us, our subsidiaries or our local agents, could have an adverse effect on our business and reputation and result in substantial financial penalties or other sanctions.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political or economic instability in these countries could result in our having to replace or reduce these labor sources which may increase our labor costs and have an adverse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enforce judgments against it or its directors and executive officers.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Altisource is a public limited company organized under the laws of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located outside the United States. It may be difficult for investors to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our directors, executive officers and key personnel</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success is dependent on the efforts and abilities of our directors, executive officers and other key employees many of whom have significant experience in the real estate and mortgage industries. In particular we are dependent on the services of William C. Erbey, our Chairman of the Board, and William B. Shepro, our Chief Executive Officer, as well as the services of key personnel at each of our segments. The loss of the services of any of these directors, executives or key personnel, for any reason, could have a material adverse effect upon our business, operating results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and retain skilled employees may adversely impact our business.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is labor intensive and places significant importance on our ability to recruit, train and retain skilled employees. Additionally, demand for qualified technical and software professionals conversant in certain technologies may exceed supply as new and additional skills are required to keep pace with evolving computer technology. Our ability to locate and train employees is critical to achieving our growth objective. Our inability to attract and retain skilled employees or an increase in wages or other costs of attracting, training or retaining skilled employees could have a materially adverse effect on our business, financial condition and results of operations.</w:t>
      </w:r>
    </w:p>
    <w:p>
      <w:pPr>
        <w:spacing w:after="0" w:line="18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i w:val="1"/>
          <w:iCs w:val="1"/>
          <w:color w:val="auto"/>
        </w:rPr>
        <w:t>We could have conflicts with Ocwen, HLSS, Residential or AAMC, and the Chairman or other members of our Board of Directors could have conflicts of interest due to his or their relationship with Ocwen, HLSS, Residential or AAMC, which may be resolved in a manner adverse to us.</w:t>
      </w:r>
    </w:p>
    <w:p>
      <w:pPr>
        <w:spacing w:after="0" w:line="1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Conflicts may arise between Ocwen, HLSS, Residential or AAMC and us as a result of our ongoing agreements and the nature of our respective businesses. Our Chairman is also the Chairman of Ocwen, HLSS, Residential and AAMC. As a result, he has obligations to us as well as to these other entities and may</w:t>
      </w:r>
    </w:p>
    <w:p>
      <w:pPr>
        <w:sectPr>
          <w:pgSz w:w="11900" w:h="16838" w:orient="portrait"/>
          <w:cols w:equalWidth="0" w:num="1">
            <w:col w:w="11400"/>
          </w:cols>
          <w:pgMar w:left="240" w:top="341" w:right="259" w:bottom="0" w:gutter="0" w:footer="0" w:header="0"/>
        </w:sectPr>
      </w:pPr>
    </w:p>
    <w:bookmarkStart w:id="10" w:name="page11"/>
    <w:bookmarkEnd w:id="10"/>
    <w:p>
      <w:pPr>
        <w:spacing w:after="0" w:line="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have conflicts of interest with respect to matters potentially or actually involving or affecting us and Ocwen, HLSS, Residential or AAMC, as the case may be.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also seek to manage these potential conflicts through dispute resolution and other provisions of our agreements with Ocwen, HLSS, Residential or AAMC and through oversight by independent members of our Board of Directors. There can be no assurance that such measures will be effective, that we will be able to resolve all conflicts with Ocwen, HLSS, Residential or AAMC or that the resolution of any such conflicts will be no less favorable to us than if we were dealing with a third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2012 and the segments primarily occupying each location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Mortgage</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Technology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Corporate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Services</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Support Services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Luxembourg, Luxembourg</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United States</w:t>
            </w:r>
          </w:p>
        </w:tc>
        <w:tc>
          <w:tcPr>
            <w:tcW w:w="4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Atlanta, GA</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Boston, MA</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Irvine, CA</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Sacramento, CA</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St. Louis, MO</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Tempe, AZ</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Vestal, NY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Pasay City, Philippines</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3"/>
          </w:tcPr>
          <w:p>
            <w:pPr>
              <w:spacing w:after="0" w:line="176" w:lineRule="exact"/>
              <w:rPr>
                <w:sz w:val="20"/>
                <w:szCs w:val="20"/>
                <w:color w:val="auto"/>
              </w:rPr>
            </w:pPr>
            <w:r>
              <w:rPr>
                <w:rFonts w:ascii="Arial" w:cs="Arial" w:eastAsia="Arial" w:hAnsi="Arial"/>
                <w:sz w:val="18"/>
                <w:szCs w:val="18"/>
                <w:color w:val="auto"/>
              </w:rPr>
              <w:t>India</w:t>
            </w: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Bangalore</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5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Goa</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Mumbai</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X</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 We consider these facilities to be suitable and adequate for the management and operations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from time to time,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 Our businesses are also subject to extensive regulation which may result in regulatory proceedings against us.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right="4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“ASPS”. The following table sets forth the high and low close of day sales prices for our common stock, for the periods indicated, as reported by the NASDAQ Global Select Market:</w:t>
      </w:r>
    </w:p>
    <w:p>
      <w:pPr>
        <w:spacing w:after="0" w:line="162"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6350</wp:posOffset>
            </wp:positionV>
            <wp:extent cx="1912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1960"/>
        <w:spacing w:after="0"/>
        <w:tabs>
          <w:tab w:leader="none" w:pos="6200" w:val="left"/>
          <w:tab w:leader="none" w:pos="7840" w:val="left"/>
        </w:tabs>
        <w:rPr>
          <w:sz w:val="20"/>
          <w:szCs w:val="20"/>
          <w:color w:val="auto"/>
        </w:rPr>
      </w:pPr>
      <w:r>
        <w:rPr>
          <w:rFonts w:ascii="Arial" w:cs="Arial" w:eastAsia="Arial" w:hAnsi="Arial"/>
          <w:sz w:val="14"/>
          <w:szCs w:val="14"/>
          <w:b w:val="1"/>
          <w:bCs w:val="1"/>
          <w:color w:val="auto"/>
        </w:rPr>
        <w:t>Quarter ended</w:t>
      </w:r>
      <w:r>
        <w:rPr>
          <w:sz w:val="20"/>
          <w:szCs w:val="20"/>
          <w:color w:val="auto"/>
        </w:rPr>
        <w:tab/>
      </w:r>
      <w:r>
        <w:rPr>
          <w:rFonts w:ascii="Arial" w:cs="Arial" w:eastAsia="Arial" w:hAnsi="Arial"/>
          <w:sz w:val="14"/>
          <w:szCs w:val="14"/>
          <w:b w:val="1"/>
          <w:bCs w:val="1"/>
          <w:color w:val="auto"/>
        </w:rPr>
        <w:t>Low</w:t>
      </w:r>
      <w:r>
        <w:rPr>
          <w:sz w:val="20"/>
          <w:szCs w:val="20"/>
          <w:color w:val="auto"/>
        </w:rPr>
        <w:tab/>
      </w:r>
      <w:r>
        <w:rPr>
          <w:rFonts w:ascii="Arial" w:cs="Arial" w:eastAsia="Arial" w:hAnsi="Arial"/>
          <w:sz w:val="13"/>
          <w:szCs w:val="13"/>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wp:posOffset>
            </wp:positionV>
            <wp:extent cx="42792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ectPr>
          <w:pgSz w:w="11900" w:h="16876" w:orient="portrait"/>
          <w:cols w:equalWidth="0" w:num="1">
            <w:col w:w="11420"/>
          </w:cols>
          <w:pgMar w:left="240" w:top="125" w:right="239" w:bottom="0" w:gutter="0" w:footer="0" w:header="0"/>
        </w:sectPr>
      </w:pPr>
    </w:p>
    <w:bookmarkStart w:id="11" w:name="page12"/>
    <w:bookmarkEnd w:id="11"/>
    <w:p>
      <w:pPr>
        <w:spacing w:after="0" w:line="32"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June 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350"/>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June 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number of holders of record of our common stock as of January 31, 2013 was 87. The number of beneficial stockholders is substantially greater than the number of holders as a large portion of our common stock is held through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never declared or paid cash dividends on our common stock, and we do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payment of cash dividends may be limited by Luxembourg law and by covenants in our debt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May 2012, our shareholders approved a new stock repurchase program, which replaced the previous stock repurchase program. Under the new plan, we are authorized to purchase up to 3.5 million shares of our common stock in the open market in addition to amounts previously purchased under the prior plan. From authorization of the prior plan in May 2010 through December 31, 2012, we purchased approximately 2.5 million shares of our common stock in the open market at an average price of $37.49 per share. During the year ended December 31, 2012, we purchased 0.3 million shares of common stock at an average price of $63.25 per share. Since no common stock was repurchased following the approval of the new plan, 3.5 million shares of common stock remain available for repurchase under the plan. Luxembourg law limits share repurchases to approximately the balance of Altisource Portfolio Solutions S.A.’s retained earnings less treasury shares. The distribution of Residential and AAMC to our shareholders reduced our retained earnings which will limit our ability to repurchase shares for a period of time. Our debt agreement also contains limits on our ability to repurchase our common stock which will limit the amount we can spend on share repurchases in any year and may prevent repurchases in certain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shares were repurchased under our stock repurchase program during the months of October 2012 through December 2012.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S&amp;P’s 500 Index for the period commencing on August 10, 2009, the first trading day of our common stock, and ending on December 31, 2012. The graph assumes an investment of $100 at the beginning of such period. The comparisons in the graphs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127635</wp:posOffset>
            </wp:positionV>
            <wp:extent cx="4330700" cy="2160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3070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8/10/2009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12/31/2009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12/31/10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12/31/11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Altisource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202.79</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S&amp;P 500</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102.34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124.88</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135.26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CONSOLIDATED FINANCIAL DATA</w:t>
      </w:r>
    </w:p>
    <w:p>
      <w:pPr>
        <w:sectPr>
          <w:pgSz w:w="11900" w:h="16870" w:orient="portrait"/>
          <w:cols w:equalWidth="0" w:num="1">
            <w:col w:w="11460"/>
          </w:cols>
          <w:pgMar w:left="240" w:top="356" w:right="199" w:bottom="0" w:gutter="0" w:footer="0" w:header="0"/>
        </w:sectPr>
      </w:pPr>
    </w:p>
    <w:bookmarkStart w:id="12" w:name="page13"/>
    <w:bookmarkEnd w:id="12"/>
    <w:p>
      <w:pPr>
        <w:ind w:right="140"/>
        <w:spacing w:after="0" w:line="264" w:lineRule="auto"/>
        <w:rPr>
          <w:sz w:val="20"/>
          <w:szCs w:val="20"/>
          <w:color w:val="auto"/>
        </w:rPr>
      </w:pPr>
      <w:r>
        <w:rPr>
          <w:rFonts w:ascii="Arial" w:cs="Arial" w:eastAsia="Arial" w:hAnsi="Arial"/>
          <w:sz w:val="18"/>
          <w:szCs w:val="18"/>
          <w:color w:val="auto"/>
        </w:rPr>
        <w:t>The following selected financial data as of and for the years ended December 31, 2012, 2011, 2010 and 2009 has been derived from our audited consolidated financial statements. The following selected financial data as of and for the year ended December 31, 2008 has been derived from our audited combined consolidated financial statements.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the Separation of the Residential Asset Businesses, we eliminated the assets and liabilities of Residential and AAMC from our consolidated balance sheet effective at the close of business on December 21, 2012. As Residential and AAMC are development stage companies and have not commenced operations, these entities had no historical results of operations.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historical results presented below may not be indicative of our future performance and do not necessarily reflect what our financial position as of December 31, 2008 and results of operations for the years ended December 31, 2009 and 2008 would have been had we operated as a separate, stand-alone entity for periods ended prior to the Separation from Ocwen.</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our consolidated financial statements and notes thereto in Item 8 of Part II,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9"/>
              </w:rPr>
              <w:t>Years ended December 31,</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423,687</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301,378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202,812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366,201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275,849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189,059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126,797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74,712</w:t>
            </w: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62,131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57,352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39,473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(2,798)</w:t>
            </w: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Income before income taxes and non-controlling interests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(8,738)</w:t>
            </w:r>
          </w:p>
        </w:tc>
        <w:tc>
          <w:tcPr>
            <w:tcW w:w="260" w:type="dxa"/>
            <w:vAlign w:val="bottom"/>
          </w:tcPr>
          <w:p>
            <w:pPr>
              <w:spacing w:after="0"/>
              <w:rPr>
                <w:sz w:val="18"/>
                <w:szCs w:val="18"/>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(7,943)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(11,605)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56,174</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(6,855)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gridSpan w:val="4"/>
          </w:tcPr>
          <w:p>
            <w:pPr>
              <w:spacing w:after="0"/>
              <w:rPr>
                <w:sz w:val="20"/>
                <w:szCs w:val="20"/>
                <w:color w:val="auto"/>
              </w:rPr>
            </w:pPr>
            <w:r>
              <w:rPr>
                <w:rFonts w:ascii="Arial" w:cs="Arial" w:eastAsia="Arial" w:hAnsi="Arial"/>
                <w:sz w:val="18"/>
                <w:szCs w:val="18"/>
                <w:color w:val="auto"/>
              </w:rPr>
              <w:t>Net income attributable to Altisource</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110,627</w:t>
            </w:r>
          </w:p>
        </w:tc>
        <w:tc>
          <w:tcPr>
            <w:tcW w:w="3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49,271</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3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tcPr>
          <w:p>
            <w:pPr>
              <w:spacing w:after="0" w:line="216" w:lineRule="exact"/>
              <w:rPr>
                <w:sz w:val="20"/>
                <w:szCs w:val="20"/>
                <w:color w:val="auto"/>
              </w:rPr>
            </w:pPr>
            <w:r>
              <w:rPr>
                <w:rFonts w:ascii="Arial" w:cs="Arial" w:eastAsia="Arial" w:hAnsi="Arial"/>
                <w:sz w:val="18"/>
                <w:szCs w:val="18"/>
                <w:color w:val="auto"/>
              </w:rPr>
              <w:t>Earnings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2.92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gridSpan w:val="3"/>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3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Transactions with related parties included above: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245,262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94,897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2,430</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1,893</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5"/>
              </w:rPr>
              <w:t>As of December 31,</w:t>
            </w: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32,125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22,134</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30,456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88,955</w:t>
            </w: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52,005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53,495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30,497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50,399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25,600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17,493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56,586</w:t>
            </w: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64,950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72,428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33,719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14,915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Loan to Ocwen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224,159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120,556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Long term debt,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198,027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269,397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8"/>
                <w:szCs w:val="18"/>
                <w:color w:val="auto"/>
              </w:rPr>
              <w:t>58,216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45,902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34,208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-2248535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-2248535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jc w:val="both"/>
        <w:ind w:left="340" w:right="400" w:hanging="332"/>
        <w:spacing w:after="0" w:line="234" w:lineRule="auto"/>
        <w:tabs>
          <w:tab w:leader="none" w:pos="287"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For all periods prior to the Separation from Ocwen, the number of shares originally issued of 24.1 million is being used for diluted earnings per share (“EPS”) and for basic EPS as no common stock of Altisource was traded prior to August 10, 2009 and no Altisource equity awards were outstanding prior to that date.</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Management’s discussion and analysis of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MD&amp;A are as follows:</w:t>
      </w:r>
    </w:p>
    <w:p>
      <w:pPr>
        <w:sectPr>
          <w:pgSz w:w="11900" w:h="16838" w:orient="portrait"/>
          <w:cols w:equalWidth="0" w:num="1">
            <w:col w:w="11460"/>
          </w:cols>
          <w:pgMar w:left="240" w:top="341" w:right="199" w:bottom="0" w:gutter="0" w:footer="0" w:header="0"/>
        </w:sectPr>
      </w:pPr>
    </w:p>
    <w:bookmarkStart w:id="13" w:name="page14"/>
    <w:bookmarkEnd w:id="13"/>
    <w:p>
      <w:pPr>
        <w:spacing w:after="0" w:line="28" w:lineRule="exact"/>
        <w:rPr>
          <w:sz w:val="20"/>
          <w:szCs w:val="20"/>
          <w:color w:val="auto"/>
        </w:rPr>
      </w:pPr>
    </w:p>
    <w:p>
      <w:pPr>
        <w:ind w:left="500" w:right="18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22, provides a description of recent developments we believe are important in understanding the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or in understanding anticipated future trends. It also provides a brief description of significant transactions and events that affect the comparability of results and a discussion of the progress being made on our growth initiatives.</w:t>
      </w:r>
    </w:p>
    <w:p>
      <w:pPr>
        <w:spacing w:after="0" w:line="166" w:lineRule="exact"/>
        <w:rPr>
          <w:sz w:val="20"/>
          <w:szCs w:val="20"/>
          <w:color w:val="auto"/>
        </w:rPr>
      </w:pPr>
    </w:p>
    <w:p>
      <w:pPr>
        <w:ind w:left="500" w:right="34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28, provides an analysis of our consolidated results of operations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2012.</w:t>
      </w:r>
    </w:p>
    <w:p>
      <w:pPr>
        <w:spacing w:after="0" w:line="170" w:lineRule="exact"/>
        <w:rPr>
          <w:sz w:val="20"/>
          <w:szCs w:val="20"/>
          <w:color w:val="auto"/>
        </w:rPr>
      </w:pPr>
    </w:p>
    <w:p>
      <w:pPr>
        <w:ind w:left="500" w:right="26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31, provides an analysis of each business segment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as well as our Corporate Items and Eliminations segment. In addition, we discuss significant transactions, events and trends that may affect the comparability of the results being analyzed.</w:t>
      </w:r>
    </w:p>
    <w:p>
      <w:pPr>
        <w:spacing w:after="0" w:line="181"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39,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We also discuss restrictions on cash movements, future commitments and capital resources.</w:t>
      </w:r>
    </w:p>
    <w:p>
      <w:pPr>
        <w:spacing w:after="0" w:line="170" w:lineRule="exact"/>
        <w:rPr>
          <w:sz w:val="20"/>
          <w:szCs w:val="20"/>
          <w:color w:val="auto"/>
        </w:rPr>
      </w:pPr>
    </w:p>
    <w:p>
      <w:pPr>
        <w:jc w:val="both"/>
        <w:ind w:left="500" w:right="560"/>
        <w:spacing w:after="0" w:line="264" w:lineRule="auto"/>
        <w:rPr>
          <w:sz w:val="20"/>
          <w:szCs w:val="20"/>
          <w:color w:val="auto"/>
        </w:rPr>
      </w:pPr>
      <w:r>
        <w:rPr>
          <w:rFonts w:ascii="Arial" w:cs="Arial" w:eastAsia="Arial" w:hAnsi="Arial"/>
          <w:sz w:val="18"/>
          <w:szCs w:val="18"/>
          <w:i w:val="1"/>
          <w:iCs w:val="1"/>
          <w:color w:val="auto"/>
        </w:rPr>
        <w:t xml:space="preserve">Critical Accounting Judgments. </w:t>
      </w:r>
      <w:r>
        <w:rPr>
          <w:rFonts w:ascii="Arial" w:cs="Arial" w:eastAsia="Arial" w:hAnsi="Arial"/>
          <w:sz w:val="18"/>
          <w:szCs w:val="18"/>
          <w:color w:val="auto"/>
        </w:rPr>
        <w:t>This section, beginning on page 42, identifies those accounting principles we believe are most important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results and that require significant judgment and estimates on the part of management in application. We provide all of our significant accounting policies in Note 2 to the accompanying consolidated financial statements.</w:t>
      </w:r>
    </w:p>
    <w:p>
      <w:pPr>
        <w:spacing w:after="0" w:line="181"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This section, beginning on page 43, provides a discussion of off-balance sheet arrangements to the extent they exist.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tabular discussion of contractual obligations and discuss any significant commitments or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a global provider of services focused on high-value, technology-enabled, knowledge-based solutions principally related to real estate and mortgage portfolio management, asset recovery and customer relationship management.</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We conduct our operations through three reportable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originators and investors in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mortgages) and the utility and insurance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principally consists of our REALSuite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applications as well as our information technology (“IT”) infrastructure services. The REALSuite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platform provides a fully integrated set of software applications and technologies that manage the end-to-end lifecycle for residential and commercial mortgage loan servicing including the automated management and payment of a distributed network of vendors. In addition, our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segment includes eliminations of transactions between the reporting segments and costs related to corporate support functions including executive, finance, legal, human resources, vendor management, risk and six sigma. Further discussion regarding our business may be found under Item 1 of Part I, “</w:t>
      </w:r>
      <w:r>
        <w:rPr>
          <w:rFonts w:ascii="Arial" w:cs="Arial" w:eastAsia="Arial" w:hAnsi="Arial"/>
          <w:sz w:val="17"/>
          <w:szCs w:val="17"/>
          <w:i w:val="1"/>
          <w:iCs w:val="1"/>
          <w:color w:val="auto"/>
        </w:rPr>
        <w:t>Business</w:t>
      </w:r>
      <w:r>
        <w:rPr>
          <w:rFonts w:ascii="Arial" w:cs="Arial" w:eastAsia="Arial" w:hAnsi="Arial"/>
          <w:sz w:val="17"/>
          <w:szCs w:val="17"/>
          <w:color w:val="auto"/>
        </w:rPr>
        <w:t>”.</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which consists of amounts attributable to our fee based services. Reimbursable expenses and non-controlling interests are pass-through items for which we earn no margin. Reimbursable expenses consist of amounts we incur on behalf of our customers in performing our fee based services, but we pass such costs directly on to our customers without any additional markup. Non-controlling interests represent the earnings of Lenders One, a consolidated entity not owned by Altisource. It is included in revenue and reduced from net income to arrive at net income attributable to Altisource.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by Ocwen</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2012, Ocwen’s residential loan servicing portfolio grew from $102.2 billion in UPB to $203.7 billion in UPB. The 2012 growth is primarily from Ocwen’s acquisition of Homeward Residential in the fourth quarter and the acquisition of mortgage servicing rights and related assets from Saxon Mortgage Services, Inc. and from JP Morgan Chase portfolios in the second quarter of 2012. Additionally, in October 2012, Ocwen and Walter Investment Management Corporation presented the highest bid in the auction of ResCap’s servicing portfolio. We expect Ocwen to close the ResCap transaction in the first quarter of 2013. Excluding the approximately $120 billion of Ally Bank subservicing and master servicing, the ResCap transaction will increase Ocwen’s servicing portfolio UPB by approximately $203.7 billion. With these servicing platform acquisitions, Ocwen is now positioned as the fifth largest mortgage servicer in</w:t>
      </w:r>
    </w:p>
    <w:p>
      <w:pPr>
        <w:sectPr>
          <w:pgSz w:w="11900" w:h="16867" w:orient="portrait"/>
          <w:cols w:equalWidth="0" w:num="1">
            <w:col w:w="11420"/>
          </w:cols>
          <w:pgMar w:left="240" w:top="341" w:right="239" w:bottom="0" w:gutter="0" w:footer="0" w:header="0"/>
        </w:sectPr>
      </w:pPr>
    </w:p>
    <w:bookmarkStart w:id="14" w:name="page15"/>
    <w:bookmarkEnd w:id="14"/>
    <w:p>
      <w:pPr>
        <w:spacing w:after="0" w:line="3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United States. As the structured shift of servicing to non-banks continues, we expect Ocwen to continue to grow. Ocwen’s highly scalable platform and low cost operating structure positions it to be very competitive as additional mortgage servicing portfolios become available.</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Ocwen’s acquisition of Homeward Residential and the anticipated acquisition of the ResCap servicing platform, we intend to acquire the fee based businesses associated with these servicing portfolios from Ocwen at a price that we believe will provide an unlevered pre-tax return of approximately 20%. The fee based business acquisitions are strategically valuable as they will help us maintain our business model with Ocwen, expand our footprint and provide us significant revenue and earnings growth.</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Residential Asset Businesses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December 21, 2012, we completed the capitalization and distribution of Residential and AAMC to our shareholders. See “</w:t>
      </w:r>
      <w:r>
        <w:rPr>
          <w:rFonts w:ascii="Arial" w:cs="Arial" w:eastAsia="Arial" w:hAnsi="Arial"/>
          <w:sz w:val="18"/>
          <w:szCs w:val="18"/>
          <w:i w:val="1"/>
          <w:iCs w:val="1"/>
          <w:color w:val="auto"/>
        </w:rPr>
        <w:t>Separation of Residential Asset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Businesses</w:t>
      </w:r>
      <w:r>
        <w:rPr>
          <w:rFonts w:ascii="Arial" w:cs="Arial" w:eastAsia="Arial" w:hAnsi="Arial"/>
          <w:sz w:val="18"/>
          <w:szCs w:val="18"/>
          <w:color w:val="auto"/>
        </w:rPr>
        <w:t>” in Item 1 of Part I, “</w:t>
      </w:r>
      <w:r>
        <w:rPr>
          <w:rFonts w:ascii="Arial" w:cs="Arial" w:eastAsia="Arial" w:hAnsi="Arial"/>
          <w:sz w:val="18"/>
          <w:szCs w:val="18"/>
          <w:i w:val="1"/>
          <w:iCs w:val="1"/>
          <w:color w:val="auto"/>
        </w:rPr>
        <w:t>Business</w:t>
      </w:r>
      <w:r>
        <w:rPr>
          <w:rFonts w:ascii="Arial" w:cs="Arial" w:eastAsia="Arial" w:hAnsi="Arial"/>
          <w:sz w:val="18"/>
          <w:szCs w:val="18"/>
          <w:color w:val="auto"/>
        </w:rPr>
        <w:t>”.</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Residential and AAMC plan to enter the growing residential single-family rental market. Because of the different capital considerations and the operating metrics associated with owning and renting single-family homes, we believe these businesses are best suited to operate as separate stand-alone companies. Residential will acquire residential related assets, and AAMC will provide asset management and advisory services to Residential. We will provide property management, lease management and renovation management services to Residential once it begins acquiring assets. With $100 million of initial equity, we believe Residential is poised to execute on its strategy of achieving above market returns by (1) acquiring non-performing loans at a lower cost than directly acquiring REO and (2) operating at a lower cost than its competitors.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24, 2012, the shares of Residential and AAMC were distributed to our shareholders of record as of December 17, 2012, in the form of a taxable pro rata stock distribution (the “Distribution”). Our shareholders received a pro rata distribution of:</w:t>
      </w:r>
    </w:p>
    <w:p>
      <w:pPr>
        <w:spacing w:after="0" w:line="170" w:lineRule="exact"/>
        <w:rPr>
          <w:sz w:val="20"/>
          <w:szCs w:val="20"/>
          <w:color w:val="auto"/>
        </w:rPr>
      </w:pPr>
    </w:p>
    <w:p>
      <w:pPr>
        <w:ind w:left="660" w:hanging="28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Residential common stock for every three shares of Altisource common stock held;</w:t>
      </w:r>
    </w:p>
    <w:p>
      <w:pPr>
        <w:spacing w:after="0" w:line="225" w:lineRule="exact"/>
        <w:rPr>
          <w:rFonts w:ascii="Arial" w:cs="Arial" w:eastAsia="Arial" w:hAnsi="Arial"/>
          <w:sz w:val="18"/>
          <w:szCs w:val="18"/>
          <w:color w:val="auto"/>
        </w:rPr>
      </w:pPr>
    </w:p>
    <w:p>
      <w:pPr>
        <w:ind w:left="660" w:hanging="28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AAMC common stock for every 10 shares of Altisource common stock held and</w:t>
      </w:r>
    </w:p>
    <w:p>
      <w:pPr>
        <w:spacing w:after="0" w:line="225" w:lineRule="exact"/>
        <w:rPr>
          <w:rFonts w:ascii="Arial" w:cs="Arial" w:eastAsia="Arial" w:hAnsi="Arial"/>
          <w:sz w:val="18"/>
          <w:szCs w:val="18"/>
          <w:color w:val="auto"/>
        </w:rPr>
      </w:pPr>
    </w:p>
    <w:p>
      <w:pPr>
        <w:ind w:left="660" w:hanging="28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received cash in lieu of fractional Residential and AAMC shares.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There are contractual agreements between Altisource, Residential and AAMC that govern certain ongoing relationships and provide for an orderly transition to the status of three independent companies. These agreements are described further in “</w:t>
      </w:r>
      <w:r>
        <w:rPr>
          <w:rFonts w:ascii="Arial" w:cs="Arial" w:eastAsia="Arial" w:hAnsi="Arial"/>
          <w:sz w:val="18"/>
          <w:szCs w:val="18"/>
          <w:i w:val="1"/>
          <w:iCs w:val="1"/>
          <w:color w:val="auto"/>
        </w:rPr>
        <w:t>Related Parties”</w:t>
      </w:r>
      <w:r>
        <w:rPr>
          <w:rFonts w:ascii="Arial" w:cs="Arial" w:eastAsia="Arial" w:hAnsi="Arial"/>
          <w:sz w:val="18"/>
          <w:szCs w:val="18"/>
          <w:color w:val="auto"/>
        </w:rPr>
        <w:t xml:space="preserve"> at the end of this section. We did not report the historical operating results of Residential and AAMC as a discontinued operation because Residential and AAMC are development state companies that had not commenced operations as of the date of separation and because of the significance of the continuing involvement between these entities and Altisource under these agreements.</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Although Residential and AAMC are separate companies from Altisource, these entities have the same Chairman. As a result, our Chairman has obligations to Altisource as well as to Residential and AAMC. As of December 31, 2012, our Chairman owns or controls approximately 23% of the common stock of Altisource, approximately 23% of the common stock of Residential and approximately 23% of the common stock of AAMC.</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eliminated the assets and liabilities of Residential and AAMC from our consolidated balance sheet effective at the close of business on December 21, 2012. As Residential and AAMC are development stage companies and have not commenced operations, these entities had no historical results of operations. We don’t expect any negative impact on our future operations other than interest expense on the debt we borrowed in November 2012 to capitalize these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net assets transferred by Altisource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AAMC</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8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 in Altisource retained earnings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374"/>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Initiatives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2012, we focused on providing high quality services to Ocwen’s growing servicing portfolio while intensifying our efforts on our strategic initiatives to diversify and expand our revenue base. Because of our high margins and low capital requirements, we are very unique in that the faster we grow our revenue, the faster our net free cash flow grows. Our 2013 strategic growth initiatives are:</w:t>
      </w:r>
    </w:p>
    <w:p>
      <w:pPr>
        <w:spacing w:after="0" w:line="181" w:lineRule="exact"/>
        <w:rPr>
          <w:sz w:val="20"/>
          <w:szCs w:val="20"/>
          <w:color w:val="auto"/>
        </w:rPr>
      </w:pPr>
    </w:p>
    <w:p>
      <w:pPr>
        <w:ind w:left="660" w:right="820" w:hanging="328"/>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 as it continues to grow its residential loan servicing portfolio and residential loan origination platform;</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our origination related services by leveraging our acquisition of MPA;</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services for single-family home rentals;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deploying Hubzu, our consumer real estate portal, to the distressed and non-distressed home sales market;</w:t>
      </w:r>
    </w:p>
    <w:p>
      <w:pPr>
        <w:sectPr>
          <w:pgSz w:w="11900" w:h="16874" w:orient="portrait"/>
          <w:cols w:equalWidth="0" w:num="1">
            <w:col w:w="11460"/>
          </w:cols>
          <w:pgMar w:left="240" w:top="125" w:right="199" w:bottom="0" w:gutter="0" w:footer="0" w:header="0"/>
        </w:sectPr>
      </w:pPr>
    </w:p>
    <w:bookmarkStart w:id="15" w:name="page16"/>
    <w:bookmarkEnd w:id="15"/>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investing in our next generation software;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the Financial Services segment’s earnings.</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Growing services provided to Ocwen </w:t>
      </w:r>
      <w:r>
        <w:rPr>
          <w:rFonts w:ascii="Arial" w:cs="Arial" w:eastAsia="Arial" w:hAnsi="Arial"/>
          <w:sz w:val="18"/>
          <w:szCs w:val="18"/>
          <w:color w:val="auto"/>
        </w:rPr>
        <w:t>— Our primary focus in 2013 will be boarding and providing services to Ocwen’s growing servicing portfolio. We</w:t>
      </w:r>
      <w:r>
        <w:rPr>
          <w:rFonts w:ascii="Arial" w:cs="Arial" w:eastAsia="Arial" w:hAnsi="Arial"/>
          <w:sz w:val="18"/>
          <w:szCs w:val="18"/>
          <w:b w:val="1"/>
          <w:bCs w:val="1"/>
          <w:color w:val="auto"/>
        </w:rPr>
        <w:t xml:space="preserve"> </w:t>
      </w:r>
      <w:r>
        <w:rPr>
          <w:rFonts w:ascii="Arial" w:cs="Arial" w:eastAsia="Arial" w:hAnsi="Arial"/>
          <w:sz w:val="18"/>
          <w:szCs w:val="18"/>
          <w:color w:val="auto"/>
        </w:rPr>
        <w:t>are working diligently to prepare for the on-boarding of the Homeward Residential and ResCap servicing platforms. While we generally do not begin receiving Ocwen referrals until loans are boarded on our servicing system, we are exploring options to direct referrals to Altisource sooner for certain lines of business. We also revisited our staffing models in the fourth quarter of 2012 and determined we will need fewer additional Mortgage Services employees than originally anticipated to meet the heightened referral volumes. This is reflective of improvements in the operating leverage of our business model even without the deployment of our next generation technology.</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we provide a suite of default related services today, there continue to be opportunities to develop new services to complement our current offerings. In our Mortgage Services segment, we are developing short sale and deed-in-lieu processing offerings. We believe these services will not only accelerate our growth but will also help Ocwen extend its performance leadership.</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Mortgage origination related services </w:t>
      </w:r>
      <w:r>
        <w:rPr>
          <w:rFonts w:ascii="Arial" w:cs="Arial" w:eastAsia="Arial" w:hAnsi="Arial"/>
          <w:sz w:val="16"/>
          <w:szCs w:val="16"/>
          <w:color w:val="auto"/>
        </w:rPr>
        <w:t>— With an objective of long-term growth in the origination services market, we acquired the manager of the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One mortgage cooperative in February 2010. In 2012, the members of Lenders One originated approximately $183 billion of loans representing approximately 10.5% of the United States residential origination market. We estimate in excess of $3.0 billion was spent on origination related services in connection with these loans. The manager of the cooperative leverages the size of Lenders One, 241 members strong as of December 31, 2012, to obtain better execution on the sale of closed loans with third parties and to achieve lower costs on origination related services from third parties.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Leveraging our vendor network, technology, scale, global workforce and lower sales costs, we have begun offering origination related services directly to the members of Lenders One at a price we believe is below the current market. These services are similar to the services we provide in our default related business.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service revenue from origination related services grew to $37.8 million for the year ended December 31, 2012, an increase of 72% over 2011. This is reflective of Lenders One membership growth, strong origination volume and an increasing number of the Lenders One members retaining Altisource to provide them with origination related services. As of December 31, 2012, Lenders One membership increased to 241 members compared to 214 members as of December 31, 2011, and the number of signed agreements for origination related services with the members increased from 128 to 158. We believe that we can enhance the profitability and competitive position of the Lenders One members through the members’ retention of Altisource as their service provider. While we have taken a very deliberate approach in rolling out our origination related services to the Lenders One members, we are pleased with the initial progress we have made.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b w:val="1"/>
          <w:bCs w:val="1"/>
          <w:color w:val="auto"/>
        </w:rPr>
        <w:t xml:space="preserve">Property management, lease management and renovation management services </w:t>
      </w:r>
      <w:r>
        <w:rPr>
          <w:rFonts w:ascii="Arial" w:cs="Arial" w:eastAsia="Arial" w:hAnsi="Arial"/>
          <w:sz w:val="16"/>
          <w:szCs w:val="16"/>
          <w:color w:val="auto"/>
        </w:rPr>
        <w:t>— Providing property management, lease management and renovation</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services to Residential is a complementary extension of our existing service offerings leveraging our existing infrastructure, competencies and significant economies of scale. We know firsthand, through our ability to establish Altisource as one of the few nationwide single-family REO management and property inspection and preservation companies in the United States, property management can be executed on a national scale. Unlike most property management firms, we are not constrained by the location of the home. We have existing nationwide single-family asset management, property inspection and preservation, real estate brokerage and settlement services operations primarily performed from centralized lower cost locations.</w:t>
      </w:r>
    </w:p>
    <w:p>
      <w:pPr>
        <w:spacing w:after="0" w:line="16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entered into a long-term service agreement with Residential to be their exclusive provider of property management, lease management and renovation management services. We believe our lower cost operating structure will allow us to attractively price our services to Residential to improve their competitive position in investing in single-family rental assets. This in-turn should generate additional business for us related to these services.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as Residential acquires assets, it will become a serial equity raiser. With Altisource as the exclusive provider of property management, lease management and renovation management services to Residential, Residential’s growth will, in turn, provide attractive growth and diversification to Altisource.</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support the development of the rental asset businesses, the Mortgage Services segment incurred non-recurring expenses of $2.7 million related to the separation and distribution of Residential and AAMC. In addition, the Mortgage Services segment incurred $1.0 million of operating expenses to build out our rental property management capabilities to position us to provide the services to Residential and others. To finance the capitalization of Residential and AAMC and other growth initiatives, we borrowed $200 million in November 2012 under a senior secured term loan at an interest rate of 5.75% as of December 31, 2012. As a result, we incurred interest expense of $1.2 million in 2012. We believe that these expenses represent strategic investments in our future.</w:t>
      </w:r>
    </w:p>
    <w:p>
      <w:pPr>
        <w:spacing w:after="0" w:line="18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Hubzu </w:t>
      </w:r>
      <w:r>
        <w:rPr>
          <w:rFonts w:ascii="Arial" w:cs="Arial" w:eastAsia="Arial" w:hAnsi="Arial"/>
          <w:sz w:val="17"/>
          <w:szCs w:val="17"/>
          <w:color w:val="auto"/>
        </w:rPr>
        <w:t>— We continue to focus on deploying Hubzu, our online real estate transaction website, to the distressed and non-distressed home sales market as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there are opportunities to benefit from a shifting consumer preference for on-line transacting. Hubzu provides an automated, transparent and integrated on-line solution for buying and selling real estate and, eventually, related services. Based on our observations, we believe the industry is beginning to see a shift in consumer behavior and attitudes toward on-line transacting for homes. For the year ended December 31, 2012, we sold more than 25,000 homes through Hubzu, and our revenue has grown to $53.2 million, compared to $31.9 million for the year ended December 31, 2011 (Hubzu is part of our asset management services business in our Mortgage Services segment).</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2013 efforts to grow Hubzu will center on (1) offering Hubzu to other servicers to sell their REO and (2) providing Hubzu to individual listing agents and brokers. In this regard, we have started sales conversations with servicers and financial institutions to add them to our marketplace and further extend our leadership position in online home sales. Beginning in mid-February 2013, Hubzu is available to individual listing agents and brokers to lay the foundation for a broader entry into the non-distressed home sale market.</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medium to longer term, we intend to explore the possibility of distributing our ownership interest in this business creating a new public company. The consumer real estate portal has many of the same characteristics as some of the other publicly-traded real estate related technology companies. Similar to</w:t>
      </w:r>
    </w:p>
    <w:p>
      <w:pPr>
        <w:sectPr>
          <w:pgSz w:w="11900" w:h="16838" w:orient="portrait"/>
          <w:cols w:equalWidth="0" w:num="1">
            <w:col w:w="11400"/>
          </w:cols>
          <w:pgMar w:left="240" w:top="341" w:right="259" w:bottom="0" w:gutter="0" w:footer="0" w:header="0"/>
        </w:sectPr>
      </w:pPr>
    </w:p>
    <w:bookmarkStart w:id="16" w:name="page17"/>
    <w:bookmarkEnd w:id="16"/>
    <w:p>
      <w:pPr>
        <w:spacing w:after="0" w:line="13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these companies, we believe that we can create greater shareholder value with Hubzu operating as a separate stand-alone business. As a stand-alone company, Hubzu would have a singularly focused management team, and the performance of the business would be easier to compare with like companies.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regard to Hubzu, there is no certainty at this time that the separation will actually occur. Further, the consummation of any spin-off or similar transaction will be subject to our reaching satisfactory conclusions with our financial, tax and legal advisors on all applicable issues and the receipt of any necessary approvals.</w:t>
      </w:r>
    </w:p>
    <w:p>
      <w:pPr>
        <w:spacing w:after="0" w:line="17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Next generation technology </w:t>
      </w:r>
      <w:r>
        <w:rPr>
          <w:rFonts w:ascii="Arial" w:cs="Arial" w:eastAsia="Arial" w:hAnsi="Arial"/>
          <w:sz w:val="18"/>
          <w:szCs w:val="18"/>
          <w:color w:val="auto"/>
        </w:rPr>
        <w:t>— In our Technology Services segment, we plan on increasing our investment in personnel to support Ocwen and Altisource’s</w:t>
      </w:r>
      <w:r>
        <w:rPr>
          <w:rFonts w:ascii="Arial" w:cs="Arial" w:eastAsia="Arial" w:hAnsi="Arial"/>
          <w:sz w:val="18"/>
          <w:szCs w:val="18"/>
          <w:b w:val="1"/>
          <w:bCs w:val="1"/>
          <w:color w:val="auto"/>
        </w:rPr>
        <w:t xml:space="preserve"> </w:t>
      </w:r>
      <w:r>
        <w:rPr>
          <w:rFonts w:ascii="Arial" w:cs="Arial" w:eastAsia="Arial" w:hAnsi="Arial"/>
          <w:sz w:val="18"/>
          <w:szCs w:val="18"/>
          <w:color w:val="auto"/>
        </w:rPr>
        <w:t>growing businesses and to accelerate the development of our next generation vendor management and spend management software, the effect of which will be a marginal decline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pre-tax income in this segment. We are continuing to first focus on the technologies that are critical to Ocwen’s operations. These include REALServicing, our loan servicing system, and REALDoc, our correspondence generation, intelligent document intake and image storage platform. Once these technologies are fully staffed and we are making meaningful progress with development, we will refocus our efforts on recruiting the staff to complete the development of our next generation vendor management and spend management software. The investment in these technologies should significantly improve our margins.</w:t>
      </w:r>
    </w:p>
    <w:p>
      <w:pPr>
        <w:spacing w:after="0" w:line="15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Financial Services segment </w:t>
      </w:r>
      <w:r>
        <w:rPr>
          <w:rFonts w:ascii="Arial" w:cs="Arial" w:eastAsia="Arial" w:hAnsi="Arial"/>
          <w:sz w:val="17"/>
          <w:szCs w:val="17"/>
          <w:color w:val="auto"/>
        </w:rPr>
        <w:t>— This segment includes our receivables management and customer relationship management businesses. We believe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Services segment has meaningful expansion opportunities but generates lower earnings than we believe should be achieved. We are focusing on both sales growth and operating efficiencies to grow earnings in this segment. We believe 2013 will be a turning point in our earnings. By the second quarter of 2012, we will have completed a multi-year process of consolidating three operating platforms into one. This simplifies our operating infrastructure, improves our workforce efficiency and flexibility and lowers our technology costs. We also anticipate benefitting from our 2012 investment in a sales team to develop a pipeline of new business. We intend to pursue growth from existing customers and deeper penetration of the industries we currently serve, including our planned expansion of collections services for charged off mortgages.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May 2012, our shareholders approved a new stock repurchase program, which replaces the previous stock repurchase program. Under the new plan, we are authorized to purchase up to 3.5 million shares of our common stock in the open market in addition to amounts previously purchased under the prior plan. From authorization of the prior plan in May 2010 through December 31, 2012, we purchased approximately 2.5 million shares of our common stock in the open market at an average price of $37.49 per share. During the year ended December 31, 2012, we purchased 0.3 million shares of common stock at an average price of $63.25 per share. Since no common stock was repurchased following the approval of the new plan, 3.5 million shares of common stock remain available for repurchase under the plan. Luxembourg law limits share repurchases to approximately the balance of Altisource Portfolio Solutions S.A.’s retained earnings less treasury shares. The distribution of Residential and AAMC to our shareholders reduced our retained earnings which will limit our ability to repurchase shares for a period of time. Our debt agreement also contains limits on our ability to repurchase our common stock which will limit the amount we can spend on share repurchases in any year and may prevent repurchases in certain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ind w:left="660" w:right="380" w:hanging="247"/>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average, Ocwen serviced 0.8 million loans for the year ended December 31, 2012 compared to 0.5 million and 0.4 million loans for the years ended December 31, 2011 and 2010, respectively;</w:t>
      </w:r>
    </w:p>
    <w:p>
      <w:pPr>
        <w:spacing w:after="0" w:line="170" w:lineRule="exact"/>
        <w:rPr>
          <w:rFonts w:ascii="Arial" w:cs="Arial" w:eastAsia="Arial" w:hAnsi="Arial"/>
          <w:sz w:val="18"/>
          <w:szCs w:val="18"/>
          <w:color w:val="auto"/>
        </w:rPr>
      </w:pPr>
    </w:p>
    <w:p>
      <w:pPr>
        <w:ind w:left="660" w:right="180" w:hanging="247"/>
        <w:spacing w:after="0" w:line="286"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December 2013, we separated the Residential Asset Businesses from Altisource and capitalized the Residential Asset Businesses with $105 million. In connection with the separation and distribution of Residential and AAMC, we incurred one-time expenses of $2.7 million in 2012. We also incurred $1.0 million of expenses related to the build out of our rental property management capabilities;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540" w:hanging="247"/>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November 2012, we borrowed $200.0 million under a senior secured term loan agreement. Interest expense, including amortization of debt issuance costs and debt discount, totaled $1.2 million in 2012 (no comparative amounts in 2011 or 2010);</w:t>
      </w:r>
    </w:p>
    <w:p>
      <w:pPr>
        <w:spacing w:after="0" w:line="170" w:lineRule="exact"/>
        <w:rPr>
          <w:rFonts w:ascii="Arial" w:cs="Arial" w:eastAsia="Arial" w:hAnsi="Arial"/>
          <w:sz w:val="18"/>
          <w:szCs w:val="18"/>
          <w:color w:val="auto"/>
        </w:rPr>
      </w:pPr>
    </w:p>
    <w:p>
      <w:pPr>
        <w:ind w:left="620" w:hanging="20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repurchased 0.3 million and 1.6 million shares of our common stock under our stock repurchase program during the 2012 and 2011, respectively;</w:t>
      </w:r>
    </w:p>
    <w:p>
      <w:pPr>
        <w:spacing w:after="0" w:line="248" w:lineRule="exact"/>
        <w:rPr>
          <w:rFonts w:ascii="Arial" w:cs="Arial" w:eastAsia="Arial" w:hAnsi="Arial"/>
          <w:sz w:val="16"/>
          <w:szCs w:val="16"/>
          <w:color w:val="auto"/>
        </w:rPr>
      </w:pPr>
    </w:p>
    <w:p>
      <w:pPr>
        <w:ind w:left="660" w:right="120" w:hanging="247"/>
        <w:spacing w:after="0" w:line="259"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January 2011, we modified our pricing for IT infrastructure and support services within our Technology Services segment from a rate card model primarily based on headcount to a fully loaded cost plus mark-up where cost is allocated based on the underlying cost driver. This model applies to the IT infrastructure and support amounts charged to Ocwen as well as internal allocations. The impact of this change is discussed further in the Technology Services segment;</w:t>
      </w:r>
    </w:p>
    <w:p>
      <w:pPr>
        <w:spacing w:after="0" w:line="186" w:lineRule="exact"/>
        <w:rPr>
          <w:rFonts w:ascii="Arial" w:cs="Arial" w:eastAsia="Arial" w:hAnsi="Arial"/>
          <w:sz w:val="18"/>
          <w:szCs w:val="18"/>
          <w:color w:val="auto"/>
        </w:rPr>
      </w:pPr>
    </w:p>
    <w:p>
      <w:pPr>
        <w:ind w:left="660" w:right="480" w:hanging="247"/>
        <w:spacing w:after="0" w:line="308" w:lineRule="auto"/>
        <w:tabs>
          <w:tab w:leader="none" w:pos="6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146" w:lineRule="exact"/>
        <w:rPr>
          <w:rFonts w:ascii="Arial" w:cs="Arial" w:eastAsia="Arial" w:hAnsi="Arial"/>
          <w:sz w:val="17"/>
          <w:szCs w:val="17"/>
          <w:color w:val="auto"/>
        </w:rPr>
      </w:pPr>
    </w:p>
    <w:p>
      <w:pPr>
        <w:ind w:left="620" w:hanging="20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July 2011, we acquired the assembled workforce of a sub-contractor in India that performs asset recovery services (“Tracmail”);</w:t>
      </w:r>
    </w:p>
    <w:p>
      <w:pPr>
        <w:spacing w:after="0" w:line="225" w:lineRule="exact"/>
        <w:rPr>
          <w:rFonts w:ascii="Arial" w:cs="Arial" w:eastAsia="Arial" w:hAnsi="Arial"/>
          <w:sz w:val="18"/>
          <w:szCs w:val="18"/>
          <w:color w:val="auto"/>
        </w:rPr>
      </w:pPr>
    </w:p>
    <w:p>
      <w:pPr>
        <w:ind w:left="620" w:hanging="20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2010, we recognized $2.8 million of goodwill impairment related to the Financial Services segment;</w:t>
      </w:r>
    </w:p>
    <w:p>
      <w:pPr>
        <w:spacing w:after="0" w:line="225" w:lineRule="exact"/>
        <w:rPr>
          <w:rFonts w:ascii="Arial" w:cs="Arial" w:eastAsia="Arial" w:hAnsi="Arial"/>
          <w:sz w:val="18"/>
          <w:szCs w:val="18"/>
          <w:color w:val="auto"/>
        </w:rPr>
      </w:pPr>
    </w:p>
    <w:p>
      <w:pPr>
        <w:ind w:left="660" w:right="40" w:hanging="247"/>
        <w:spacing w:after="0" w:line="342" w:lineRule="auto"/>
        <w:tabs>
          <w:tab w:leader="none" w:pos="6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June 2010, we received a favorable tax ruling regarding the treatment of certain intangible assets that exist for purposes of determining our taxable income. The ruling was retroactive to the date of Separation from Ocwen. As a result of the ruling, we recognized a $3.4 million credit attributable</w:t>
      </w:r>
    </w:p>
    <w:p>
      <w:pPr>
        <w:sectPr>
          <w:pgSz w:w="11900" w:h="16975" w:orient="portrait"/>
          <w:cols w:equalWidth="0" w:num="1">
            <w:col w:w="11420"/>
          </w:cols>
          <w:pgMar w:left="240" w:top="125" w:right="239" w:bottom="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to 2009 in the second quarter 2010 and</w:t>
      </w:r>
    </w:p>
    <w:p>
      <w:pPr>
        <w:spacing w:after="0" w:line="225" w:lineRule="exact"/>
        <w:rPr>
          <w:sz w:val="20"/>
          <w:szCs w:val="20"/>
          <w:color w:val="auto"/>
        </w:rPr>
      </w:pPr>
    </w:p>
    <w:p>
      <w:pPr>
        <w:ind w:left="660" w:hanging="247"/>
        <w:spacing w:after="0" w:line="264"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February 2010, we acquired all of the outstanding membership interest of MPA which was formed for the purpose of managing Lenders One. The results of operations of Lenders One have been consolidated since the acquisition date in accordance with Financial Accounting Standards Board (“FASB”) Accounting Standard Codification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Following is a discussion of our consolidated results of operations for the years ended December 31, 2012, 2011 and 2010. For a more detailed discussion of the factors that affected the results of our business segments in these periods, see “</w:t>
      </w:r>
      <w:r>
        <w:rPr>
          <w:rFonts w:ascii="Arial" w:cs="Arial" w:eastAsia="Arial" w:hAnsi="Arial"/>
          <w:sz w:val="17"/>
          <w:szCs w:val="17"/>
          <w:i w:val="1"/>
          <w:iCs w:val="1"/>
          <w:color w:val="auto"/>
        </w:rPr>
        <w:t>Segment Results of Operations</w:t>
      </w:r>
      <w:r>
        <w:rPr>
          <w:rFonts w:ascii="Arial" w:cs="Arial" w:eastAsia="Arial" w:hAnsi="Arial"/>
          <w:sz w:val="17"/>
          <w:szCs w:val="17"/>
          <w:color w:val="auto"/>
        </w:rPr>
        <w:t>”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years ended December 31:</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4"/>
                <w:szCs w:val="14"/>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Increase</w:t>
            </w:r>
          </w:p>
        </w:tc>
        <w:tc>
          <w:tcPr>
            <w:tcW w:w="280" w:type="dxa"/>
            <w:vAlign w:val="bottom"/>
          </w:tcPr>
          <w:p>
            <w:pPr>
              <w:spacing w:after="0"/>
              <w:rPr>
                <w:sz w:val="14"/>
                <w:szCs w:val="14"/>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Increase</w:t>
            </w:r>
          </w:p>
        </w:tc>
        <w:tc>
          <w:tcPr>
            <w:tcW w:w="280" w:type="dxa"/>
            <w:vAlign w:val="bottom"/>
          </w:tcPr>
          <w:p>
            <w:pPr>
              <w:spacing w:after="0"/>
              <w:rPr>
                <w:sz w:val="14"/>
                <w:szCs w:val="14"/>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(decrease)</w:t>
            </w: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(decrease)</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351,908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224,942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135,680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63,979</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69,231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74,718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74,189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56,094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(23,147)</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466,929</w:t>
            </w: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334,758</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96,147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82,074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5,284</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6,855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568,360</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301,378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366,201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275,849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189,059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74,712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62,131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57,352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other (expense) income, net</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124,649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85,910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55,771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115,911</w:t>
            </w:r>
          </w:p>
        </w:tc>
        <w:tc>
          <w:tcPr>
            <w:tcW w:w="2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77,967</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110,627</w:t>
            </w:r>
          </w:p>
        </w:tc>
        <w:tc>
          <w:tcPr>
            <w:tcW w:w="2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56</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2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49,271</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Margins: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92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right"/>
              <w:ind w:right="260"/>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right"/>
              <w:ind w:right="280"/>
              <w:spacing w:after="0"/>
              <w:rPr>
                <w:sz w:val="20"/>
                <w:szCs w:val="20"/>
                <w:color w:val="auto"/>
              </w:rPr>
            </w:pPr>
            <w:r>
              <w:rPr>
                <w:rFonts w:ascii="Arial" w:cs="Arial" w:eastAsia="Arial" w:hAnsi="Arial"/>
                <w:sz w:val="18"/>
                <w:szCs w:val="18"/>
                <w:color w:val="auto"/>
              </w:rPr>
              <w:t>47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2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recognized service revenue of $466.9 million, $334.8 million and $247.0 million for the years ended December 31, 2012, 2011 and 2010, respectively. The growth in service revenue over the three year period was driven by the growth in Ocwen’s servicing portfolio coupled with our ongoing expansion of mortgage and real estate portfolio management services. Service revenue growth was also driven by an increase in origination related services provided to Lenders One members and growth in Financial Services’ customer relationship management business. Partially offsetting our service revenue growth was a decline in Financial Services segment revenue in our asset recovery management business. This business was impacted by lower credit card charge off placements and a shift of existing services from higher cost to lower cost geographies with corresponding lower fees from our customers for these services.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increase in revenue from reimbursable expenses over the three year period is due primarily to the increase in our asset management services and closing and insurance services businesses in the Mortgage Services segment over the same period.</w:t>
      </w:r>
    </w:p>
    <w:p>
      <w:pPr>
        <w:sectPr>
          <w:pgSz w:w="11900" w:h="16838" w:orient="portrait"/>
          <w:cols w:equalWidth="0" w:num="1">
            <w:col w:w="11380"/>
          </w:cols>
          <w:pgMar w:left="240" w:top="125" w:right="279" w:bottom="0" w:gutter="0" w:footer="0" w:header="0"/>
        </w:sectPr>
      </w:pPr>
    </w:p>
    <w:bookmarkStart w:id="18" w:name="page19"/>
    <w:bookmarkEnd w:id="18"/>
    <w:p>
      <w:pPr>
        <w:jc w:val="both"/>
        <w:ind w:right="220"/>
        <w:spacing w:after="0" w:line="264" w:lineRule="auto"/>
        <w:rPr>
          <w:sz w:val="20"/>
          <w:szCs w:val="20"/>
          <w:color w:val="auto"/>
        </w:rPr>
      </w:pPr>
      <w:r>
        <w:rPr>
          <w:rFonts w:ascii="Arial" w:cs="Arial" w:eastAsia="Arial" w:hAnsi="Arial"/>
          <w:sz w:val="18"/>
          <w:szCs w:val="18"/>
          <w:color w:val="auto"/>
        </w:rPr>
        <w:t>Our revenues are impacted by seasonality. More specifically, Financial Services asset recovery revenue tends to be higher in the first quarter and generally declines throughout the year. Mortgage Services revenue is impacted by REO sales which tend to be at their lowest level during the fall and winter months and highest during the spring and summer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telephony expenses as well as depreciation and amortization of operating assets.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recognized cost of revenue of $366.2 million, $275.8 million and $189.1 million for the years ended December 31, 2012, 2011 and 2010, respectively. The increase in cost of revenue over the three year period is directly attributable to compensation, technology and vendor costs associated with the growth in Ocwen’s servicing portfolio and higher costs in our Technology Services segment as we continue to invest in the development of our next generation technology and infrastructure.</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Gross profit as a percentage of service revenue was 43%, 44% and 45% for the years ended December 31, 2012, 2011 and 2010, respectively. Our gross margins can vary significantly from period to period. The most significant factors contributing to variability include the mix of services delivered, timing of investments in new services, hiring of staff in advance of new business and the timing of when loans are boarded by our customers. Gross profit as a percentage of service revenue decreased over the three year period primarily from higher costs in our Technology Services segment as we continue to invest in the development of our next generation technology. Gross profit as a percentage of service revenue further declined in 2012 from the costs incurred to develop the rental property management business and the growth of the lower margin origination services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SG&amp;A includes payroll for personnel employed in executive, finance, legal, human resources, vendor management, risk and six sigma roles. This category also includes occupancy costs, professional fees, depreciation and amortization on non-operating assets.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recognized SG&amp;A of $74.7 million, $62.1 million and $57.4 million for the years ended December 31, 2012, 2011 and 2010, respectively. Our operating margins were 27%, 26% and 22%, respectively, as a percentage of each year’s service revenue. Income from operations as a percentage of service revenue is improving as SG&amp;A is growing at a slower pace than service revenue. The benefit was partially offset in 2012 by costs associated with the separation of Residential and AAMC.</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an absolute basis, the increase in SG&amp;A for the year ended December 31, 2012 compared to the year ended December 31, 2011 was primarily due to a $6.2 million increase in occupancy related costs primarily from the addition of new leased facilities and equipment to support our growth. In addition, other SG&amp;A increased $4.2 million from higher marketing costs related to Hubzu, travel expenses primarily associated with the management of our global operations and higher bad debt expense. Finally, professional services increased primarily from $2.2 million of expenses incurred in connection with the Separation of the Residential Asset Businesses. Partially offsetting these increases was lower compensation expense of $1.2 million primarily due to the reversal in the first quarter of share-based compensation and incentive compensation expense related to the departure of an executive officer in March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recognized an income tax provision (benefit) of $8.7 million, $7.9 million and $(0.4) million in 2012, 2011 and 2010, respectively. The effective tax rate in all three periods differs from the Luxembourg statutory tax rate of 28.8% primarily because of the effect of a favorable tax ruling in Luxembourg in 2010 and the mix of income and losses and varying tax rates in multiple taxing jurisdictions. Our effective tax rate was 7.0%, 9.2% and (0.7)% for 2012, 2011 and 2010, respectively.</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pending accounting pronouncements that are expected to have a material impact upon adoption.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section provides a discussion of pre-tax results of operations of our business segments for the years ended December 31, 2012, 2011 and 2010. Transactions between segments are accounted for as third-party arrangements for purposes of presenting Segment Results of Operations. Intercompany transactions primarily consist of IT infrastructure services and charges for the use of certain REALSuite applications from our Technology Services segment to our other two segments. Generally, we reflect these charges within technology and communications expense in the segment receiving the services, except for consulting services, which we reflect in professional services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ectPr>
          <w:pgSz w:w="11900" w:h="16838" w:orient="portrait"/>
          <w:cols w:equalWidth="0" w:num="1">
            <w:col w:w="11360"/>
          </w:cols>
          <w:pgMar w:left="240" w:top="125" w:right="299" w:bottom="0" w:gutter="0" w:footer="0" w:header="0"/>
        </w:sectPr>
      </w:pPr>
    </w:p>
    <w:p>
      <w:pPr>
        <w:spacing w:after="0" w:line="217"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For the 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6350</wp:posOffset>
            </wp:positionV>
            <wp:extent cx="4339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jc w:val="right"/>
        <w:ind w:right="1860"/>
        <w:spacing w:after="0"/>
        <w:rPr>
          <w:sz w:val="20"/>
          <w:szCs w:val="20"/>
          <w:color w:val="auto"/>
        </w:rPr>
      </w:pPr>
      <w:r>
        <w:rPr>
          <w:rFonts w:ascii="Arial" w:cs="Arial" w:eastAsia="Arial" w:hAnsi="Arial"/>
          <w:sz w:val="14"/>
          <w:szCs w:val="14"/>
          <w:b w:val="1"/>
          <w:bCs w:val="1"/>
          <w:color w:val="auto"/>
        </w:rPr>
        <w:t>Corporate</w:t>
      </w:r>
    </w:p>
    <w:p>
      <w:pPr>
        <w:sectPr>
          <w:pgSz w:w="11900" w:h="16838" w:orient="portrait"/>
          <w:cols w:equalWidth="0" w:num="1">
            <w:col w:w="11360"/>
          </w:cols>
          <w:pgMar w:left="240" w:top="125" w:right="299" w:bottom="0" w:gutter="0" w:footer="0" w:header="0"/>
          <w:type w:val="continuous"/>
        </w:sectPr>
      </w:pPr>
    </w:p>
    <w:bookmarkStart w:id="19" w:name="page20"/>
    <w:bookmarkEnd w:id="1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Mortgage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4"/>
                <w:szCs w:val="14"/>
                <w:color w:val="auto"/>
              </w:rPr>
            </w:pPr>
          </w:p>
        </w:tc>
        <w:tc>
          <w:tcPr>
            <w:tcW w:w="13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6"/>
              </w:rPr>
              <w:t>Technology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Items and</w:t>
            </w:r>
          </w:p>
        </w:tc>
        <w:tc>
          <w:tcPr>
            <w:tcW w:w="120" w:type="dxa"/>
            <w:vAlign w:val="bottom"/>
          </w:tcPr>
          <w:p>
            <w:pPr>
              <w:spacing w:after="0"/>
              <w:rPr>
                <w:sz w:val="14"/>
                <w:szCs w:val="14"/>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Services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4"/>
                <w:szCs w:val="14"/>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Service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74,189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466,929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96,147</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5,284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452,796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74,189</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(23,147)</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568,360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366,201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(2,391)</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202,159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74,712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(29,701)</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127,447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gridSpan w:val="5"/>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gridSpan w:val="5"/>
            <w:vMerge w:val="continue"/>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140,398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10,642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10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(30,734)</w:t>
            </w: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102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124,649</w:t>
            </w:r>
          </w:p>
        </w:tc>
        <w:tc>
          <w:tcPr>
            <w:tcW w:w="1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Margins: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Gross profit/service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306,774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31,245</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338,227</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top w:val="single" w:sz="8" w:color="CCEEFF"/>
              <w:bottom w:val="single" w:sz="8" w:color="CCEEFF"/>
            </w:tcBorders>
            <w:gridSpan w:val="5"/>
            <w:shd w:val="clear" w:color="auto" w:fill="CCEEFF"/>
          </w:tcPr>
          <w:p>
            <w:pPr>
              <w:ind w:left="16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right w:val="single" w:sz="8" w:color="CCEEFF"/>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2,373</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2,430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gridSpan w:val="5"/>
            <w:vMerge w:val="restart"/>
          </w:tcPr>
          <w:p>
            <w:pPr>
              <w:ind w:left="16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gridSpan w:val="5"/>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86</w:t>
            </w:r>
          </w:p>
        </w:tc>
        <w:tc>
          <w:tcPr>
            <w:tcW w:w="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6"/>
            <w:vMerge w:val="restart"/>
          </w:tcPr>
          <w:p>
            <w:pPr>
              <w:spacing w:after="0"/>
              <w:rPr>
                <w:sz w:val="20"/>
                <w:szCs w:val="20"/>
                <w:color w:val="auto"/>
              </w:rPr>
            </w:pPr>
            <w:r>
              <w:rPr>
                <w:rFonts w:ascii="Arial" w:cs="Arial" w:eastAsia="Arial" w:hAnsi="Arial"/>
                <w:sz w:val="18"/>
                <w:szCs w:val="18"/>
                <w:color w:val="auto"/>
              </w:rPr>
              <w:t>N/M — not meaningful.</w:t>
            </w: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840" w:type="dxa"/>
            <w:vAlign w:val="bottom"/>
            <w:tcBorders>
              <w:bottom w:val="single" w:sz="8" w:color="010101"/>
            </w:tcBorders>
            <w:gridSpan w:val="2"/>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2"/>
          </w:tcPr>
          <w:p>
            <w:pPr>
              <w:jc w:val="center"/>
              <w:ind w:right="480"/>
              <w:spacing w:after="0"/>
              <w:rPr>
                <w:sz w:val="20"/>
                <w:szCs w:val="20"/>
                <w:color w:val="auto"/>
              </w:rPr>
            </w:pPr>
            <w:r>
              <w:rPr>
                <w:rFonts w:ascii="Arial" w:cs="Arial" w:eastAsia="Arial" w:hAnsi="Arial"/>
                <w:sz w:val="14"/>
                <w:szCs w:val="14"/>
                <w:b w:val="1"/>
                <w:bCs w:val="1"/>
                <w:color w:val="auto"/>
                <w:w w:val="92"/>
              </w:rPr>
              <w:t>For the year ended December 31, 2011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1"/>
              </w:rPr>
              <w:t>Technology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7"/>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Items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Service 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224,942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69,231</w:t>
            </w:r>
          </w:p>
        </w:tc>
        <w:tc>
          <w:tcPr>
            <w:tcW w:w="160" w:type="dxa"/>
            <w:vAlign w:val="bottom"/>
          </w:tcPr>
          <w:p>
            <w:pPr>
              <w:spacing w:after="0"/>
              <w:rPr>
                <w:sz w:val="18"/>
                <w:szCs w:val="18"/>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56,094</w:t>
            </w:r>
          </w:p>
        </w:tc>
        <w:tc>
          <w:tcPr>
            <w:tcW w:w="180" w:type="dxa"/>
            <w:vAlign w:val="bottom"/>
          </w:tcPr>
          <w:p>
            <w:pPr>
              <w:spacing w:after="0"/>
              <w:rPr>
                <w:sz w:val="18"/>
                <w:szCs w:val="18"/>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(15,509)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334,758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80,124</w:t>
            </w: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82,074</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56,094</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202,035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36,874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275,849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19,220</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62,131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gridSpan w:val="5"/>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gridSpan w:val="5"/>
            <w:vMerge w:val="continue"/>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94,856</w:t>
            </w:r>
          </w:p>
        </w:tc>
        <w:tc>
          <w:tcPr>
            <w:tcW w:w="120" w:type="dxa"/>
            <w:vAlign w:val="bottom"/>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4,417</w:t>
            </w:r>
          </w:p>
        </w:tc>
        <w:tc>
          <w:tcPr>
            <w:tcW w:w="16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lef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14,304</w:t>
            </w: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left w:val="single" w:sz="8" w:color="CCEEFF"/>
            </w:tcBorders>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(27,667)</w:t>
            </w:r>
          </w:p>
        </w:tc>
        <w:tc>
          <w:tcPr>
            <w:tcW w:w="22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gridSpan w:val="2"/>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gridSpan w:val="2"/>
            <w:vMerge w:val="continue"/>
            <w:shd w:val="clear" w:color="auto" w:fill="CCEEFF"/>
          </w:tcPr>
          <w:p>
            <w:pPr>
              <w:spacing w:after="0"/>
              <w:rPr>
                <w:sz w:val="18"/>
                <w:szCs w:val="18"/>
                <w:color w:val="auto"/>
              </w:rPr>
            </w:pPr>
          </w:p>
        </w:tc>
        <w:tc>
          <w:tcPr>
            <w:tcW w:w="118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tcBorders>
              <w:left w:val="single" w:sz="8" w:color="CCEEFF"/>
            </w:tcBorders>
            <w:gridSpan w:val="2"/>
            <w:vMerge w:val="continue"/>
            <w:shd w:val="clear" w:color="auto" w:fill="CCEEFF"/>
          </w:tcPr>
          <w:p>
            <w:pPr>
              <w:spacing w:after="0"/>
              <w:rPr>
                <w:sz w:val="18"/>
                <w:szCs w:val="18"/>
                <w:color w:val="auto"/>
              </w:rPr>
            </w:pPr>
          </w:p>
        </w:tc>
        <w:tc>
          <w:tcPr>
            <w:tcW w:w="10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Margins: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Gross profit/service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223,184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2"/>
                <w:szCs w:val="22"/>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21,812</w:t>
            </w:r>
          </w:p>
        </w:tc>
        <w:tc>
          <w:tcPr>
            <w:tcW w:w="180" w:type="dxa"/>
            <w:vAlign w:val="bottom"/>
          </w:tcPr>
          <w:p>
            <w:pPr>
              <w:spacing w:after="0"/>
              <w:rPr>
                <w:sz w:val="22"/>
                <w:szCs w:val="22"/>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245,262</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tcBorders>
              <w:top w:val="single" w:sz="8" w:color="CCEEFF"/>
              <w:bottom w:val="single" w:sz="8" w:color="CCEEFF"/>
            </w:tcBorders>
            <w:gridSpan w:val="5"/>
            <w:shd w:val="clear" w:color="auto" w:fill="CCEEFF"/>
          </w:tcPr>
          <w:p>
            <w:pPr>
              <w:ind w:left="16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left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left w:val="single" w:sz="8" w:color="CCEEFF"/>
              <w:bottom w:val="single" w:sz="8" w:color="auto"/>
            </w:tcBorders>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right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left w:val="single" w:sz="8" w:color="CCEEFF"/>
              <w:bottom w:val="single" w:sz="8" w:color="auto"/>
            </w:tcBorders>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1,893</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left w:val="single" w:sz="8" w:color="CCEEFF"/>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6"/>
            <w:vMerge w:val="restart"/>
          </w:tcPr>
          <w:p>
            <w:pPr>
              <w:spacing w:after="0"/>
              <w:rPr>
                <w:sz w:val="20"/>
                <w:szCs w:val="20"/>
                <w:color w:val="auto"/>
              </w:rPr>
            </w:pPr>
            <w:r>
              <w:rPr>
                <w:rFonts w:ascii="Arial" w:cs="Arial" w:eastAsia="Arial" w:hAnsi="Arial"/>
                <w:sz w:val="18"/>
                <w:szCs w:val="18"/>
                <w:color w:val="auto"/>
              </w:rPr>
              <w:t>N/M — not meaningful.</w:t>
            </w: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gridSpan w:val="3"/>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w w:val="91"/>
              </w:rPr>
              <w:t>For the year ended December 31, 2010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Items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Service revenue</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135,680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74,718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52,013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(15,385)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247,026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44,550</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2,899</w:t>
            </w:r>
          </w:p>
        </w:tc>
        <w:tc>
          <w:tcPr>
            <w:tcW w:w="1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187,133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77,617</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52,013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301,378</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117,691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56,575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28,909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69,442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21,042</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-6544945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-6544945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04"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13,718</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20,739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17,910</w:t>
            </w:r>
          </w:p>
        </w:tc>
        <w:tc>
          <w:tcPr>
            <w:tcW w:w="3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781</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Income before income taxes and non-controlling interests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135,655</w:t>
            </w:r>
          </w:p>
        </w:tc>
        <w:tc>
          <w:tcPr>
            <w:tcW w:w="3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19,167</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154,988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Increase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(decrease)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107,480</w:t>
            </w: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64,975</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37,079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Closing and insurance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56,496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27,754</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Residential property valuation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80,322</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51,785</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33,502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32,975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21,413</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Origination management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28,281</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18,711</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15,932</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351,908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224,942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Asset management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92,992</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76,511</w:t>
            </w: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41,920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Closing and insurance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2,186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reimbursable expenses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452,796</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311,921</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187,133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181,948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136,685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78,999</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Residential property valuation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73,406</w:t>
            </w: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48,734</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32,525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Closing and insurance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Default management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13,548</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11,032</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0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223,184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Revenue growth in all of the business lines, except origination management services, during the three year period was driven by the growth in Ocwen’s servicing portfolio and expansion in services provided. Additionally, a portion of the growth in closing and insurance services from 2010 to 2011 is from an increased capture rate of Ocwen’s referrals as we continued to expand our geographic presence. A portion of the growth in asset management services is from (1) a higher capture rate of REO sales through the time-limit bidding process resulting in a higher percentage commission and (2) an increase in the average REO sales price.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higher origination management services revenue over the three year period is from higher overall originations volume, the increase in number of Lenders One members and the incremental roll-out and capture of origination related services to the members. The number of Lenders One members as of December 31, 2012, 2011 and 2010 were 241 members, 214 members and 179 members,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ectPr>
          <w:pgSz w:w="11900" w:h="16838" w:orient="portrait"/>
          <w:cols w:equalWidth="0" w:num="1">
            <w:col w:w="11420"/>
          </w:cols>
          <w:pgMar w:left="240" w:top="125" w:right="239" w:bottom="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Increase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(decrease)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53,842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37,264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116,323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73,888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45,135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95,604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80,124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44,550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18,509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10,150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285,586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202,035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117,691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revenue increased over the three year period from costs related to the growth in Ocwen’s servicing portfolio as well as the development of closing and title services in 2011, new origination related services in 2012 and new rental property management services in 2012.</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Gross profit as a percentage of service revenue was 48%, 49% and 51% for the years ended December 31, 2012, 2011 and 2010, respectively. The most significant factors impacting gross profit as a percent of service revenue were the mix of services provided (growth of the lower margin origination related appraisals in 2012 as we focused on the sale of these services to the Lenders One members during the periods presented); costs incurred in 2012 to develop the rental property management business including the separation of Residential and AAMC; use of outside providers in 2011 to support the growth in residential property valuation services and a higher level of technology expenses to support our continued growth. Although we have been able to generally maintain our margins in periods of accelerated growth, over time we will seek to reduce employee and vendor costs as a percent of service revenue principally through deployment of our next generation vendor, process and payment management technologies which began in the second half of 2012 and will continue through 2014.</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margins can vary substantially depending upon when servicing is acquired by Ocwen. Typically, compensation and benefits will increase in anticipation of a servicing portfolio acquisition as we hire and train personnel to deliver services in advance of the actual boarding of loans by Ocwen. Subsequently, as new loans are boarded, for the first couple of months post boarding, we tend to deliver an elevated level of valuations and pre-foreclosure services for which we incur substantially more outside fees and services when compared to asset management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SG&amp;A expenses increased on an absolute basis over the three year period principally due to the growth in the Mortgage Services segment which required investments in leased facilities and related occupancy costs, technology and other general and administrative costs. Also contributing to the increase in both periods was higher marketing costs related to Hubzu, travel expenses primarily associated with the management of our global operations, higher bad debt expense in line with our higher levels of revenue and costs in 2012 associated with the separation of Residential and AAMC.</w:t>
      </w:r>
    </w:p>
    <w:p>
      <w:pPr>
        <w:spacing w:after="0" w:line="15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Income from operations as a percentage of service revenue, however, declined in 2012 compared to 2011 due to the lower gross profit margins in 2012, costs associated with the separation of Residential and AAMC partially offset by stabilization of SG&amp;A on higher service revenue. Excluding the costs to develop the rental property management business and the costs associated with the separation of Residential and AAMC, our income from operations as a percentage of service revenue would have been 44% in 2012.</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Increase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(decrease)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(decrease)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Asset recovery management</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29,582</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37,371</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63,979</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69,231</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Total reimbursable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64,522</w:t>
            </w:r>
          </w:p>
        </w:tc>
        <w:tc>
          <w:tcPr>
            <w:tcW w:w="158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71,181</w:t>
            </w:r>
          </w:p>
        </w:tc>
        <w:tc>
          <w:tcPr>
            <w:tcW w:w="160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77,617</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Services revenue declined over the three year period due to a decline in revenue from asset recovery management services. The decline was primarily due to the shift of existing services for one of the segment’s largest customers to a lower cost geography with corresponding lower fees from our customer for these services and a decline in total placements as a result of lower credit card delinquencies. Partially offsetting this decline, service revenue in customer relationship management increased over the same periods. Our global delivery platform consists of highly trained specialists in various geographic regions. The use of specialists in certain countries may result in lower commission rates paid by clients but results in higher margins principally due to the lower employee cost structure.</w:t>
      </w:r>
    </w:p>
    <w:p>
      <w:pPr>
        <w:sectPr>
          <w:pgSz w:w="11900" w:h="16838" w:orient="portrait"/>
          <w:cols w:equalWidth="0" w:num="1">
            <w:col w:w="11400"/>
          </w:cols>
          <w:pgMar w:left="240" w:top="104" w:right="259" w:bottom="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and Gross Profit</w:t>
      </w:r>
    </w:p>
    <w:p>
      <w:pPr>
        <w:sectPr>
          <w:pgSz w:w="11900" w:h="16838" w:orient="portrait"/>
          <w:cols w:equalWidth="0" w:num="1">
            <w:col w:w="11400"/>
          </w:cols>
          <w:pgMar w:left="240" w:top="104" w:right="259" w:bottom="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Increase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(decrease)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(decrease)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29,764</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5,598</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11,587</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7,221</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51,096</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July 2011, we purchased the assembled workforce of a sub-contractor in India that performs asset recovery services. For periods prior to the acquisition, the costs paid to the sub-contractor were included in outside fees and services. Since the acquisition, these costs have been recorded according to the nature of the expenses and are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included in compensation and benefits and technology and communications expenses (included in cost of revenue ) or occupancy related costs and other (included in SG&amp;A).</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 of revenue as a percentage of service revenue has remained flat over the periods presented as we have actively worked to manage our cost structure in a declining revenue environment. We principally managed our cost structure through a reduction in compensation and benefit costs both through a reduction in overall headcount as well as expanding our use of our global workforce.</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as a percentage of service revenue remained consistent over the three year period. We are focusing on both sales growth and operating efficiencies to grow earnings in this segment. We believe 2013 will be a turning point in our earnings. By the second quarter of 2012, we will have completed a multi-year process of consolidating three operating platforms into one. This simplifies our operating infrastructure, improves our workforce efficiency and flexibility and lowers our technology costs. We also anticipate benefitting from our 2012 investment in a sales team to develop a pipeline of new business. We intend to pursue growth from existing customers and deeper penetration of the industries we currently serve, including our planned expansion of collections services for charged off mortgages.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an absolute basis, SG&amp;A expenses decreased over the three year period principally from lower compensation costs as a result of shifting work in our global delivery platform as discussed in the revenue section above and as a result of decreased depreciation and amortization (related to assets no longer utilized by this segment). SG&amp;A in 2010 includes a $2.8 million goodwill impairment recorded in the fourth quarter of 2010 (no impairment recorded in 2011 or 2012).</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as a percentage of service revenue improved from 0% for the year ended December 31, 2010 to 7% for the year ended December 31, 2012 as a result of the declines in SG&amp;A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Increase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 (decrease)</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(decrease)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REALSuite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41,702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34,926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31,214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20,799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70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74,189</w:t>
            </w:r>
          </w:p>
        </w:tc>
        <w:tc>
          <w:tcPr>
            <w:tcW w:w="2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56,094</w:t>
            </w:r>
          </w:p>
        </w:tc>
        <w:tc>
          <w:tcPr>
            <w:tcW w:w="28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52,013</w:t>
            </w:r>
          </w:p>
        </w:tc>
        <w:tc>
          <w:tcPr>
            <w:tcW w:w="120" w:type="dxa"/>
            <w:vAlign w:val="bottom"/>
            <w:tcBorders>
              <w:bottom w:val="single" w:sz="8" w:color="CCEEFF"/>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REALSuite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18,245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13,000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8,559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7,941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vMerge w:val="restart"/>
          </w:tcPr>
          <w:p>
            <w:pPr>
              <w:jc w:val="right"/>
              <w:ind w:right="734"/>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increase in REALSuite revenue over the three year period was driven by the growth in Ocwen’s servicing portfolio. An increase in flood certification services to Lenders One members also contributed to the increase in 2012 as compared to 2011. We began offering flood certification services in early 2011.</w:t>
      </w:r>
    </w:p>
    <w:p>
      <w:pPr>
        <w:sectPr>
          <w:pgSz w:w="11900" w:h="16838" w:orient="portrait"/>
          <w:cols w:equalWidth="0" w:num="1">
            <w:col w:w="11460"/>
          </w:cols>
          <w:pgMar w:left="240" w:top="341" w:right="199" w:bottom="0" w:gutter="0" w:footer="0" w:header="0"/>
        </w:sectPr>
      </w:pPr>
    </w:p>
    <w:bookmarkStart w:id="23" w:name="page24"/>
    <w:bookmarkEnd w:id="23"/>
    <w:p>
      <w:pPr>
        <w:ind w:right="320"/>
        <w:spacing w:after="0" w:line="279" w:lineRule="auto"/>
        <w:rPr>
          <w:sz w:val="20"/>
          <w:szCs w:val="20"/>
          <w:color w:val="auto"/>
        </w:rPr>
      </w:pPr>
      <w:r>
        <w:rPr>
          <w:rFonts w:ascii="Arial" w:cs="Arial" w:eastAsia="Arial" w:hAnsi="Arial"/>
          <w:sz w:val="17"/>
          <w:szCs w:val="17"/>
          <w:color w:val="auto"/>
        </w:rPr>
        <w:t>The increase in IT infrastructure services revenue over the three year period reflects the growth experienced by our Mortgage Services segment and by Ocwen. IT infrastructure services are billed on a cost plus basis. As such, the increase in cost to support headcount growth in both Altisource and Ocwen resulted in a corresponding increase in revenue in the Technology Services segment. The increase in 2011 compared to 2010 was partially offset by the change in pricing effective January 1, 2011 as discussed in “</w:t>
      </w:r>
      <w:r>
        <w:rPr>
          <w:rFonts w:ascii="Arial" w:cs="Arial" w:eastAsia="Arial" w:hAnsi="Arial"/>
          <w:sz w:val="17"/>
          <w:szCs w:val="17"/>
          <w:i w:val="1"/>
          <w:iCs w:val="1"/>
          <w:color w:val="auto"/>
        </w:rPr>
        <w:t>Factors Affecting Comparability</w:t>
      </w:r>
      <w:r>
        <w:rPr>
          <w:rFonts w:ascii="Arial" w:cs="Arial" w:eastAsia="Arial" w:hAnsi="Arial"/>
          <w:sz w:val="17"/>
          <w:szCs w:val="17"/>
          <w:color w:val="auto"/>
        </w:rPr>
        <w:t>” above.</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services provided to our other segments are eliminated in consolidation but are included as revenue in Technology Services and as a component of technology and communications expense in our other segments for segment presentation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Increase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120" w:type="dxa"/>
            <w:vAlign w:val="bottom"/>
          </w:tcPr>
          <w:p>
            <w:pPr>
              <w:jc w:val="right"/>
              <w:ind w:right="142"/>
              <w:spacing w:after="0"/>
              <w:rPr>
                <w:sz w:val="20"/>
                <w:szCs w:val="20"/>
                <w:color w:val="auto"/>
              </w:rPr>
            </w:pPr>
            <w:r>
              <w:rPr>
                <w:rFonts w:ascii="Arial" w:cs="Arial" w:eastAsia="Arial" w:hAnsi="Arial"/>
                <w:sz w:val="14"/>
                <w:szCs w:val="14"/>
                <w:b w:val="1"/>
                <w:bCs w:val="1"/>
                <w:color w:val="auto"/>
              </w:rPr>
              <w:t>% Increase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(decrease)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142"/>
              <w:spacing w:after="0"/>
              <w:rPr>
                <w:sz w:val="20"/>
                <w:szCs w:val="20"/>
                <w:color w:val="auto"/>
              </w:rPr>
            </w:pPr>
            <w:r>
              <w:rPr>
                <w:rFonts w:ascii="Arial" w:cs="Arial" w:eastAsia="Arial" w:hAnsi="Arial"/>
                <w:sz w:val="14"/>
                <w:szCs w:val="14"/>
                <w:b w:val="1"/>
                <w:bCs w:val="1"/>
                <w:color w:val="auto"/>
              </w:rPr>
              <w:t>/ (decrease)</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2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36,874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revenue increased over the three year period from hiring additional and more expensive personnel to support the development of our next generation REALSuite software, increased technology and communications costs from the addition of new facilities and the expansion of existing facilities. Outside fees and services increased in 2012 associated with the increase in flood certification services provided to Lenders One members. Technology and communications costs increased principally due to the addition of new facilities, expansion of existing facilities and increased licensing fees for software to support our growth. We expect cost of revenue in the Technology Services segment to increase as we continue to invest in personnel to support our development initiatives.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as a percentage of service revenue declined during the three year period as we experienced faster growth in the lower margin IT infrastructure services and incurred higher costs in the development of our next generation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an absolute basis, SG&amp;A expenses increased in 2012 compared to 2011 primarily due to an increase in occupancy costs. SG&amp;A expenses in 2011 were comparable to those in 2010.</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Income from operations as a percentage of service revenue declined over the three year period as a result of the revenue and expense fluctuations described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Corporate segment includes costs recognized by us related to corporate support functions including executive, finance, legal, human resources, vendor management, risk and six sigma. It also includes eliminations of transactions between the reporting segments.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Corporate costs increased in 2012 compared to 2011 primarily due to increased lease costs related to the build out of new facilities to support our growth. We reflect initial lease costs in our Corporate segment until the facilities reach a certain level of occupancy by the business operations at which time the cost is reflected in the respective business unit’s financial statements. Partially offsetting the increase in 2012 was the reversal in the first quarter of 2012 of share-based compensation and incentive compensation expense of $1.0 million related to the departure of an Executive Officer in March 2012. As a percentage of total consolidated service revenue, Corporate operating expenses decreased from 8.3% in 2011 to 6.4% in 2012 as SG&amp;A is growing at a slower pace than service revenue.</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Corporate costs increased in 2011 as compared to 2010. During 2011, we incurred a full year of costs for those employees hired during 2010 and also hired additional resources principally focused on legal, compliance and quality assurance. As a result, our expenses associated with related professional fees decreased. In addition, lease costs increased related to the build out of new facilities to support Ocwen’s growth. As a percentage of total consolidated Service Revenue, Corporate expenses in 2011were essentially flat compared to 2010.</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elimination of intercompany revenue increased over the three year period due to growth in our operations over the same period. These transactions primarily consist of IT infrastructure services as well as charges for the use of certain REALSuite applications from our Technology Service segment to our other two segments. While the expenses are recognized in the Mortgage Services and Financial Services segments above, the elimination of these expenses are reflected in Corporate items and eliminations.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We seek to deploy excess cash generated in a disciplined manner. Principally, we intend to use excess cash to repay our senior secured term loan (as described below) and develop complementary services and businesses that we believe will generate attractive margins in line with our core capabilities. Further, we plan to evaluate potential acquisitions that align with our vision and accelerate the achievement of our strategic objectives.</w:t>
      </w:r>
    </w:p>
    <w:p>
      <w:pPr>
        <w:sectPr>
          <w:pgSz w:w="11900" w:h="16838" w:orient="portrait"/>
          <w:cols w:equalWidth="0" w:num="1">
            <w:col w:w="11420"/>
          </w:cols>
          <w:pgMar w:left="240" w:top="125" w:right="239" w:bottom="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t>On January 31 2013, we entered into letters of intent with Ocwen to acquire for a combined purchase price of $218.6 million certain fee based businesses associated with Ocwen’s acquisition of Homeward Residential and the anticipated acquisition of the ResCap servicing portfolio. The fee based business acquisitions are strategically valuable as they will help us maintain our business model with Ocwen, expand our footprint and provide significant revenue and earnings growth.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Term Loan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27, 2012, we entered into a seven-year senior secured term loan facility agreement (the “Credit Agreement”), with Bank of America, N.A. as administrative agent pursuant to which we borrowed $200 million (the “Senior Secured Term Loan”).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portion of the proceeds was used to capitalize Residential and AAMC (as described in “</w:t>
      </w:r>
      <w:r>
        <w:rPr>
          <w:rFonts w:ascii="Arial" w:cs="Arial" w:eastAsia="Arial" w:hAnsi="Arial"/>
          <w:sz w:val="18"/>
          <w:szCs w:val="18"/>
          <w:i w:val="1"/>
          <w:iCs w:val="1"/>
          <w:color w:val="auto"/>
        </w:rPr>
        <w:t>Separation of Residential Asset Businesses</w:t>
      </w:r>
      <w:r>
        <w:rPr>
          <w:rFonts w:ascii="Arial" w:cs="Arial" w:eastAsia="Arial" w:hAnsi="Arial"/>
          <w:sz w:val="18"/>
          <w:szCs w:val="18"/>
          <w:color w:val="auto"/>
        </w:rPr>
        <w:t>” in Item 1 of Part I, “</w:t>
      </w:r>
      <w:r>
        <w:rPr>
          <w:rFonts w:ascii="Arial" w:cs="Arial" w:eastAsia="Arial" w:hAnsi="Arial"/>
          <w:sz w:val="18"/>
          <w:szCs w:val="18"/>
          <w:i w:val="1"/>
          <w:iCs w:val="1"/>
          <w:color w:val="auto"/>
        </w:rPr>
        <w:t>Business</w:t>
      </w:r>
      <w:r>
        <w:rPr>
          <w:rFonts w:ascii="Arial" w:cs="Arial" w:eastAsia="Arial" w:hAnsi="Arial"/>
          <w:sz w:val="18"/>
          <w:szCs w:val="18"/>
          <w:color w:val="auto"/>
        </w:rPr>
        <w:t>”) and to pay certain fees, commissions and expenses in connection with the Credit Agreement. On December 27, 2012, we also used a portion of the proceeds to advance $75.0 million to Ocwen under a senior unsecured term loan agreement (the “Ocwen Term Loan”) (See Note 4 to the consolidated financial statements for further information). The proceeds may also be used for general corporate purposes including acquisitions and investments permitted under the Credit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Senior Secured Term Loan must be repaid in equal consecutive quarterly principal installments, commencing on March 29, 2013, equal to 0.25% of the initial principal amount of such loans with final payment of all amounts outstanding, plus accrued and unpaid interest, due on November 27, 2019. Interest payments are due monthly. The interest rate as of December 31, 2012 was 5.75%.</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debt covenants limit, among other things, our ability to incur additional debt. In the event we needed additional liquidity, our ability to obtain it may be limited by the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14"/>
                <w:szCs w:val="14"/>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(decrease)</w:t>
            </w: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(decrease)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145,672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96,657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(29,143)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14,954</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(21,752)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116,529</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(110,563)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(33,070)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67,411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change in cash</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73,377</w:t>
            </w: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and cash equivalents at beginning of</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32,125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22,134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w w:val="93"/>
              </w:rPr>
              <w:t>Cash and cash equivalents at end of period</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105,502</w:t>
            </w: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32,125</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Cash flows from operating activities are generally the cash effects of transactions and events that factor into the determination of net income. For the year ended December 31, 2012, we generated $116.5 million in cash flows from operations, or approximately $0.25 per dollar of service revenue, compared to $111.6 million of cash flows from operations, or approximately $0.33 per dollar of service revenue in 2011. The increase in cash flow from operating activities compared to 2011 is primarily due to the increase in net income substantially offset by a decline in working capital principally due to higher accounts receivable. The reduction in cash flow from operations per service revenue dollar when compared to 2011 is the result of higher growth in accounts receivable in 2012 compared to 2011. We anticipate a more normalized level of accounts receivable in the first quarter of 2013.</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periods of growth, operating cash flow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 from operations may be negatively impacted when comparing one period to another.</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significant increase in operating cash flows in 2011 compared to 2010 primarily reflects our profitability, adjusted for non-cash items, as a result of our year-over-year growth in mortgage-related services as well as a focused effort to improve our working capital position.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Cash flows used in investing activities in 2012 include $75.0 million that we loaned Ocwen. It also includes $35.6 million of capital expenditures related to investments in a disaster recovery center and capital expenditures associated with facility build-outs and investments in the next generation of our own REALSuite of products. Of the capital expenditure amount, approximately $12.0 million is for the new disaster recovery center.</w:t>
      </w:r>
    </w:p>
    <w:p>
      <w:pPr>
        <w:sectPr>
          <w:pgSz w:w="11900" w:h="16838" w:orient="portrait"/>
          <w:cols w:equalWidth="0" w:num="1">
            <w:col w:w="11400"/>
          </w:cols>
          <w:pgMar w:left="240" w:top="341" w:right="259" w:bottom="0" w:gutter="0" w:footer="0" w:header="0"/>
        </w:sectPr>
      </w:pPr>
    </w:p>
    <w:bookmarkStart w:id="25" w:name="page26"/>
    <w:bookmarkEnd w:id="25"/>
    <w:p>
      <w:pPr>
        <w:ind w:right="180"/>
        <w:spacing w:after="0" w:line="264" w:lineRule="auto"/>
        <w:rPr>
          <w:sz w:val="20"/>
          <w:szCs w:val="20"/>
          <w:color w:val="auto"/>
        </w:rPr>
      </w:pPr>
      <w:r>
        <w:rPr>
          <w:rFonts w:ascii="Arial" w:cs="Arial" w:eastAsia="Arial" w:hAnsi="Arial"/>
          <w:sz w:val="18"/>
          <w:szCs w:val="18"/>
          <w:color w:val="auto"/>
        </w:rPr>
        <w:t>During 2011, we invested $15.0 million in Correspondent One. In addition, we acquired Springhouse for net consideration of $1.8 million and Tracmail for net consideration of $0.7 million. Finally, we spent $16.4 million on capital expenditures principally consisting of technology investments and leasehold improvements necessary to facilitate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largest use of cash flows for investing activities in 2010 was the acquisition of MPA for $26.8 million, net of cash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November 2012, we entered into a $200.0 million Senior Secured Term Loan and capitalized $4.3 million in related debt issuance costs. A total of $105.0 million of the proceeds were distributed in December 2012 in connection with the Separation of the Residential Asset Businesses.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largest use of cash flows in financing activities in the years ended December 31, 2011 and 2010 was the repurchase of shares for $62.2 million and $17.8 million, respectively. We also repurchased $16.8 million of shares in 2012. Beginning in the second quarter of 2012, we temporarily halted our share buyback program as described in the “</w:t>
      </w:r>
      <w:r>
        <w:rPr>
          <w:rFonts w:ascii="Arial" w:cs="Arial" w:eastAsia="Arial" w:hAnsi="Arial"/>
          <w:sz w:val="18"/>
          <w:szCs w:val="18"/>
          <w:i w:val="1"/>
          <w:iCs w:val="1"/>
          <w:color w:val="auto"/>
        </w:rPr>
        <w:t>Overview</w:t>
      </w:r>
      <w:r>
        <w:rPr>
          <w:rFonts w:ascii="Arial" w:cs="Arial" w:eastAsia="Arial" w:hAnsi="Arial"/>
          <w:sz w:val="18"/>
          <w:szCs w:val="18"/>
          <w:color w:val="auto"/>
        </w:rPr>
        <w:t>” section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activities in all three years include receipt of funds associated with stock option exercises and payments to non-controlling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December 31, 2012</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began limiting our repurchase of outstanding shares in the first quarter of 2012 and did not repurchase any shares during the remainder of 2012 in anticipation of cash needed to execute on our growth initiatives (see “</w:t>
      </w:r>
      <w:r>
        <w:rPr>
          <w:rFonts w:ascii="Arial" w:cs="Arial" w:eastAsia="Arial" w:hAnsi="Arial"/>
          <w:sz w:val="17"/>
          <w:szCs w:val="17"/>
          <w:i w:val="1"/>
          <w:iCs w:val="1"/>
          <w:color w:val="auto"/>
        </w:rPr>
        <w:t>Growth Initiatives</w:t>
      </w:r>
      <w:r>
        <w:rPr>
          <w:rFonts w:ascii="Arial" w:cs="Arial" w:eastAsia="Arial" w:hAnsi="Arial"/>
          <w:sz w:val="17"/>
          <w:szCs w:val="17"/>
          <w:color w:val="auto"/>
        </w:rPr>
        <w:t>” in the overview section of this MD&amp;A). Assuming management concludes share repurchases remain an effective deployment of our capital, we may resume repurchases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2013, we expect to distribute $1.1 million to the Lenders One members representing non-controlling interests.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January 31, 2013, we entered into letters of intent with Ocwen to acquire for a combined purchase price of $218.6 million certain fee based businesses associated with Ocwen’s acquisition of Homeward Residential and the anticipated acquisition of the ResCap servicing portfolio (see Note 23 of the accompanying consolidated financial statements).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 (see also “</w:t>
      </w:r>
      <w:r>
        <w:rPr>
          <w:rFonts w:ascii="Arial" w:cs="Arial" w:eastAsia="Arial" w:hAnsi="Arial"/>
          <w:sz w:val="18"/>
          <w:szCs w:val="18"/>
          <w:i w:val="1"/>
          <w:iCs w:val="1"/>
          <w:color w:val="auto"/>
        </w:rPr>
        <w:t>Contractual Obligations, Commitments and Contingencies</w:t>
      </w:r>
      <w:r>
        <w:rPr>
          <w:rFonts w:ascii="Arial" w:cs="Arial" w:eastAsia="Arial" w:hAnsi="Arial"/>
          <w:sz w:val="18"/>
          <w:szCs w:val="18"/>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we will generate sufficient cash flow to fund operations, capital expenditures and required debt and interest payments. Were we to need additional capital, we believe that we have adequate access to both debt and equity capital markets.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JUDGMENTS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estimates and assumptions that affect the reported amounts of assets and liabilities, revenue and expenses and related disclosures of contingent assets and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policies and judgments addressed below. We also have other key accounting policies, which involve the use of estimates, judgments, and assumptions that are significant to understanding our results. For additional information, see Note 2 to the consolidated financial statements. Although we believe that our estimates, assumptions, and judgments are reasonable, they are based upon information presently available. Actual results may differ significantly from these estimates under different assumptions, judgments, or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We recognize revenue from the services we provide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ASC Topic 605 sets forth guidance as to when revenue is realized or realizable and earned which is generally when all of the following criteria are met: (1) persuasive evidence of an arrangement exists;</w:t>
      </w:r>
    </w:p>
    <w:p>
      <w:pPr>
        <w:ind w:right="120" w:firstLine="8"/>
        <w:spacing w:after="0" w:line="290"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 Our revenue recognition policies are detailed in Note 2 to the consolidated financial statements. Significant areas of judgment include the period over which we recognize property preservation revenue, certain default management services revenue, certain insurance program management fees and the determination of fair value for certain IT infrastructure services we provide Ocwen, HLSS, Residential and AAMC. Management considers historical information and other third-party objective evidence on a periodic basis in determining the appropriate 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Identifiable Intangible Assets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We evaluate goodwill for impairment annually during the fourth quarter or more frequently when an event occurs or circumstances change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indicates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flows are based on our best estimate of future net sales and operating expenses, based primarily on expected category expansion, pricing, market segment share and general economic conditions. Certain estimates of discounted cash flows involve businesses and geographies with limited financial history and developing revenue models.</w:t>
      </w:r>
    </w:p>
    <w:p>
      <w:pPr>
        <w:sectPr>
          <w:pgSz w:w="11900" w:h="16838" w:orient="portrait"/>
          <w:cols w:equalWidth="0" w:num="1">
            <w:col w:w="11420"/>
          </w:cols>
          <w:pgMar w:left="240" w:top="125" w:right="239" w:bottom="64" w:gutter="0" w:footer="0" w:header="0"/>
        </w:sectPr>
      </w:pPr>
    </w:p>
    <w:bookmarkStart w:id="26" w:name="page27"/>
    <w:bookmarkEnd w:id="26"/>
    <w:p>
      <w:pPr>
        <w:ind w:right="280"/>
        <w:spacing w:after="0" w:line="277" w:lineRule="auto"/>
        <w:rPr>
          <w:sz w:val="20"/>
          <w:szCs w:val="20"/>
          <w:color w:val="auto"/>
        </w:rPr>
      </w:pPr>
      <w:r>
        <w:rPr>
          <w:rFonts w:ascii="Arial" w:cs="Arial" w:eastAsia="Arial" w:hAnsi="Arial"/>
          <w:sz w:val="18"/>
          <w:szCs w:val="18"/>
          <w:color w:val="auto"/>
        </w:rPr>
        <w:t>Based on the fourth quarter 2012 and 2011 analyses, management concluded no impairment was indicated given the fair value for the associated reporting units was substantially in excess of the book value.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2010, we recognized a goodwill impairment loss of $2.8 million related to the Financial Services segment. We considered both quantitative and qualitative factors including past performance and execution risk in arriving at the impairment.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 Identified intangible assets consist primarily of customer lists, acquired trade names and trademarks. 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are tested for impairment whenever events or changes in circumstances occur indicating the carrying amount of the asset may not be recoverable. An impairment loss would be recognized for an intangible asset if its carrying value exceeds its fair value.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are subject to income taxes in Luxembourg, the United States, India and Uruguay.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statutory rates and higher than anticipated earnings in countries where we have higher statutory rates, by changes in foreign currency exchange rates or by changes in the relevant tax, accounting and other laws, regulations, principles and interpretations. We are subject to audit in various taxing jurisdictions, and such jurisdictions may assess additional income tax during an examination. Although we believe our tax balances are sufficient to support our future tax liabilities, the final determination of tax audits and any related litigation could differ from the balances we have accrued.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 and operating leases.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accompanying consolidated balance sheets. Amounts held in escrow were $47.2 million and $17.7 million at December 31, 2012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property and equipment. The following table sets forth information relating to our contractual obligations as of December 31, 2012: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Less than</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0"/>
                <w:szCs w:val="10"/>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96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 obligations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12,326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Capital lease obligations — principal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line="216" w:lineRule="exact"/>
              <w:rPr>
                <w:sz w:val="20"/>
                <w:szCs w:val="20"/>
                <w:color w:val="auto"/>
              </w:rPr>
            </w:pPr>
            <w:r>
              <w:rPr>
                <w:rFonts w:ascii="Arial" w:cs="Arial" w:eastAsia="Arial" w:hAnsi="Arial"/>
                <w:sz w:val="18"/>
                <w:szCs w:val="18"/>
                <w:color w:val="auto"/>
              </w:rPr>
              <w:t>Contractual interest payments</w:t>
            </w:r>
            <w:r>
              <w:rPr>
                <w:rFonts w:ascii="Arial" w:cs="Arial" w:eastAsia="Arial" w:hAnsi="Arial"/>
                <w:sz w:val="23"/>
                <w:szCs w:val="23"/>
                <w:color w:val="auto"/>
                <w:vertAlign w:val="superscript"/>
              </w:rPr>
              <w:t>(1)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83,126</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24,456</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23,878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311,178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23,704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40,782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34,349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4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estimated future interest payments on our Senior Secured Term Loan and also our capital leases based on applicable interest rates as of December 31,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Notes 13 and 20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the year ended December 31, 2012, we generated segment revenue from Ocwen of $306.8 million for Mortgage Services, $0.2 million for Financial Services and $31 million for Technology Services. Services provided to Ocwen during such periods included residential property valuation, real estate asset management and sales, trustee management services, property inspection and preservation, closing and insurance services, charge-off second mortgage collections, core technology back office support and multiple business technology services and license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fees including for our REALSuite of products. We provided all services at rates we believe to be comparable to market rates.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year ended December 31, 2012, we billed Ocwen $2.7 million and Ocwen billed us $2.4 million for support services provided under the agreements described in Note 4 to the consolidated financial statements. These amounts are reflected as components of selling, general and administrative expenses in the consolidated statements of operations.</w:t>
      </w:r>
    </w:p>
    <w:p>
      <w:pPr>
        <w:sectPr>
          <w:pgSz w:w="11900" w:h="16838" w:orient="portrait"/>
          <w:cols w:equalWidth="0" w:num="1">
            <w:col w:w="11400"/>
          </w:cols>
          <w:pgMar w:left="240" w:top="125" w:right="259" w:bottom="0" w:gutter="0" w:footer="0" w:header="0"/>
        </w:sectPr>
      </w:pPr>
    </w:p>
    <w:bookmarkStart w:id="27" w:name="page28"/>
    <w:bookmarkEnd w:id="27"/>
    <w:p>
      <w:pPr>
        <w:spacing w:after="0" w:line="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27, 2012, we loaned $75.0 million to Ocwen under an unsecured term loan agreement. Interest payments are due quarterly. The interest rate at December 31, 2012 was 8.25%. See Note 4 to the consolidated financial statements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the year ended December 31, 2012, we billed Correspondent One $0.4 million under a services agreement. For the year ended December 31, 2012, we billed HLSS $0.6 million under a services agreement. These amounts are reflected as components of SG&amp;A in the consolidated statements of operations.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provide certain origination related services to Correspondent One. We earned revenue of $0.3 million for the year ended December 31, 2012 from the provision of these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purposes of governing certain of the ongoing relationships between Altisource, Residential and AAMC after the Separation of the Residential Asset Businesses, and to provide for an orderly transition to the status of three independent companies, we entered into the following agreements with Residential and AAMC (see Note 4 to the consolidated financial statements for a description of these agreements):</w:t>
      </w:r>
    </w:p>
    <w:p>
      <w:pPr>
        <w:spacing w:after="0" w:line="133"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Separation Agreement</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20" w:hanging="288"/>
        <w:spacing w:after="0" w:line="196"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Master Services Agreement</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ind w:left="620" w:hanging="288"/>
        <w:spacing w:after="0" w:line="196"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 Services Agreement</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20" w:hanging="288"/>
        <w:spacing w:after="0" w:line="196"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Matters Agreement</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20" w:hanging="288"/>
        <w:spacing w:after="0" w:line="196"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Trademark License Agreement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w:t>
      </w: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Technology Products Services Agreement</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173990</wp:posOffset>
            </wp:positionV>
            <wp:extent cx="1775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27"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Separate agreements with Residential and AAMC</w:t>
      </w:r>
    </w:p>
    <w:p>
      <w:pPr>
        <w:spacing w:after="0" w:line="1" w:lineRule="exact"/>
        <w:rPr>
          <w:rFonts w:ascii="Arial" w:cs="Arial" w:eastAsia="Arial" w:hAnsi="Arial"/>
          <w:sz w:val="23"/>
          <w:szCs w:val="23"/>
          <w:color w:val="auto"/>
          <w:vertAlign w:val="superscript"/>
        </w:rPr>
      </w:pPr>
    </w:p>
    <w:p>
      <w:pPr>
        <w:ind w:left="500" w:hanging="168"/>
        <w:spacing w:after="0" w:line="223" w:lineRule="auto"/>
        <w:tabs>
          <w:tab w:leader="none" w:pos="5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Agreement with Residential only</w:t>
      </w:r>
    </w:p>
    <w:p>
      <w:pPr>
        <w:spacing w:after="0" w:line="2" w:lineRule="exact"/>
        <w:rPr>
          <w:rFonts w:ascii="Arial" w:cs="Arial" w:eastAsia="Arial" w:hAnsi="Arial"/>
          <w:sz w:val="20"/>
          <w:szCs w:val="20"/>
          <w:color w:val="auto"/>
          <w:vertAlign w:val="superscript"/>
        </w:rPr>
      </w:pPr>
    </w:p>
    <w:p>
      <w:pPr>
        <w:ind w:left="500" w:hanging="168"/>
        <w:spacing w:after="0" w:line="223" w:lineRule="auto"/>
        <w:tabs>
          <w:tab w:leader="none" w:pos="5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Agreement with AAMC only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risk and foreign currency exchange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2012, we are paying interest on the Senior Secured Term Loan at the Adjusted Eurodollar Rate (with a minimum floor of 1.25%) plus 4.5%.</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2012, we are receiving interest on the Ocwen Term Loan equal to the Eurodollar Rate (as defined in the agreement) plus 6.75% provided that the Eurodollar Rate shall at no time be less than 1.50%. In certain circumstances, we may require the Ocwen Term Loan to bear interest at the Base Rate (as defined in the agreement) which shall at no time be less than 8.25%.</w:t>
      </w:r>
    </w:p>
    <w:p>
      <w:pPr>
        <w:spacing w:after="0" w:line="18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Based on principal amounts outstanding at December 31, 2012, a one percent increase in the Eurodollar Rate would not impact our annual interest expense as the interest rate would remain below the minimum required rates under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exposed to currency risk from the potential changes in currency values of our foreign currency denominated assets, liabilities, and cash flows. Our most significant foreign currency exposures relate to the Euro and Indian Rupee.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00" w:type="dxa"/>
            <w:vAlign w:val="bottom"/>
          </w:tcPr>
          <w:p>
            <w:pPr>
              <w:spacing w:after="0"/>
              <w:rPr>
                <w:sz w:val="18"/>
                <w:szCs w:val="18"/>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53"/>
        </w:trPr>
        <w:tc>
          <w:tcPr>
            <w:tcW w:w="692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5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900" w:type="dxa"/>
            <w:vAlign w:val="bottom"/>
            <w:gridSpan w:val="6"/>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45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9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Reports of Independent Registered Certified Public Accounting Firm</w:t>
              </w:r>
            </w:hyperlink>
          </w:p>
        </w:tc>
        <w:tc>
          <w:tcPr>
            <w:tcW w:w="1920" w:type="dxa"/>
            <w:vAlign w:val="bottom"/>
            <w:gridSpan w:val="3"/>
          </w:tcPr>
          <w:p>
            <w:pPr>
              <w:spacing w:after="0"/>
              <w:rPr>
                <w:sz w:val="24"/>
                <w:szCs w:val="24"/>
                <w:color w:val="auto"/>
              </w:rPr>
            </w:pPr>
          </w:p>
        </w:tc>
        <w:tc>
          <w:tcPr>
            <w:tcW w:w="4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20" w:type="dxa"/>
            <w:vAlign w:val="bottom"/>
          </w:tcPr>
          <w:p>
            <w:pPr>
              <w:spacing w:after="0"/>
              <w:rPr>
                <w:sz w:val="24"/>
                <w:szCs w:val="24"/>
                <w:color w:val="auto"/>
              </w:rPr>
            </w:pPr>
          </w:p>
        </w:tc>
        <w:tc>
          <w:tcPr>
            <w:tcW w:w="46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Consolidated Balance Sheets as of December 31, 2012 and 2011</w:t>
              </w:r>
            </w:hyperlink>
          </w:p>
        </w:tc>
        <w:tc>
          <w:tcPr>
            <w:tcW w:w="2260" w:type="dxa"/>
            <w:vAlign w:val="bottom"/>
            <w:gridSpan w:val="4"/>
          </w:tcPr>
          <w:p>
            <w:pPr>
              <w:spacing w:after="0"/>
              <w:rPr>
                <w:sz w:val="24"/>
                <w:szCs w:val="24"/>
                <w:color w:val="auto"/>
              </w:rPr>
            </w:pPr>
          </w:p>
        </w:tc>
        <w:tc>
          <w:tcPr>
            <w:tcW w:w="4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20" w:type="dxa"/>
            <w:vAlign w:val="bottom"/>
          </w:tcPr>
          <w:p>
            <w:pPr>
              <w:spacing w:after="0"/>
              <w:rPr>
                <w:sz w:val="24"/>
                <w:szCs w:val="24"/>
                <w:color w:val="auto"/>
              </w:rPr>
            </w:pPr>
          </w:p>
        </w:tc>
        <w:tc>
          <w:tcPr>
            <w:tcW w:w="6900" w:type="dxa"/>
            <w:vAlign w:val="bottom"/>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Consolidated Statements of Operations for the years ended December 31, 2012, 2011 and 2010</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2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Consolidated Statements of Equity for the years ended December 31, 2012, 2011 and 2010</w:t>
              </w:r>
            </w:hyperlink>
          </w:p>
        </w:tc>
        <w:tc>
          <w:tcPr>
            <w:tcW w:w="3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20" w:type="dxa"/>
            <w:vAlign w:val="bottom"/>
          </w:tcPr>
          <w:p>
            <w:pPr>
              <w:spacing w:after="0"/>
              <w:rPr>
                <w:sz w:val="24"/>
                <w:szCs w:val="24"/>
                <w:color w:val="auto"/>
              </w:rPr>
            </w:pPr>
          </w:p>
        </w:tc>
        <w:tc>
          <w:tcPr>
            <w:tcW w:w="69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Consolidated Statements of Cash Flows for the years ended December 31, 2012, 2011 and 2010</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52</w:t>
            </w:r>
          </w:p>
        </w:tc>
      </w:tr>
    </w:tbl>
    <w:p>
      <w:pPr>
        <w:sectPr>
          <w:pgSz w:w="11900" w:h="16884" w:orient="portrait"/>
          <w:cols w:equalWidth="0" w:num="1">
            <w:col w:w="11420"/>
          </w:cols>
          <w:pgMar w:left="240" w:top="341" w:right="239" w:bottom="0" w:gutter="0" w:footer="0" w:header="0"/>
        </w:sectPr>
      </w:pPr>
    </w:p>
    <w:bookmarkStart w:id="28" w:name="page29"/>
    <w:bookmarkEnd w:id="2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tcBorders>
              <w:bottom w:val="single" w:sz="8" w:color="0000EE"/>
            </w:tcBorders>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Notes to Consolidated Financial Statements</w:t>
              </w:r>
            </w:hyperlink>
          </w:p>
        </w:tc>
        <w:tc>
          <w:tcPr>
            <w:tcW w:w="82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Altisource Portfolio Solutions S.A.:</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2012 and 2011, and the related consolidated statements of operations, consolidated statements of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our opinion, such consolidated financial statements referred to above present fairly, in all material respects, the financial position of Altisource Portfolio Solutions S.A.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discussed in Note 4 to the consolidated financial statements, the Company has entered into significant transactions with Ocwen Financial Corporation, a related party.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2012, based on the criteria established in Internal Control—Integrated Framework issued by the Committee of Sponsoring Organizations of the Treadway Commission and our report dated February 13, 2013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Altisource Portfolio Solutions S.A.:</w:t>
      </w:r>
    </w:p>
    <w:p>
      <w:pPr>
        <w:spacing w:after="0" w:line="22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Altisource Portfolio Solutions S.A. and subsidiaries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audits.</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opinions.</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pgSz w:w="11900" w:h="16838" w:orient="portrait"/>
          <w:cols w:equalWidth="0" w:num="1">
            <w:col w:w="11420"/>
          </w:cols>
          <w:pgMar w:left="240" w:top="324" w:right="239" w:bottom="0" w:gutter="0" w:footer="0" w:header="0"/>
        </w:sectPr>
      </w:pPr>
    </w:p>
    <w:bookmarkStart w:id="29" w:name="page30"/>
    <w:bookmarkEnd w:id="29"/>
    <w:p>
      <w:pPr>
        <w:ind w:right="36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p>
    <w:p>
      <w:pPr>
        <w:spacing w:after="0" w:line="124"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2012 of the Company and our report dated February 13, 2013 expressed an unqualified opinion on those financial statements and included an explanatory paragraph regarding significant transactions with Ocwen Financial Corporation, a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2013</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105,502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88,955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1,775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50,399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4,073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56,586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14,915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Loan to Ocwen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11,674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429,226</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224,159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900"/>
              <w:spacing w:after="0"/>
              <w:rPr>
                <w:sz w:val="20"/>
                <w:szCs w:val="20"/>
                <w:color w:val="auto"/>
              </w:rPr>
            </w:pPr>
            <w:r>
              <w:rPr>
                <w:rFonts w:ascii="Arial" w:cs="Arial" w:eastAsia="Arial" w:hAnsi="Arial"/>
                <w:sz w:val="18"/>
                <w:szCs w:val="18"/>
                <w:color w:val="auto"/>
              </w:rPr>
              <w:t>LIABILITIES AND 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58,976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71,632</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196,027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1,738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 and contingencies (Note 20)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($1.00 par value; 100,000 shares authorized;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25,413 issued and 23,427 outstanding as of December 31, 2012;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25,413 issued and 23,405 outstanding as of December 31, 2011)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86,873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124,127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w w:val="90"/>
              </w:rPr>
              <w:t>Treasury stock, at cost (1,986 shares as of December 31, 2012 and 2,008 shares as of December 31, 2011)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(77,954)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Altisource equity</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159,829</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165,943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429,226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jc w:val="center"/>
              <w:ind w:left="3330"/>
              <w:spacing w:after="0"/>
              <w:rPr>
                <w:sz w:val="20"/>
                <w:szCs w:val="20"/>
                <w:color w:val="auto"/>
              </w:rPr>
            </w:pPr>
            <w:r>
              <w:rPr>
                <w:rFonts w:ascii="Arial" w:cs="Arial" w:eastAsia="Arial" w:hAnsi="Arial"/>
                <w:sz w:val="18"/>
                <w:szCs w:val="18"/>
                <w:i w:val="1"/>
                <w:iCs w:val="1"/>
                <w:color w:val="auto"/>
                <w:w w:val="89"/>
              </w:rPr>
              <w:t>See notes to consolidated financial statements.</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jc w:val="right"/>
              <w:ind w:right="211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30" w:name="page31"/>
    <w:bookmarkEnd w:id="30"/>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568,360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423,687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366,201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275,849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189,059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202,159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147,838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74,712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127,447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(1,588)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124,649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(8,738)</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(7,943)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115,911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77,967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110,627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71,112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4.74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23,358</w:t>
            </w:r>
          </w:p>
        </w:tc>
        <w:tc>
          <w:tcPr>
            <w:tcW w:w="3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24,373</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24,962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25,685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338,227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245,262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13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Treasury stock,</w:t>
            </w: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Non-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controlling</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earnings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at cost</w:t>
            </w:r>
          </w:p>
        </w:tc>
        <w:tc>
          <w:tcPr>
            <w:tcW w:w="1180" w:type="dxa"/>
            <w:vAlign w:val="bottom"/>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interests</w:t>
            </w: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24,145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11,665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6,903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MPA</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3,110</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Delivery of vested restricted stock</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(17,788)</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Balance, December 31, 2010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79,297</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6,855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(6,776)</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(62,151)</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121" w:right="2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Balance, December 31, 2011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25,413</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83,229</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126,161</w:t>
            </w:r>
          </w:p>
        </w:tc>
        <w:tc>
          <w:tcPr>
            <w:tcW w:w="2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(72,048)</w:t>
            </w:r>
          </w:p>
        </w:tc>
        <w:tc>
          <w:tcPr>
            <w:tcW w:w="2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3,188</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165,943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110,627</w:t>
            </w:r>
          </w:p>
        </w:tc>
        <w:tc>
          <w:tcPr>
            <w:tcW w:w="240" w:type="dxa"/>
            <w:vAlign w:val="bottom"/>
          </w:tcPr>
          <w:p>
            <w:pPr>
              <w:spacing w:after="0"/>
              <w:rPr>
                <w:sz w:val="18"/>
                <w:szCs w:val="18"/>
                <w:color w:val="auto"/>
              </w:rPr>
            </w:pPr>
          </w:p>
        </w:tc>
        <w:tc>
          <w:tcPr>
            <w:tcW w:w="118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5,284</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(7,145)</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assets distributed in connection with the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Separation of the Residential Asset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(105,000)</w:t>
            </w:r>
          </w:p>
        </w:tc>
        <w:tc>
          <w:tcPr>
            <w:tcW w:w="2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3,644</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(16,781)</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115,911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77,967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12,776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Equity in losses of and impairment loss on investment in affiliate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1,741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2,992</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or disposal of fixed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(39,999)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(2,616)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14,760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116,529</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111,611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(35,563)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equity affiliate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Loan to Ocwen</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flows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(110,563)</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198,000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Distribution of cash in connection with the Separation of Residential Asset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Businesses</w:t>
            </w: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(105,000)</w:t>
            </w: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Purchases of treasury stock</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(16,781)</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(62,151)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(7,145)</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(6,776)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73,377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32,125</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22,134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1,134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Income taxes paid (refunded), net</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4,912</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(1,956)</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2" w:name="page33"/>
    <w:bookmarkEnd w:id="32"/>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30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Amortization of tax-deductible goodwill</w:t>
            </w:r>
          </w:p>
        </w:tc>
        <w:tc>
          <w:tcPr>
            <w:tcW w:w="3060" w:type="dxa"/>
            <w:vAlign w:val="bottom"/>
          </w:tcPr>
          <w:p>
            <w:pPr>
              <w:jc w:val="right"/>
              <w:ind w:right="530"/>
              <w:spacing w:after="0"/>
              <w:rPr>
                <w:sz w:val="20"/>
                <w:szCs w:val="20"/>
                <w:color w:val="auto"/>
              </w:rPr>
            </w:pPr>
            <w:r>
              <w:rPr>
                <w:rFonts w:ascii="Arial" w:cs="Arial" w:eastAsia="Arial" w:hAnsi="Arial"/>
                <w:sz w:val="18"/>
                <w:szCs w:val="18"/>
                <w:color w:val="auto"/>
              </w:rPr>
              <w:t>3,334</w:t>
            </w: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3,367</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3,029</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Premises and equipment purchased on account</w:t>
            </w:r>
          </w:p>
        </w:tc>
        <w:tc>
          <w:tcPr>
            <w:tcW w:w="30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2,457</w:t>
            </w:r>
          </w:p>
        </w:tc>
        <w:tc>
          <w:tcPr>
            <w:tcW w:w="16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w:t>
      </w:r>
      <w:r>
        <w:rPr>
          <w:rFonts w:ascii="Arial" w:cs="Arial" w:eastAsia="Arial" w:hAnsi="Arial"/>
          <w:sz w:val="23"/>
          <w:szCs w:val="23"/>
          <w:color w:val="auto"/>
          <w:vertAlign w:val="superscript"/>
        </w:rPr>
        <w:t>™</w:t>
      </w:r>
      <w:r>
        <w:rPr>
          <w:rFonts w:ascii="Arial" w:cs="Arial" w:eastAsia="Arial" w:hAnsi="Arial"/>
          <w:sz w:val="18"/>
          <w:szCs w:val="18"/>
          <w:color w:val="auto"/>
        </w:rPr>
        <w:t>, the Company, we, us or our) is a global provider of services focused on high-value, technology-enabled, knowledge-based solutions principally related to real estate and mortgage portfolio management, asset recovery and customer relationship management.</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were incorporated under the laws of Luxembourg on November 4, 1999 as Ocwen Luxembourg S.à r.l., renamed Altisource Portfolio Solutions S.à r.l. on May 12, 2009 and converted into Altisource Portfolio Solutions S.A. on June 5, 2009. We became a publicly traded company on the NASDAQ Global Select (“NASDAQ”) market under the symbol “ASPS” as of August 10, 2009 (the “Separation from Ocwen”). Prior to the Separation from Ocwen, our businesses were wholly-owned subsidiaries of Ocwen Financial Corporation (“Ocwen”).</w:t>
      </w:r>
    </w:p>
    <w:p>
      <w:pPr>
        <w:spacing w:after="0" w:line="187"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In February 2010, we acquired all of the outstanding membership interests of The Mortgage Partnership of America, L.L.C. (“MPA</w:t>
      </w:r>
      <w:r>
        <w:rPr>
          <w:rFonts w:ascii="Arial" w:cs="Arial" w:eastAsia="Arial" w:hAnsi="Arial"/>
          <w:sz w:val="22"/>
          <w:szCs w:val="22"/>
          <w:color w:val="auto"/>
          <w:vertAlign w:val="superscript"/>
        </w:rPr>
        <w:t>™</w:t>
      </w:r>
      <w:r>
        <w:rPr>
          <w:rFonts w:ascii="Arial" w:cs="Arial" w:eastAsia="Arial" w:hAnsi="Arial"/>
          <w:sz w:val="17"/>
          <w:szCs w:val="17"/>
          <w:color w:val="auto"/>
        </w:rPr>
        <w:t>”). MPA was formed as a Missouri limited liability company to serve as the manager of Best Partners Mortgage Cooperative, Inc. (“BPMC</w:t>
      </w:r>
      <w:r>
        <w:rPr>
          <w:rFonts w:ascii="Arial" w:cs="Arial" w:eastAsia="Arial" w:hAnsi="Arial"/>
          <w:sz w:val="22"/>
          <w:szCs w:val="22"/>
          <w:color w:val="auto"/>
          <w:vertAlign w:val="superscript"/>
        </w:rPr>
        <w:t>™</w:t>
      </w:r>
      <w:r>
        <w:rPr>
          <w:rFonts w:ascii="Arial" w:cs="Arial" w:eastAsia="Arial" w:hAnsi="Arial"/>
          <w:sz w:val="17"/>
          <w:szCs w:val="17"/>
          <w:color w:val="auto"/>
        </w:rPr>
        <w:t>”) doing business as Lenders One Mortgage Cooperative (“Lenders One</w:t>
      </w:r>
      <w:r>
        <w:rPr>
          <w:rFonts w:ascii="Arial" w:cs="Arial" w:eastAsia="Arial" w:hAnsi="Arial"/>
          <w:sz w:val="22"/>
          <w:szCs w:val="22"/>
          <w:color w:val="auto"/>
          <w:vertAlign w:val="superscript"/>
        </w:rPr>
        <w:t>®</w:t>
      </w:r>
      <w:r>
        <w:rPr>
          <w:rFonts w:ascii="Arial" w:cs="Arial" w:eastAsia="Arial" w:hAnsi="Arial"/>
          <w:sz w:val="17"/>
          <w:szCs w:val="17"/>
          <w:color w:val="auto"/>
        </w:rPr>
        <w:t>”). Lenders One is a national alliance of independent mortgage bankers (“Members”) that provides its Members with education and training along with revenue enhancing, cost reducing and market share expanding opportunities. In April 2011, we acquired Springhouse, LLC (“Springhouse</w:t>
      </w:r>
      <w:r>
        <w:rPr>
          <w:rFonts w:ascii="Arial" w:cs="Arial" w:eastAsia="Arial" w:hAnsi="Arial"/>
          <w:sz w:val="22"/>
          <w:szCs w:val="22"/>
          <w:color w:val="auto"/>
          <w:vertAlign w:val="superscript"/>
        </w:rPr>
        <w:t>™</w:t>
      </w:r>
      <w:r>
        <w:rPr>
          <w:rFonts w:ascii="Arial" w:cs="Arial" w:eastAsia="Arial" w:hAnsi="Arial"/>
          <w:sz w:val="17"/>
          <w:szCs w:val="17"/>
          <w:color w:val="auto"/>
        </w:rPr>
        <w:t>”) an appraisal management company that utilizes a nationwide panel of appraisers to provide real estate appraisals principally to mortgage originators, including the members of Lenders One, and real estate asset managers. In July 2011, we acquired the assembled workforce of a sub-contractor (“Tracmail”) in India that performs asset recovery services (see Note 5).</w:t>
      </w:r>
    </w:p>
    <w:p>
      <w:pPr>
        <w:spacing w:after="0" w:line="2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21, 2012, we completed the distribution of two wholly-owned subsidiaries via the spin-off of two separate publicly-traded companies, Altisource Residential Corporation (“Residential”) and Altisource Asset Management Corporation (“AAMC”). Residential’s common stock is listed on the New York Stock Exchange under the symbol “RESI,” and AAMC common stock is listed on the OTCQX market tier operated by OTC Markets Group, Inc. (the “OTC Market”) under the symbol “AAMC.” We distributed all of the shares of Residential common stock and AAMC common stock to Altisource’s shareholders of record as of December 17, 2012 (the “Record Date”) (see Note 3).</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conduct our operations through three reporting segments: Mortgage Services, Financial Services and Technology Services. In addition, we report our corporate related expenditures and eliminations as a separate segment (see Note 21 for a description of our business segments).</w:t>
      </w:r>
    </w:p>
    <w:p>
      <w:pPr>
        <w:spacing w:after="0" w:line="14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Our consolidated financial statements include the assets, liabilities, revenue and expenses directly attributable to our operations. All</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intercompany and inter-segment transactions and accounts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 The consolidated financial statements are prepared in accordance with accounting principles generally accepted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of America (“GAAP”).</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variable interest and are the primary beneficiary. Intercompany balances and transactions have been eliminated.</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Prior to our acquisition of MPA, MPA and Lenders One entered into a management agreement that ends on December 31, 2025. MPA was formed to act on behalf of Lenders One and its Members principally to provide its Members with education and training along with revenue enhancing, cost reducing and market share expanding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opportunities. For providing these services, MPA receives payment from Lenders One, and in some instances the vendors,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consolidated financial statements on a consolidated basis with the interests of the members reflected as non-controlling interests. At December 31, 2012, Lenders One had total assets of $2.3 million and liabilities of less than $0.1 million.</w:t>
      </w:r>
    </w:p>
    <w:p>
      <w:pPr>
        <w:sectPr>
          <w:pgSz w:w="11900" w:h="16927" w:orient="portrait"/>
          <w:cols w:equalWidth="0" w:num="1">
            <w:col w:w="11420"/>
          </w:cols>
          <w:pgMar w:left="240" w:top="356" w:right="239" w:bottom="0" w:gutter="0" w:footer="0" w:header="0"/>
        </w:sectPr>
      </w:pPr>
    </w:p>
    <w:bookmarkStart w:id="33" w:name="page34"/>
    <w:bookmarkEnd w:id="33"/>
    <w:p>
      <w:pPr>
        <w:spacing w:after="0" w:line="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 and expenses, and related disclosures of contingent liabilities in the consolidated financial statements and accompanying notes. Estimates are used for, but not limited to, determining shared-based compensation, income taxes, collectability of receivables, valuation of acquired intangibles and goodwill, depreciable lives of fixed assets and contingencies. Actual results could differ materially from those estimates.</w:t>
      </w:r>
    </w:p>
    <w:p>
      <w:pPr>
        <w:spacing w:after="0" w:line="15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Accounts Receivable, Net </w:t>
      </w:r>
      <w:r>
        <w:rPr>
          <w:rFonts w:ascii="Arial" w:cs="Arial" w:eastAsia="Arial" w:hAnsi="Arial"/>
          <w:sz w:val="18"/>
          <w:szCs w:val="18"/>
          <w:color w:val="auto"/>
        </w:rPr>
        <w:t>— Accounts receivable are net of an allowance for doubtful accounts that represent an amount that we estimate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uncollectible. We have estimated the allowance for doubtful accounts based on our historical write-offs, our analysis of past due accounts based on the contractual terms of the receivables, and our assessment of the economic status of our customers, if known. The carrying value of accounts receivable, net, approximates fair value.</w:t>
      </w:r>
    </w:p>
    <w:p>
      <w:pPr>
        <w:spacing w:after="0" w:line="180"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Premises and Equipment, Net </w:t>
      </w:r>
      <w:r>
        <w:rPr>
          <w:rFonts w:ascii="Arial" w:cs="Arial" w:eastAsia="Arial" w:hAnsi="Arial"/>
          <w:sz w:val="18"/>
          <w:szCs w:val="18"/>
          <w:color w:val="auto"/>
        </w:rPr>
        <w:t>— We report premises and equipment, net at cost or estimated fair value at acquisition and depreciate them over their</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using the straight-line method as follows: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5 years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Office equipment</w:t>
            </w:r>
          </w:p>
        </w:tc>
        <w:tc>
          <w:tcPr>
            <w:tcW w:w="4120" w:type="dxa"/>
            <w:vAlign w:val="bottom"/>
          </w:tcPr>
          <w:p>
            <w:pPr>
              <w:ind w:left="840"/>
              <w:spacing w:after="0"/>
              <w:rPr>
                <w:sz w:val="20"/>
                <w:szCs w:val="20"/>
                <w:color w:val="auto"/>
              </w:rPr>
            </w:pPr>
            <w:r>
              <w:rPr>
                <w:rFonts w:ascii="Arial" w:cs="Arial" w:eastAsia="Arial" w:hAnsi="Arial"/>
                <w:sz w:val="18"/>
                <w:szCs w:val="18"/>
                <w:color w:val="auto"/>
              </w:rPr>
              <w:t>5 years</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4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5 years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Computer software</w:t>
            </w:r>
          </w:p>
        </w:tc>
        <w:tc>
          <w:tcPr>
            <w:tcW w:w="4120" w:type="dxa"/>
            <w:vAlign w:val="bottom"/>
          </w:tcPr>
          <w:p>
            <w:pPr>
              <w:ind w:left="840"/>
              <w:spacing w:after="0"/>
              <w:rPr>
                <w:sz w:val="20"/>
                <w:szCs w:val="20"/>
                <w:color w:val="auto"/>
              </w:rPr>
            </w:pPr>
            <w:r>
              <w:rPr>
                <w:rFonts w:ascii="Arial" w:cs="Arial" w:eastAsia="Arial" w:hAnsi="Arial"/>
                <w:sz w:val="18"/>
                <w:szCs w:val="18"/>
                <w:color w:val="auto"/>
              </w:rPr>
              <w:t>3 years</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Shorter of useful life or term of lease</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them over the shorter of the capitalized asset’s life or the life of the lease.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review premises and equipment for impairment whenever events or changes in circumstances indicate that the carrying amount of an asset or asset group may not be recoverable. We measure recoverability of assets to be held and used by comparison of the carrying amount of an asset or asset group to estimated undiscounted future cash flows expected to be generated by the asset or asset group. If the carrying amount of an asset or asset group exceeds its estimated future cash flows, we recognize an impairment charge in the amount by which the carrying amount of the assets exceeds the fair value of the asset or asset group.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Computer software includes the fair value of software acquired in business combinations and purchased software. Purchased software is recorded at cost and amortized using the straight-line method over its estimated useful life. Software acquired in business combinations is recorded at its fair value and amortized using the straight-line method over its estimated useful life, ranging from two to three years.</w:t>
      </w:r>
    </w:p>
    <w:p>
      <w:pPr>
        <w:spacing w:after="0" w:line="177"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 We account for acquisitions using the purchase method of accounting in accordance with Accounting Standards Codification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the acquisition is allocated to the assets acquired and liabilities assumed using the fair values determined by management as of the acquisition date.</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Investment in Equity Affiliate </w:t>
      </w:r>
      <w:r>
        <w:rPr>
          <w:rFonts w:ascii="Arial" w:cs="Arial" w:eastAsia="Arial" w:hAnsi="Arial"/>
          <w:sz w:val="18"/>
          <w:szCs w:val="18"/>
          <w:color w:val="auto"/>
        </w:rPr>
        <w:t>— We utilize the equity method to account for investments in equity securities where we have the ability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over operating and financial policies of the investee. We include a proportionate share of earnings and/or losses of equity method investees in equity income (loss) in affiliates, net which is included in other income (expense), net in the consolidated statements of operations. We review the investment in equity affiliate for an other than temporary impairment whenever events or circumstances indicate that the carrying value is greater than the value of the investment and the loss is other than a temporary decline.</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 Goodwill represents the excess cost of an acquired business over the fair value of the identifiable tangible and intangible assets acquired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assumed in a business combination. We evaluate goodwill for impairment annually or more frequently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flows are based on our best estimate of future net sales and operating expenses, based primarily on estimated category expansion, pricing, market segment share and general economic conditions.</w:t>
      </w:r>
    </w:p>
    <w:p>
      <w:pPr>
        <w:spacing w:after="0" w:line="17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conduct our annual impairment test as of November 30 each year. No impairment of goodwill was recorded for the years ended December 31, 2012 and 2011 as the fair value exceeded the carrying value. In 2010, we recorded a $2.8 million impairment in our Financial Services segment.</w:t>
      </w:r>
    </w:p>
    <w:p>
      <w:pPr>
        <w:spacing w:after="0" w:line="14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Intangible Assets, Net — </w:t>
      </w:r>
      <w:r>
        <w:rPr>
          <w:rFonts w:ascii="Arial" w:cs="Arial" w:eastAsia="Arial" w:hAnsi="Arial"/>
          <w:sz w:val="18"/>
          <w:szCs w:val="18"/>
          <w:color w:val="auto"/>
        </w:rPr>
        <w:t>Identifiable intangible assets acquired in business combinations are recorded based on their fair values at the date of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on a straight-line basis over their useful lives, generally ranging from 5 to 20 years.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No impairment was recognized during the periods presented.</w:t>
      </w:r>
    </w:p>
    <w:p>
      <w:pPr>
        <w:sectPr>
          <w:pgSz w:w="11900" w:h="16843" w:orient="portrait"/>
          <w:cols w:equalWidth="0" w:num="1">
            <w:col w:w="11420"/>
          </w:cols>
          <w:pgMar w:left="240" w:top="337" w:right="239" w:bottom="0" w:gutter="0" w:footer="0" w:header="0"/>
        </w:sectPr>
      </w:pPr>
    </w:p>
    <w:bookmarkStart w:id="34" w:name="page35"/>
    <w:bookmarkEnd w:id="34"/>
    <w:p>
      <w:pPr>
        <w:spacing w:after="0" w:line="10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Debt Issuance Costs — </w:t>
      </w:r>
      <w:r>
        <w:rPr>
          <w:rFonts w:ascii="Arial" w:cs="Arial" w:eastAsia="Arial" w:hAnsi="Arial"/>
          <w:sz w:val="18"/>
          <w:szCs w:val="18"/>
          <w:color w:val="auto"/>
        </w:rPr>
        <w:t>Debt issuance costs are capitalized and amortized to interest expense through maturity of the related debt using the effective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Long-term debt is reported net of applicable discount. The debt discount is amortized to interest expense through maturity of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debt using the effective interest method.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Our financial instruments primarily include cash and cash equivalents, restricted cash, accounts receivable,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to Ocwen, accounts payable, accrued expenses and long-term debt. The carrying values of cash and cash equivalents, restricted cash, accounts receivable and accounts payable and accrued expenses are carried at amounts that approximate their fair value due to the short-term nature of these instruments. The carrying amounts of the loan to Ocwen and long-term debt approximates fair value due to their variable interest rates.</w:t>
      </w:r>
    </w:p>
    <w:p>
      <w:pPr>
        <w:spacing w:after="0" w:line="16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Functional Currency </w:t>
      </w:r>
      <w:r>
        <w:rPr>
          <w:rFonts w:ascii="Arial" w:cs="Arial" w:eastAsia="Arial" w:hAnsi="Arial"/>
          <w:sz w:val="16"/>
          <w:szCs w:val="16"/>
          <w:color w:val="auto"/>
        </w:rPr>
        <w:t>— The currency of the primary economic environment in which our operations are conducted is the United States dollar. 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United States dollar has been determined to be our functional and reporting currency. Non-dollar transactions and balances have been measured in United States dollars in accordance with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All transaction gains and losses from the measurement of monetary balance sheet items denominated in non-dollar currencies are reflected in the statement of operations as income or expenses, as appropriate.</w:t>
      </w:r>
    </w:p>
    <w:p>
      <w:pPr>
        <w:spacing w:after="0" w:line="15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w:t>
      </w:r>
      <w:r>
        <w:rPr>
          <w:rFonts w:ascii="Arial" w:cs="Arial" w:eastAsia="Arial" w:hAnsi="Arial"/>
          <w:sz w:val="18"/>
          <w:szCs w:val="18"/>
          <w:b w:val="1"/>
          <w:bCs w:val="1"/>
          <w:color w:val="auto"/>
        </w:rPr>
        <w:t xml:space="preserve"> </w:t>
      </w:r>
      <w:r>
        <w:rPr>
          <w:rFonts w:ascii="Arial" w:cs="Arial" w:eastAsia="Arial" w:hAnsi="Arial"/>
          <w:sz w:val="18"/>
          <w:szCs w:val="18"/>
          <w:color w:val="auto"/>
        </w:rPr>
        <w:t>matching contributions equal to a discretionary percentage determined by us. We recorded expense of $0.2 million, $0.1 million and $0.2 million in 2012, 2011 and 2010, respectively, related to our discretionary amounts contributed.</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Share-based Compensation — </w:t>
      </w:r>
      <w:r>
        <w:rPr>
          <w:rFonts w:ascii="Arial" w:cs="Arial" w:eastAsia="Arial" w:hAnsi="Arial"/>
          <w:sz w:val="18"/>
          <w:szCs w:val="18"/>
          <w:color w:val="auto"/>
        </w:rPr>
        <w:t>Share-based compensation is accounted for under the provisions of ASC Topic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ASC Topic 718, the cost of employee services received in exchange for an award of equity instruments is generally measured based on the grant-date fair value of the award. Share-based awards that do not require future service are expensed immediately. Share-based employee awards that require future service are recognized over the relevant service period. Further, as required under ASC Topic 718, we estimate forfeitures for share-based awards that are not expected to vest.</w:t>
      </w:r>
    </w:p>
    <w:p>
      <w:pPr>
        <w:spacing w:after="0" w:line="1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by dividing net income attributable to Altisource by the weighted-average number of shares of common stock outstanding for the period. Diluted net income per share reflects the assumed conversion of all dilutive securities.</w:t>
      </w:r>
    </w:p>
    <w:p>
      <w:pPr>
        <w:spacing w:after="0" w:line="17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recognize revenue from the services we provide in accordance with ASC Topic 605,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ASC Topic 605 sets</w:t>
      </w:r>
      <w:r>
        <w:rPr>
          <w:rFonts w:ascii="Arial" w:cs="Arial" w:eastAsia="Arial" w:hAnsi="Arial"/>
          <w:sz w:val="16"/>
          <w:szCs w:val="16"/>
          <w:b w:val="1"/>
          <w:bCs w:val="1"/>
          <w:color w:val="auto"/>
        </w:rPr>
        <w:t xml:space="preserve"> </w:t>
      </w:r>
      <w:r>
        <w:rPr>
          <w:rFonts w:ascii="Arial" w:cs="Arial" w:eastAsia="Arial" w:hAnsi="Arial"/>
          <w:sz w:val="16"/>
          <w:szCs w:val="16"/>
          <w:color w:val="auto"/>
        </w:rPr>
        <w:t>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w:t>
      </w:r>
    </w:p>
    <w:p>
      <w:pPr>
        <w:spacing w:after="0" w:line="2" w:lineRule="exact"/>
        <w:rPr>
          <w:sz w:val="20"/>
          <w:szCs w:val="20"/>
          <w:color w:val="auto"/>
        </w:rPr>
      </w:pPr>
    </w:p>
    <w:p>
      <w:pPr>
        <w:ind w:right="520" w:firstLine="8"/>
        <w:spacing w:after="0" w:line="323"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39" w:lineRule="exact"/>
        <w:rPr>
          <w:sz w:val="20"/>
          <w:szCs w:val="20"/>
          <w:color w:val="auto"/>
        </w:rPr>
      </w:pPr>
    </w:p>
    <w:p>
      <w:pPr>
        <w:ind w:left="260" w:right="20"/>
        <w:spacing w:after="0" w:line="254"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We recognize revenue for the majority of the services we provide in this segment on completion of the service to our customer. For</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processing services and certain property preservation services, we recognize revenue over the period during which we perform the related services, with full recognition on completion of the related foreclosure filing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 Reimbursable expenses of $95.6 million, $80.1 million and $44.6 million incurred in 2012, 2011 and 2010, respectively, primarily in conjunction with our property preservation and default processing services are included in revenue with an equal offsetting expense included in cost of revenue. These amounts are recognized on a gross basis, principally because we have complete control over selection of vendors.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jc w:val="both"/>
        <w:ind w:left="260" w:right="80"/>
        <w:spacing w:after="0" w:line="31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We generally earn our fees for asset recovery management services as a percentage of the amount we collect on delinquent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on behalf of our clients and recognize revenue upon collection from the debtors. We also provide customer relationship management services for which we earn and recognize revenue on a per-call, per-person or per minute basis as the related services are performed.</w:t>
      </w:r>
    </w:p>
    <w:p>
      <w:pPr>
        <w:spacing w:after="0" w:line="147" w:lineRule="exact"/>
        <w:rPr>
          <w:sz w:val="20"/>
          <w:szCs w:val="20"/>
          <w:color w:val="auto"/>
        </w:rPr>
      </w:pPr>
    </w:p>
    <w:p>
      <w:pPr>
        <w:ind w:left="260" w:right="40"/>
        <w:spacing w:after="0" w:line="279"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For our REALSuite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we charge based on the number of our clients’ loans processed on the system or on a per-transaction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basis. We record transactional revenue when the service is provided and other revenue monthly based on the number of loans processed, employees serviced or services provided. Furthermore, we provide information technology (“IT”) infrastructure services to Ocwen and charge for these services primarily based on the number of employees that are using the applicable systems and the number and type of licensed products used by Ocwen. We record revenue associated with implementation services upon completion and maintenance ratably over the related service period.</w:t>
      </w:r>
    </w:p>
    <w:p>
      <w:pPr>
        <w:spacing w:after="0" w:line="17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We account for certain income and expense items differently for financial purposes and income tax purposes. We recognize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w:t>
      </w:r>
    </w:p>
    <w:p>
      <w:pPr>
        <w:sectPr>
          <w:pgSz w:w="11900" w:h="16944" w:orient="portrait"/>
          <w:cols w:equalWidth="0" w:num="1">
            <w:col w:w="11400"/>
          </w:cols>
          <w:pgMar w:left="240" w:top="337" w:right="259" w:bottom="0" w:gutter="0" w:footer="0" w:header="0"/>
        </w:sectPr>
      </w:pPr>
    </w:p>
    <w:bookmarkStart w:id="35" w:name="page36"/>
    <w:bookmarkEnd w:id="35"/>
    <w:p>
      <w:pPr>
        <w:spacing w:after="0" w:line="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which we expect to recover or settle those temporary differences. The effect on deferred assets and liabilities of a change in tax rates is recognized in income in the period when the change is enacted. Deferred tax assets are reduced by a valuation allowance when it is more likely than not that some portion or all the deferred tax assets will not be realized.</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Tax laws are complex and subject to different interpretations by the taxpayer and respective governmental taxing authorities. Significant judgment is required in determining tax expense and in evaluating tax positions including evaluating uncertainties 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SEPARATION OF RESIDENTIAL ASSET BUSINESSES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December 21, 2012, we completed the spin-offs of two wholly-owned subsidiaries, Residential and AAMC, into separate publicly-traded companies (the “Separation of the Residential Asset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Altisource shareholders of record as of December 17, 2012 received a pro rata distribution of:</w:t>
      </w:r>
    </w:p>
    <w:p>
      <w:pPr>
        <w:spacing w:after="0" w:line="225" w:lineRule="exact"/>
        <w:rPr>
          <w:sz w:val="20"/>
          <w:szCs w:val="20"/>
          <w:color w:val="auto"/>
        </w:rPr>
      </w:pPr>
    </w:p>
    <w:p>
      <w:pPr>
        <w:ind w:left="660" w:hanging="28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share of Residential common stock for every three shares of Altisource common stock held;</w:t>
      </w:r>
    </w:p>
    <w:p>
      <w:pPr>
        <w:spacing w:after="0" w:line="23" w:lineRule="exact"/>
        <w:rPr>
          <w:rFonts w:ascii="Arial" w:cs="Arial" w:eastAsia="Arial" w:hAnsi="Arial"/>
          <w:sz w:val="18"/>
          <w:szCs w:val="18"/>
          <w:color w:val="auto"/>
        </w:rPr>
      </w:pPr>
    </w:p>
    <w:p>
      <w:pPr>
        <w:ind w:left="660" w:hanging="28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share of AAMC common stock for every ten shares of Altisource common stock held and</w:t>
      </w:r>
    </w:p>
    <w:p>
      <w:pPr>
        <w:spacing w:after="0" w:line="9" w:lineRule="exact"/>
        <w:rPr>
          <w:rFonts w:ascii="Arial" w:cs="Arial" w:eastAsia="Arial" w:hAnsi="Arial"/>
          <w:sz w:val="18"/>
          <w:szCs w:val="18"/>
          <w:color w:val="auto"/>
        </w:rPr>
      </w:pPr>
    </w:p>
    <w:p>
      <w:pPr>
        <w:ind w:left="660" w:hanging="28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cash in lieu of Residential and AAMC fractional shares.</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eliminated the assets and liabilities of Residential and AAMC from our consolidated balance sheet effective at the close of business on December 21, 2012. As Residential and AAMC are development stage companies and have not commenced operations, these entities had no historical results of operations.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net assets transferred by Altisource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Residential</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AAMC</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5,000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Reduction in Altisource retained earnings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5,000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incurred $2.7 million of expenses in 2012 representing salaries of certain employees who became employees of AAMC after the separation (included in cost of revenue) and advisory expenses (included in selling, general and administrative expenses) incurred in connection with the Separation of the Residential Asset Businesses. These expenses are included in our Mortgage Services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each outstanding stock option of Altisource was adjusted to reflect the value of Residential and AAMC common stock distributed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Altisource shareholders. On the separation date, all holders of Altisource stock options received the following:</w:t>
      </w:r>
    </w:p>
    <w:p>
      <w:pPr>
        <w:spacing w:after="0" w:line="211" w:lineRule="exact"/>
        <w:rPr>
          <w:sz w:val="20"/>
          <w:szCs w:val="20"/>
          <w:color w:val="auto"/>
        </w:rPr>
      </w:pPr>
    </w:p>
    <w:p>
      <w:pPr>
        <w:ind w:left="660" w:hanging="28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 options (issued by Residential and AAMC) to acquire the number of shares of Residential or AAMC common stock equal to the product of</w:t>
      </w:r>
    </w:p>
    <w:p>
      <w:pPr>
        <w:spacing w:after="0" w:line="46" w:lineRule="exact"/>
        <w:rPr>
          <w:rFonts w:ascii="Arial" w:cs="Arial" w:eastAsia="Arial" w:hAnsi="Arial"/>
          <w:sz w:val="16"/>
          <w:szCs w:val="16"/>
          <w:color w:val="auto"/>
        </w:rPr>
      </w:pPr>
    </w:p>
    <w:p>
      <w:pPr>
        <w:ind w:left="700" w:hanging="3"/>
        <w:spacing w:after="0" w:line="250" w:lineRule="auto"/>
        <w:tabs>
          <w:tab w:leader="none" w:pos="9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number of Altisource stock options held on the separation date and (b) the distribution ratio of 1 share of Residential common stock for every 3 shares of Altisource common stock and 1 share of AAMC stock for every 10 shares of Altisource common stock and</w:t>
      </w:r>
    </w:p>
    <w:p>
      <w:pPr>
        <w:ind w:left="660" w:hanging="28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adjusted Altisource stock option, with a reduced exercise price per stock option.</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determined the exercise price of the new Residential and AAMC stock option and the adjusted Altisource stock option in a manner so that the fair value of the adjusted Altisource stock award and the new Residential and AAMC stock options immediately following the Separation of the Residential Asset Businesses was equivalent to the fair value of such Altisource stock award immediately prior to the Separation of the Residential Asset Businesses. No incremental share-based compensation was recognized as a result of this adjustment.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December 31, 2012, AAMC employees held less than 0.1 million options to purchase Altisource common stock. As of December 31, 2012, our current employees held 0.5 million options to purchase Residential common stock and 0.2 million options to purchase AAMC common stock. In addition, our Chairman held 0.3 million options to purchase Residential common stock and 0.1 million options to purchase AAMC common stock.</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responsible for fulfilling all stock options related to Altisource common stock, and Residential and AAMC are responsible for fulfilling all stock options related to their respective common stock, regardless of whether such stock options are held by our or AAMC’s employees. Notwithstanding the foregoing, our stock-based compensation expense, resulting from awards outstanding at the date of Separation of the Residential Asset Businesses, is based on the stock options held by our employees regardless of whether such awards were issued by Altisource, Residential or AAMC. Accordingly, stock-based compensation that we recognize as expense with respect to Residential and AAMC stock options is included in additional paid-in capital on our consolidated balance sheet. See Note 14 for additional information regarding our employee share-based compensation plans.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TRANSACTIONS WITH RELATED PARTIES</w:t>
      </w:r>
    </w:p>
    <w:p>
      <w:pPr>
        <w:sectPr>
          <w:pgSz w:w="11900" w:h="16870" w:orient="portrait"/>
          <w:cols w:equalWidth="0" w:num="1">
            <w:col w:w="11400"/>
          </w:cols>
          <w:pgMar w:left="240" w:top="125" w:right="259" w:bottom="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Ocwen</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Ocwen is our largest customer. Ocwen, including its wholly-owned subsidiary Ocwen Mortgage Servicing Inc. (“OMS”), are contractually obligated to purchase certain mortgage services and technology services from us under service agreements. On October 1, 2012, the Ocwen agreement was extended by three years through 2020. Separately, we signed a similar agreement on October 1, 2012 with OMS effective through 2020. Ocwen and OMS are not restricted from redeveloping these services. We settle amounts with Ocwen on a daily, weekly or monthly basis depending upon the nature of the service and when the service is provided.</w:t>
      </w:r>
    </w:p>
    <w:p>
      <w:pPr>
        <w:spacing w:after="0" w:line="18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Related party revenue consists of revenue earned directly from Ocwen and its subsidiaries and revenue earned from the loans serviced by Ocwen or its subsidiaries when Ocwen determines the service provider. We earn additional revenue on the portfolios serviced by Ocwen or its subsidiaries that are not considered related party revenue when a party other than Ocwen selects the service provider. As a percentage of each of our segment revenue and as a percentage of consolidated revenue, related party revenue was as follows for the years ended December 31:</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3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Technology Services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 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&lt; 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&lt;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record revenue we earn from Ocwen under various long-term servicing contracts at rates we believe to be market rates as they are consistent with one or more of the following: the fees we charge to other customers for comparable services; the fees Ocwen pays to other service providers; fees commensurate with market surveys prepared by unaffiliated firms; and fees charged by our competitors. As of January 1, 2011, we modified our pricing for IT infrastructure and support services within our Technology Services segment from a rate card model primarily based on headcount to a fully loaded cost plus mark-up where cost is allocated based on the underlying cost driver.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10, 2012, we entered into a five-year support services agreement with OMS (the “Support Services Agreement”), setting forth certain services Altisource and OMS will provide to each other which are similar to the services Altisource and Ocwen provided to each other pursuant to a transition services agreement. These services include such areas as human resources, vendor management, corporate services, six sigma, quality assurance, quantitative analytics, treasury, accounting, risk management, legal, strategic planning and compliance. Payment for the services provided is based on the fully-allocated cost of providing the service based on an estimate of the time and expense of providing the service. For the years ended December 31, 2012, 2011 and 2010, we billed Ocwen $2.7 million, $2.6 million and $1.8 million, respectively, and Ocwen billed us $2.4 million, $1.9 million and $1.1 million, respectively, for services provided under this agreement. These amounts are reflected as a component of selling, general and administrative expenses in the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December 27, 2012, we entered into a senior unsecured term loan agreement with Ocwen (the “Ocwen Term Loan”) under which we loaned $75.0 million to Ocwen. Payments of interest are due quarterly at a rate per annum equal to the Eurodollar Rate (as defined in the agreement) plus 6.75%, provided that the Eurodollar Rate shall at no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time be less than 1.50%. In certain circumstances, we may require the Ocwen Term Loan to bear interest at the Base Rate (as defined in the agreement), which shall at no time be less than 8.25%. Interest income related to this loan was $0.1 million for the year ended December 31, 2012.</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Ocwen is required to repay the entire outstanding principal amount of the Ocwen Term Loan plus all accrued and unpaid interest when it repays in full, refinances or replaces its Senior Credit Facility (as defined in the agreement). If its Senior Credit Facility is not repaid in full, refinanced or replaced on or prior to October 1, 2013, then we may require Ocwen to convert all or a portion of the outstanding principal amount and all or a portion of the unpaid interest accrued on the term loan into (i) an investment in or of Homeward Residential Holdings Inc. (“Homeward Residential”), a recent acquisition made by Ocwen,</w:t>
      </w:r>
    </w:p>
    <w:p>
      <w:pPr>
        <w:spacing w:after="0" w:line="2" w:lineRule="exact"/>
        <w:rPr>
          <w:sz w:val="20"/>
          <w:szCs w:val="20"/>
          <w:color w:val="auto"/>
        </w:rPr>
      </w:pPr>
    </w:p>
    <w:p>
      <w:pPr>
        <w:ind w:right="140" w:firstLine="8"/>
        <w:spacing w:after="0" w:line="323"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property or assets of Homeward Residential, (iii) equity interests of Homeward Residential, or (iv) if we and Ocwen agree, any other assets of Ocwen or its subsidiaries. The entire outstanding principal amount of the term loan is due on March 1, 2017 and may be prepaid earlier without penalty.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Ocwen Term Loan agreement contains representations, warranties, covenants, terms and conditions customary for transactions of this type.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Fee Based Businesses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January 31 2013, we entered into letters of intent with Ocwen to acquire certain fee based businesses associated with Ocwen’s acquisition of Homeward Residential and the anticipated acquisition of the Residential Capital, LLC (“ResCap”) servicing portfolio (see Note 23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July 2011, we acquired an equity interest in Correspondent One (see Note 10). We provide Correspondent One certain finance, human resources, legal support, facilities, technology, vendor management and risk management services. For the years ended December 31, 2012 and 2011, we billed Correspondent One $0.4 million and $0.1 million, respectively, under a services agreement.</w:t>
      </w:r>
    </w:p>
    <w:p>
      <w:pPr>
        <w:sectPr>
          <w:pgSz w:w="11900" w:h="16838" w:orient="portrait"/>
          <w:cols w:equalWidth="0" w:num="1">
            <w:col w:w="11400"/>
          </w:cols>
          <w:pgMar w:left="240" w:top="337" w:right="259" w:bottom="11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color w:val="auto"/>
        </w:rPr>
        <w:t>Home Loan Servicing Solutions, Ltd. (“HLSS”) is a public company whose primary objective is the acquisition of mortgage servicing rights and advances. In connection with the February 2012 HLSS initial public offering, HLSS acquired mortgage servicing related assets from Ocwen. Our Chairman is also the Chairman of HLSS. We provide HLSS certain finance, human resources and legal support services. For the year ended December 31, 2012, we billed HLSS $0.6 million under a services agreement (no comparative amounts in 2011 or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reflected as a component of selling, general and administrative expenses in the consolidated statements of operations.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provide certain origination related services to Correspondent One. We earned revenue of $0.3 million for the year ended December 31, 2012 from the provision of these services (no comparative amounts in 2011 or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purposes of governing certain of the ongoing relationships between Altisource, Residential and AAMC after the Separation of the Residential Asset Businesses, and to provide for an orderly transition to the status of three independent companies, we entered into certain agreements with Residential and AAMC. A brief description of these agreements is as follows:</w:t>
      </w:r>
    </w:p>
    <w:p>
      <w:pPr>
        <w:spacing w:after="0" w:line="181" w:lineRule="exact"/>
        <w:rPr>
          <w:sz w:val="20"/>
          <w:szCs w:val="20"/>
          <w:color w:val="auto"/>
        </w:rPr>
      </w:pPr>
    </w:p>
    <w:p>
      <w:pPr>
        <w:ind w:left="660" w:right="74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Separation Agreement </w:t>
      </w:r>
      <w:r>
        <w:rPr>
          <w:rFonts w:ascii="Arial" w:cs="Arial" w:eastAsia="Arial" w:hAnsi="Arial"/>
          <w:sz w:val="18"/>
          <w:szCs w:val="18"/>
          <w:color w:val="auto"/>
        </w:rPr>
        <w:t>(with each of Residential and AAMC) — These agreements provide for, among other things, the principal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required to effect the Separation of the Residential Asset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left="660" w:right="360"/>
        <w:spacing w:after="0" w:line="258" w:lineRule="auto"/>
        <w:rPr>
          <w:sz w:val="20"/>
          <w:szCs w:val="20"/>
          <w:color w:val="auto"/>
        </w:rPr>
      </w:pPr>
      <w:r>
        <w:rPr>
          <w:rFonts w:ascii="Arial" w:cs="Arial" w:eastAsia="Arial" w:hAnsi="Arial"/>
          <w:sz w:val="18"/>
          <w:szCs w:val="18"/>
          <w:color w:val="auto"/>
        </w:rPr>
        <w:t>Businesses and certain other agreements relating to the continuing relationship between Altisource and each of the separate companies and their respective affiliates after the Separation of the Residential Asset Businesses.</w:t>
      </w:r>
    </w:p>
    <w:p>
      <w:pPr>
        <w:spacing w:after="0" w:line="1" w:lineRule="exact"/>
        <w:rPr>
          <w:sz w:val="20"/>
          <w:szCs w:val="20"/>
          <w:color w:val="auto"/>
        </w:rPr>
      </w:pPr>
    </w:p>
    <w:p>
      <w:pPr>
        <w:ind w:left="660" w:right="60" w:hanging="328"/>
        <w:spacing w:after="0" w:line="281" w:lineRule="auto"/>
        <w:tabs>
          <w:tab w:leader="none" w:pos="62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Master Services Agreement </w:t>
      </w:r>
      <w:r>
        <w:rPr>
          <w:rFonts w:ascii="Arial" w:cs="Arial" w:eastAsia="Arial" w:hAnsi="Arial"/>
          <w:sz w:val="16"/>
          <w:szCs w:val="16"/>
          <w:color w:val="auto"/>
        </w:rPr>
        <w:t>(with Residential) — This agreement provides for Altisource’s offering of certain services to Residential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business for an initial term of 15 years, which will automatically renew for successive two-year terms unless either party sends a notice to the other party at least nine months before the completion of the initial or renewal term. Services provided by us under this agreement include property management, lease management and renovation management services associated with single-family rental assets acquired by Residential.</w:t>
      </w:r>
    </w:p>
    <w:p>
      <w:pPr>
        <w:spacing w:after="0" w:line="2" w:lineRule="exact"/>
        <w:rPr>
          <w:rFonts w:ascii="Arial" w:cs="Arial" w:eastAsia="Arial" w:hAnsi="Arial"/>
          <w:sz w:val="16"/>
          <w:szCs w:val="16"/>
          <w:color w:val="auto"/>
        </w:rPr>
      </w:pPr>
    </w:p>
    <w:p>
      <w:pPr>
        <w:ind w:left="660" w:right="100" w:hanging="328"/>
        <w:spacing w:after="0" w:line="250" w:lineRule="auto"/>
        <w:tabs>
          <w:tab w:leader="none" w:pos="62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Support Services Agreement </w:t>
      </w:r>
      <w:r>
        <w:rPr>
          <w:rFonts w:ascii="Arial" w:cs="Arial" w:eastAsia="Arial" w:hAnsi="Arial"/>
          <w:sz w:val="18"/>
          <w:szCs w:val="18"/>
          <w:color w:val="auto"/>
        </w:rPr>
        <w:t>(with each of Residential and AAMC) — Under these agreements, Altisource provide services to each entity,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services provided to Ocwen described above, where Residential and AAMC may need assistance and support following the Separation of the Residential Asset Businesses. The Support Services Agreement will extend for two years after the date of the Separation of the Residential Asset Businesses but may be terminated earlier under certain circumstances. Payment for the services provided is based on the fully-allocated cost of providing the service.</w:t>
      </w:r>
    </w:p>
    <w:p>
      <w:pPr>
        <w:spacing w:after="0" w:line="2" w:lineRule="exact"/>
        <w:rPr>
          <w:rFonts w:ascii="Arial" w:cs="Arial" w:eastAsia="Arial" w:hAnsi="Arial"/>
          <w:sz w:val="18"/>
          <w:szCs w:val="18"/>
          <w:color w:val="auto"/>
        </w:rPr>
      </w:pPr>
    </w:p>
    <w:p>
      <w:pPr>
        <w:ind w:left="660" w:right="240" w:hanging="328"/>
        <w:spacing w:after="0" w:line="281" w:lineRule="auto"/>
        <w:tabs>
          <w:tab w:leader="none" w:pos="62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w:t>
      </w:r>
      <w:r>
        <w:rPr>
          <w:rFonts w:ascii="Arial" w:cs="Arial" w:eastAsia="Arial" w:hAnsi="Arial"/>
          <w:sz w:val="16"/>
          <w:szCs w:val="16"/>
          <w:color w:val="auto"/>
        </w:rPr>
        <w:t>(with each of Residential and AAMC) — These agreements set out each party’s rights and obligations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deficiencies and refunds, if any, of Luxembourg, United States federal, state, local or other foreign taxes for periods before and after the date of Separation of the Residential Asset Businesses and related matters such as the filing of tax returns and the conduct of Internal Revenue Service (“IRS”) and other audits. In general, under these agreements, Residential and AAMC will be responsible for taxes attributable to their businesses incurred after the separation and we will be responsible for taxes attributable to their businesses incurred prior to the separation.</w:t>
      </w:r>
    </w:p>
    <w:p>
      <w:pPr>
        <w:spacing w:after="0" w:line="3" w:lineRule="exact"/>
        <w:rPr>
          <w:rFonts w:ascii="Arial" w:cs="Arial" w:eastAsia="Arial" w:hAnsi="Arial"/>
          <w:sz w:val="16"/>
          <w:szCs w:val="16"/>
          <w:color w:val="auto"/>
        </w:rPr>
      </w:pPr>
    </w:p>
    <w:p>
      <w:pPr>
        <w:ind w:left="660" w:right="180" w:hanging="328"/>
        <w:spacing w:after="0" w:line="250" w:lineRule="auto"/>
        <w:tabs>
          <w:tab w:leader="none" w:pos="62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w:t>
      </w:r>
      <w:r>
        <w:rPr>
          <w:rFonts w:ascii="Arial" w:cs="Arial" w:eastAsia="Arial" w:hAnsi="Arial"/>
          <w:sz w:val="18"/>
          <w:szCs w:val="18"/>
          <w:color w:val="auto"/>
        </w:rPr>
        <w:t>(with each of Residential and AAMC) — These agreements grant Residential and AAMC a non-exclusive, non-transferable, non-sublicensable, royalty free license to use the name “Altisource.” The agreement has no specified term and may be terminated by either party upon 30 days written notice.</w:t>
      </w:r>
    </w:p>
    <w:p>
      <w:pPr>
        <w:spacing w:after="0" w:line="1" w:lineRule="exact"/>
        <w:rPr>
          <w:rFonts w:ascii="Arial" w:cs="Arial" w:eastAsia="Arial" w:hAnsi="Arial"/>
          <w:sz w:val="18"/>
          <w:szCs w:val="18"/>
          <w:color w:val="auto"/>
        </w:rPr>
      </w:pPr>
    </w:p>
    <w:p>
      <w:pPr>
        <w:ind w:left="660" w:right="60" w:hanging="328"/>
        <w:spacing w:after="0" w:line="255" w:lineRule="auto"/>
        <w:tabs>
          <w:tab w:leader="none" w:pos="62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Technology Products Services Agreement </w:t>
      </w:r>
      <w:r>
        <w:rPr>
          <w:rFonts w:ascii="Arial" w:cs="Arial" w:eastAsia="Arial" w:hAnsi="Arial"/>
          <w:sz w:val="18"/>
          <w:szCs w:val="18"/>
          <w:color w:val="auto"/>
        </w:rPr>
        <w:t>(with AAMC) — This agreement provides for Altisource’s offering of certain technology products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AAMC in connection with its business, for a term of 15 years, but may be terminated earlier under certain circumstances. The price of these services is based on the fully-allocated cost of providing the service.</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results of operations of the following acquisitions have been included in our consolidated results from the respective acquisition dates. The acquisitions did not have a material effect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transaction costs are included in selling, general and administrative expenses in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Springhouse and Tracmail</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July 2011, we acquired the assembled workforce of Tracmail, a sub-contractor in India that performs asset recovery services. Prior to acquisition, the costs paid to the sub-contractor were included in outside fees and services within cost of revenue in the consolidated financial statements.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for these transactions is as follows:</w:t>
      </w:r>
    </w:p>
    <w:p>
      <w:pPr>
        <w:sectPr>
          <w:pgSz w:w="11900" w:h="16838" w:orient="portrait"/>
          <w:cols w:equalWidth="0" w:num="1">
            <w:col w:w="11380"/>
          </w:cols>
          <w:pgMar w:left="240" w:top="125" w:right="279" w:bottom="0" w:gutter="0" w:footer="0" w:header="0"/>
        </w:sect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20955</wp:posOffset>
            </wp:positionV>
            <wp:extent cx="41935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38" w:name="page39"/>
    <w:bookmarkEnd w:id="38"/>
    <w:tbl>
      <w:tblPr>
        <w:tblLayout w:type="fixed"/>
        <w:tblInd w:w="130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r>
      <w:tr>
        <w:trPr>
          <w:trHeight w:val="210"/>
        </w:trPr>
        <w:tc>
          <w:tcPr>
            <w:tcW w:w="49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(2,049)</w:t>
            </w:r>
          </w:p>
        </w:tc>
      </w:tr>
      <w:tr>
        <w:trPr>
          <w:trHeight w:val="21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MPA</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February 12, 2010, we acquired all of the outstanding membership interests of MPA pursuant to a Purchase and Sale Agreement. MPA serves as the manager of Lenders One, a national alliance of independent mortgage bankers. The alliance was established in 2000 and as of December 31, 2012 consisted of 241 members.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Consideration for the transaction consisted of cash, common stock and put option agreements: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6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 option agreements at fair value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Working capital adjustment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common stock consisted of 1.0 million shares of Altisource’s common stock valued at $24.92 per share based on the closing price of Altisource common stock on February 11, 2010. A portion of the stock consideration (0.3 million shares) was held in escrow two years from the closing date of the acquisition to secure MPA’s indemnification obligations under the Purchase and Sale Agreement. The escrowed shares were released in 2011. In addition, we entered into three put option agreements with certain of the sellers whereby each seller had the right, with respect to an aggregate of 0.5 million shares of our common stock, to put up to 25% of eligible shares each year for a total of four years at a price equal to $16.84 per share. All put agreements expired in December 2011 due to the attainment of certain Altisource share price thresholds.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Fee Based Businesses from Ocwen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31, 2013, we entered into letters of intent with Ocwen to acquire certain fee based businesses associated with Ocwen’s acquisition of Homeward Residential and the anticipated acquisition of the ResCap servicing portfolio (see Note 23 for additional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4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Billed</w:t>
            </w:r>
          </w:p>
        </w:tc>
        <w:tc>
          <w:tcPr>
            <w:tcW w:w="602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Third parties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25,950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19,817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Correspondent One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HLSS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AAMC</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46,324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Unbilled</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Third parties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39,496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Correspondent One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(3,274)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88,955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 Based on the Company’s historical performance, the majority of unbilled fees are expected to be collected within one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56" w:right="259" w:bottom="5"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allowance for doubtful accounts, net of recoveries, for the years ended December 31, 2012, 2011 and 2010 is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(in thousands)</w:t>
            </w:r>
          </w:p>
        </w:tc>
      </w:tr>
      <w:tr>
        <w:trPr>
          <w:trHeight w:val="210"/>
        </w:trPr>
        <w:tc>
          <w:tcPr>
            <w:tcW w:w="4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2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Bad debt expense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1,735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Write-offs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Bad debt expense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Write-offs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Bad debt expense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3,049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Write-offs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(1,801)</w:t>
            </w: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gridSpan w:val="2"/>
          </w:tcPr>
          <w:p>
            <w:pPr>
              <w:ind w:left="98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software license fees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Prepaid insurance</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facility costs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held for clients</w:t>
            </w:r>
          </w:p>
        </w:tc>
        <w:tc>
          <w:tcPr>
            <w:tcW w:w="1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7,618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vMerge w:val="restart"/>
          </w:tcPr>
          <w:p>
            <w:pPr>
              <w:jc w:val="right"/>
              <w:ind w:right="83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80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 amounts recorded under capital leases, consists of the following as of December 31:</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68,329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15,592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12,982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(51,848)</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(40,233)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50,399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Depreciation and amortization expense, inclusive of capital lease obligations, amounted to $12.8 million, $8.4 million and $7.2 million for 2012, 2011 and 2010, respectively, and is included in cost of revenue for operating assets and in selling, general and administrative expenses for non-operating assets in the accompanying consolidated statements of operations.</w:t>
      </w:r>
    </w:p>
    <w:p>
      <w:pPr>
        <w:spacing w:after="0" w:line="177" w:lineRule="exact"/>
        <w:rPr>
          <w:sz w:val="20"/>
          <w:szCs w:val="20"/>
          <w:color w:val="auto"/>
        </w:rPr>
      </w:pPr>
    </w:p>
    <w:p>
      <w:pPr>
        <w:ind w:right="7400" w:firstLine="8"/>
        <w:spacing w:after="0" w:line="503" w:lineRule="auto"/>
        <w:tabs>
          <w:tab w:leader="none" w:pos="22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 Goodwill</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Goodwill relates to the acquisitions of MPA, Springhouse, Tracmail and the company that developed the predecessor to our REALTrans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vendor management platform. Changes in goodwill during the years ended December 31, 2012 and 2011 are summarized below:</w:t>
      </w:r>
    </w:p>
    <w:p>
      <w:pPr>
        <w:sectPr>
          <w:pgSz w:w="11900" w:h="16838" w:orient="portrait"/>
          <w:cols w:equalWidth="0" w:num="1">
            <w:col w:w="11460"/>
          </w:cols>
          <w:pgMar w:left="240" w:top="368" w:right="199" w:bottom="0" w:gutter="0" w:footer="0" w:header="0"/>
        </w:sectPr>
      </w:pPr>
    </w:p>
    <w:p>
      <w:pPr>
        <w:spacing w:after="0" w:line="194" w:lineRule="exact"/>
        <w:rPr>
          <w:sz w:val="20"/>
          <w:szCs w:val="20"/>
          <w:color w:val="auto"/>
        </w:rPr>
      </w:pPr>
    </w:p>
    <w:p>
      <w:pPr>
        <w:ind w:left="5380"/>
        <w:spacing w:after="0"/>
        <w:tabs>
          <w:tab w:leader="none" w:pos="7040" w:val="left"/>
          <w:tab w:leader="none" w:pos="8640" w:val="left"/>
        </w:tabs>
        <w:rPr>
          <w:sz w:val="20"/>
          <w:szCs w:val="20"/>
          <w:color w:val="auto"/>
        </w:rPr>
      </w:pPr>
      <w:r>
        <w:rPr>
          <w:rFonts w:ascii="Arial" w:cs="Arial" w:eastAsia="Arial" w:hAnsi="Arial"/>
          <w:sz w:val="14"/>
          <w:szCs w:val="14"/>
          <w:b w:val="1"/>
          <w:bCs w:val="1"/>
          <w:color w:val="auto"/>
        </w:rPr>
        <w:t>Mortgage</w:t>
      </w:r>
      <w:r>
        <w:rPr>
          <w:sz w:val="20"/>
          <w:szCs w:val="20"/>
          <w:color w:val="auto"/>
        </w:rPr>
        <w:tab/>
      </w:r>
      <w:r>
        <w:rPr>
          <w:rFonts w:ascii="Arial" w:cs="Arial" w:eastAsia="Arial" w:hAnsi="Arial"/>
          <w:sz w:val="14"/>
          <w:szCs w:val="14"/>
          <w:b w:val="1"/>
          <w:bCs w:val="1"/>
          <w:color w:val="auto"/>
        </w:rPr>
        <w:t>Financial</w:t>
      </w:r>
      <w:r>
        <w:rPr>
          <w:sz w:val="20"/>
          <w:szCs w:val="20"/>
          <w:color w:val="auto"/>
        </w:rPr>
        <w:tab/>
      </w:r>
      <w:r>
        <w:rPr>
          <w:rFonts w:ascii="Arial" w:cs="Arial" w:eastAsia="Arial" w:hAnsi="Arial"/>
          <w:sz w:val="12"/>
          <w:szCs w:val="12"/>
          <w:b w:val="1"/>
          <w:bCs w:val="1"/>
          <w:color w:val="auto"/>
        </w:rPr>
        <w:t>Technology</w:t>
      </w:r>
    </w:p>
    <w:p>
      <w:pPr>
        <w:sectPr>
          <w:pgSz w:w="11900" w:h="16838" w:orient="portrait"/>
          <w:cols w:equalWidth="0" w:num="1">
            <w:col w:w="11460"/>
          </w:cols>
          <w:pgMar w:left="240" w:top="368" w:right="199" w:bottom="0" w:gutter="0" w:footer="0" w:header="0"/>
          <w:type w:val="continuous"/>
        </w:sectPr>
      </w:pPr>
    </w:p>
    <w:bookmarkStart w:id="40" w:name="page41"/>
    <w:bookmarkEnd w:id="40"/>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Services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value at January 1, 2011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13,544</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1,618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Accumulated amortization of tax-deductible goodwill </w:t>
            </w:r>
            <w:r>
              <w:rPr>
                <w:rFonts w:ascii="Arial" w:cs="Arial" w:eastAsia="Arial" w:hAnsi="Arial"/>
                <w:sz w:val="23"/>
                <w:szCs w:val="23"/>
                <w:color w:val="auto"/>
                <w:vertAlign w:val="superscript"/>
              </w:rPr>
              <w:t>(a)</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(10,728)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impairment losses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January 1, 2011</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1,618</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Springhouse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Acquisition of Tracmail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December 31, 2011 and 2012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10,919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2,378</w:t>
            </w:r>
          </w:p>
        </w:tc>
        <w:tc>
          <w:tcPr>
            <w:tcW w:w="10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1,618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(a)</w:t>
      </w:r>
      <w:r>
        <w:rPr>
          <w:sz w:val="20"/>
          <w:szCs w:val="20"/>
          <w:color w:val="auto"/>
        </w:rPr>
        <w:tab/>
      </w:r>
      <w:r>
        <w:rPr>
          <w:rFonts w:ascii="Arial" w:cs="Arial" w:eastAsia="Arial" w:hAnsi="Arial"/>
          <w:sz w:val="18"/>
          <w:szCs w:val="18"/>
          <w:color w:val="auto"/>
        </w:rPr>
        <w:t>See description under intangible assets, net section below.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Intangible assets relate to our acquisitions of MPA (see Note 5) and Nationwide Credit, Inc (“NCI</w:t>
      </w:r>
      <w:r>
        <w:rPr>
          <w:rFonts w:ascii="Arial" w:cs="Arial" w:eastAsia="Arial" w:hAnsi="Arial"/>
          <w:sz w:val="23"/>
          <w:szCs w:val="23"/>
          <w:color w:val="auto"/>
          <w:vertAlign w:val="superscript"/>
        </w:rPr>
        <w:t>®</w:t>
      </w:r>
      <w:r>
        <w:rPr>
          <w:rFonts w:ascii="Arial" w:cs="Arial" w:eastAsia="Arial" w:hAnsi="Arial"/>
          <w:sz w:val="18"/>
          <w:szCs w:val="18"/>
          <w:color w:val="auto"/>
        </w:rPr>
        <w:t>”). No impairment charges were taken during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 2012 and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estimated</w:t>
            </w:r>
          </w:p>
        </w:tc>
        <w:tc>
          <w:tcPr>
            <w:tcW w:w="240" w:type="dxa"/>
            <w:vAlign w:val="bottom"/>
          </w:tcPr>
          <w:p>
            <w:pPr>
              <w:spacing w:after="0"/>
              <w:rPr>
                <w:sz w:val="12"/>
                <w:szCs w:val="12"/>
                <w:color w:val="auto"/>
              </w:rPr>
            </w:pPr>
          </w:p>
        </w:tc>
        <w:tc>
          <w:tcPr>
            <w:tcW w:w="22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Accumulated amortization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Net book value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useful life</w:t>
            </w:r>
          </w:p>
        </w:tc>
        <w:tc>
          <w:tcPr>
            <w:tcW w:w="24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(years)</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Definite-lived intangible assets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10,614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10,614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(3,353)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6,554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 lists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38,366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line="216" w:lineRule="exact"/>
              <w:rPr>
                <w:sz w:val="20"/>
                <w:szCs w:val="20"/>
                <w:color w:val="auto"/>
              </w:rPr>
            </w:pPr>
            <w:r>
              <w:rPr>
                <w:rFonts w:ascii="Arial" w:cs="Arial" w:eastAsia="Arial" w:hAnsi="Arial"/>
                <w:sz w:val="18"/>
                <w:szCs w:val="18"/>
                <w:color w:val="auto"/>
              </w:rPr>
              <w:t>(18,567)</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19,799</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(5,104)</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29,896</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31,646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1,300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85,280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5"/>
              </w:rPr>
              <w:t>(28,694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56,586</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14"/>
        <w:spacing w:after="0" w:line="260" w:lineRule="auto"/>
        <w:tabs>
          <w:tab w:leader="none" w:pos="339"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Prior to our acquisition of Nationwide Credit, Inc. (“NCI</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resulted in our recording periodic reductions first to our book goodwill balance in our consolidated financial statements. As our book goodwill balance was fully written off at December 31, 2010, we continued to amortize the remaining Component 2 goodwill for United States tax purposes by reducing certain intangible assets by the remaining tax benefits of the Component 2 goodwill as they are realized in our tax returns. The reduction in intangible assets was $3.3 million and 3.4 million for of the years ended December 31, 2012 and 2011, respectively. Component 2 goodwill was fully amortized in 2012.</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Amortization expense for definite lived intangible assets was $5.0 million, $5.3 million and $4.9 million for the years ended December 31, 2012, 2011 and 2010, respectively. Expected annual amortization for 2013 through 2017, is $4.8 million, $4.5 million, $4.4 million, $4.3 million and $4.0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EQUITY AFFILIATE</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Correspondent One purchases closed conforming and government guaranteed residential mortgages from approved mortgage bankers. Correspondent One provides members of Lenders One additional avenues to sell loans beyond Lenders One’s preferred investor arrangements and the members’ own network of loan buyers. We have significant influence over the general operations of Correspondent One consistent with our 49% ownership level and therefore account for our investment under the equity method. We have no funding commitments to Correspondent One as of December 31, 2012.</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Our net loss on this investment using the equity method was $1.2 million and $0.5 million for the years ended December 31, 2012 and 2011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first quarter of 2013, we anticipate entering into an agreement to sell all of our equity interest in Correspondent One to Ocwen for approximately $12.7 million. As a result, we recorded a $0.6 million impairment loss as of December 31, 2012, representing the difference between the expected sales price and the carrying value as of December 31, 2012. The loss is included within equity loss in affiliate in other expense (income), net in the consolidated statements of operations.</w:t>
      </w:r>
    </w:p>
    <w:p>
      <w:pPr>
        <w:sectPr>
          <w:pgSz w:w="11900" w:h="16926" w:orient="portrait"/>
          <w:cols w:equalWidth="0" w:num="1">
            <w:col w:w="11420"/>
          </w:cols>
          <w:pgMar w:left="240" w:top="118" w:right="239" w:bottom="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following table presents summarized financial information for Correspondent One: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vMerge w:val="restart"/>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2,944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(2,366)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8"/>
        </w:trPr>
        <w:tc>
          <w:tcPr>
            <w:tcW w:w="6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 2012</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30,096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796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27,297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11. OTHER ASSETS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rPr>
              <w:t>Other assets consist of the following as of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0" w:type="dxa"/>
            <w:vAlign w:val="bottom"/>
            <w:gridSpan w:val="2"/>
          </w:tcPr>
          <w:p>
            <w:pPr>
              <w:ind w:left="6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6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net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Debt issuance costs,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Unbilled fees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11,674</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 of $4.3 million were capitalized in November 2012 in connection with long-term debt (see Note 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ACCRUED EXPENSES AND OTHER CURRENT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and accrued expenses consist of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gridSpan w:val="2"/>
          </w:tcPr>
          <w:p>
            <w:pPr>
              <w:ind w:left="6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16,528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Payable to AAMC</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58,976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44,867</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20" w:type="dxa"/>
            <w:vAlign w:val="bottom"/>
            <w:gridSpan w:val="2"/>
          </w:tcPr>
          <w:p>
            <w:pPr>
              <w:ind w:left="6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Facility closure cost accrual, current portion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Collections due to clients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Book overdrafts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balance sheet and in selling, general and administrative expenses in the statement of operations), all recorded in our Financial Services segment, primarily consisting of lease exit costs (expected to be paid through 2014) and severance (paid in 2009 and 2010) for the closure of two facilities.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341" w:right="259" w:bottom="0" w:gutter="0" w:footer="0" w:header="0"/>
        </w:sectPr>
      </w:pPr>
    </w:p>
    <w:bookmarkStart w:id="42" w:name="page43"/>
    <w:bookmarkEnd w:id="4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for lease exit costs for the years ended December 31,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Less: long-term portion</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(324)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Less: long-term portion</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w w:val="95"/>
              </w:rPr>
              <w:t>We do not expect significant additional costs related to the closure of these facilities.</w:t>
            </w: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13. LONG-TERM DEBT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0" w:type="dxa"/>
            <w:vAlign w:val="bottom"/>
            <w:gridSpan w:val="3"/>
          </w:tcPr>
          <w:p>
            <w:pPr>
              <w:ind w:left="6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6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Less: original issue discount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(1,973)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198,027</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196,027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November 27, 2012, we entered into a seven-year senior secured term loan facility agreement (the “Credit Agreement”) with Bank of America, N.A. as administrative agent and certain lenders, pursuant to which we borrowed $200.0 million (the “Senior Secured Term Loan”). The Senior Secured Term Loan was issued with a 1.0% original issue discount ($2.0 million), resulting in net proceeds of $198.0 million (the “Proceeds”), with certain wholly-owned subsidiaries acting as guarantors (collectively, the “Guarantors”).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Proceeds were used to capitalize Residential and AAMC (as described in Note 3), and also to pay certain fees, commissions and expenses in connection with the Credit Agreement. The Proceeds may also be used for general corporate purposes, including acquisitions and investments permitted under the Credit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Payments under the Credit Agreement are guaranteed by the Guarantors and are secured by a pledge of all equity interests of certain subsidiaries, as well as a lien on substantially all of the assets of Altisource Solutions S.à r.l., a wholly-owned subsidiary of Altisource, and the Guarantors, subject to certain exceptions.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Senior Secured Term Loan bears interest at rates based upon, at our option, the Adjusted Eurodollar Rate or the Base Rate (each as defined in the Credit Agreement). Eurodollar Rate loans will bear interest at a rate per annum equal to the sum of (i) the greater of (x) the Adjusted Eurodollar Rate for the applicable interest period and (y) 1.25% plus (ii) a 4.50% margin. Base Rate loans will bear interest at a rate per annum equal to the sum of (i) the greater of (x) the Base Rate and (y) 2.25% plus (ii) a 3.50% margin. The interest rate as of December 31, 2012 was 5.75%.</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Senior Secured Term Loan must be repaid in equal consecutive quarterly principal installments, commencing on March 29, 2013, equal to 0.25% of the initial principal amount of such loans, with final payment of all amounts outstanding, plus accrued and unpaid interest, becoming due on November 27, 2019.</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covenants restrict or limit, among other things, our ability to: create liens and encumbrances; incur additional indebtedness; make asset sales, transfers or dispositions;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scheduled principal payments, the Senior Secured Term Loan is (with certain exceptions) subject to mandatory prepayment upon issuances of debt, casualty and condemnation events, and sales of assets, as well as from a percentage of excess cash flow (as defined in the Credit Agreement) if the leverage ratio (as defined in the Credit Agreement) is greater than 2.5x. No mandatory prepayments were owed for the year ended December 31, 2012. We are permitted to make voluntary prepayments without penalty after November 27, 2013. If prepayments are made prior to November 27, 2013, 1.00% of the principal amount of the prepaid term loans will be incurred.</w:t>
      </w:r>
    </w:p>
    <w:p>
      <w:pPr>
        <w:sectPr>
          <w:pgSz w:w="11900" w:h="16897" w:orient="portrait"/>
          <w:cols w:equalWidth="0" w:num="1">
            <w:col w:w="11360"/>
          </w:cols>
          <w:pgMar w:left="240" w:top="517" w:right="299" w:bottom="0" w:gutter="0" w:footer="0" w:header="0"/>
        </w:sectPr>
      </w:pPr>
    </w:p>
    <w:bookmarkStart w:id="43" w:name="page44"/>
    <w:bookmarkEnd w:id="43"/>
    <w:p>
      <w:pPr>
        <w:ind w:right="40"/>
        <w:spacing w:after="0" w:line="289" w:lineRule="auto"/>
        <w:rPr>
          <w:sz w:val="20"/>
          <w:szCs w:val="20"/>
          <w:color w:val="auto"/>
        </w:rPr>
      </w:pPr>
      <w:r>
        <w:rPr>
          <w:rFonts w:ascii="Arial" w:cs="Arial" w:eastAsia="Arial" w:hAnsi="Arial"/>
          <w:sz w:val="16"/>
          <w:szCs w:val="16"/>
          <w:color w:val="auto"/>
        </w:rPr>
        <w:t>The Credit Agreement contains certain events of default, including (i) failure to pay principal when due or interest or any other amount owing on any other obligation under the Credit Agreement within 5 days of becoming due, (ii) material incorrectness of representations and warranties when made, (iii) breach of covenants, (iv) failure to pay principal or interest on any other debt that equals or exceeds $40 million when due, (v) default on any other debt that equals or exceeds $40 million that causes, or gives the holder or holders of such debt the ability to cause, an acceleration of such debt, (vi) occurrence of a Change in Control (as defined in the Credit Agreement), (vii) bankruptcy and insolvency events (as defined in the Credit Agreement), (viii) entry by a court of one or more judgments against us (as defined in the Credit Agreement) in an amount in excess of $40 million that remain unbonded, undischarged or unstayed for a certain number of days after the entry thereof, (ix) the occurrence of certain ERISA events and (x) the failure of certain Loan Documents (as defined in the Credit Agreement)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6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Legal fees and other direct expenses relating to the Senior Secured Term Loan were capitalized. At December 31, 2012, total debt issuance costs were $4.3 million, net of $0.1 million of accumulated amortization and are included in other assets in the accompanying consolidated balance sheet.</w:t>
      </w:r>
    </w:p>
    <w:p>
      <w:pPr>
        <w:spacing w:after="0" w:line="14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Interest expense on the Senior Secured Loan, including amortization of debt issuance costs and the debt discount, totaled $1.2 million in 2012 (no comparative amounts in 2011 or 2010).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100" w:type="dxa"/>
            <w:vAlign w:val="bottom"/>
            <w:gridSpan w:val="3"/>
          </w:tcPr>
          <w:p>
            <w:pPr>
              <w:jc w:val="right"/>
              <w:ind w:right="945"/>
              <w:spacing w:after="0"/>
              <w:rPr>
                <w:sz w:val="20"/>
                <w:szCs w:val="20"/>
                <w:color w:val="auto"/>
              </w:rPr>
            </w:pPr>
            <w:r>
              <w:rPr>
                <w:rFonts w:ascii="Arial" w:cs="Arial" w:eastAsia="Arial" w:hAnsi="Arial"/>
                <w:sz w:val="18"/>
                <w:szCs w:val="18"/>
                <w:b w:val="1"/>
                <w:bCs w:val="1"/>
                <w:color w:val="auto"/>
              </w:rPr>
              <w:t>ALTISOURCE PORTFOLIO SOLUTIONS S.A.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100" w:type="dxa"/>
            <w:vAlign w:val="bottom"/>
            <w:gridSpan w:val="3"/>
          </w:tcPr>
          <w:p>
            <w:pPr>
              <w:jc w:val="right"/>
              <w:ind w:right="705"/>
              <w:spacing w:after="0"/>
              <w:rPr>
                <w:sz w:val="20"/>
                <w:szCs w:val="20"/>
                <w:color w:val="auto"/>
              </w:rPr>
            </w:pPr>
            <w:r>
              <w:rPr>
                <w:rFonts w:ascii="Arial" w:cs="Arial" w:eastAsia="Arial" w:hAnsi="Arial"/>
                <w:sz w:val="18"/>
                <w:szCs w:val="18"/>
                <w:b w:val="1"/>
                <w:bCs w:val="1"/>
                <w:color w:val="auto"/>
                <w:w w:val="89"/>
              </w:rPr>
              <w:t xml:space="preserve">Notes to Consolidated Financial Statements </w:t>
            </w:r>
            <w:r>
              <w:rPr>
                <w:rFonts w:ascii="Arial" w:cs="Arial" w:eastAsia="Arial" w:hAnsi="Arial"/>
                <w:sz w:val="18"/>
                <w:szCs w:val="18"/>
                <w:b w:val="1"/>
                <w:bCs w:val="1"/>
                <w:i w:val="1"/>
                <w:iCs w:val="1"/>
                <w:color w:val="auto"/>
                <w:w w:val="89"/>
              </w:rPr>
              <w:t>(continued)</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w w:val="94"/>
              </w:rPr>
              <w:t>Maturities of our long-term debt are as follows:</w:t>
            </w: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4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0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100" w:type="dxa"/>
            <w:vAlign w:val="bottom"/>
            <w:gridSpan w:val="3"/>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2014</w:t>
            </w: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2016</w:t>
            </w: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Thereafter</w:t>
            </w: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Less: current portion</w:t>
            </w: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500" w:firstLine="8"/>
        <w:spacing w:after="0" w:line="503" w:lineRule="auto"/>
        <w:tabs>
          <w:tab w:leader="none" w:pos="31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SHARE-BASED COMPENSATION Common Stock</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has the power to issue shares of authorized but unissued common stock without further shareholder action subject to the requirements of applicable laws and stock exchanges. At December 31, 2012, we had 100.0 million shares authorized. At December 31, 2012, we had 23.4 million shares of common stock outstanding. The holders of shares of Altisource common stock are entitled to one vote for each share on all matters voted on by shareholders, and the holders of such shares will possess all voting power.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May 2012, our shareholders approved a new stock repurchase program, which replaced the previous stock repurchase program. Under the new plan, we are authorized to purchase up to 3.5 million shares of our common stock in the open market in addition to amounts previously purchased under the prior plan. From authorization of the prior plan in May 2010 through December 31, 2012, we purchased approximately 2.5 million shares of our common stock in the open market at an average price of $37.49 per share. During the year ended December 31, 2012, we purchased 0.3 million shares of common stock at an average price of $63.25 per share. Since no common stock has been repurchased following the new plan was approved, 3.5 million shares of common stock remain available for repurchase under the plan. Luxembourg law limits share repurchases to approximately the balance of Altisource Portfolio Solutions S.A.’s retained earnings less treasury shares. The distribution of Residential and AAMC to our shareholders reduced our retained earnings which will limit our ability to repurchase shares for a period of time. Our debt agreement also contains limits on our ability to repurchase our common stock which will limit the amount we can spend on share repurchases in any year and may prevent repurchases in certain circumstances.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Altisource share-based awards to officers, directors, key employees and to employees of our affiliates. As of December 31, 2012, 2.6 million share-based awards were available for future grant under the Plan. The shares will be issued from authorized and unissued shares of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ectPr>
          <w:pgSz w:w="11900" w:h="16838" w:orient="portrait"/>
          <w:cols w:equalWidth="0" w:num="1">
            <w:col w:w="11420"/>
          </w:cols>
          <w:pgMar w:left="240" w:top="341" w:right="239" w:bottom="4" w:gutter="0" w:footer="0" w:header="0"/>
        </w:sectPr>
      </w:pPr>
    </w:p>
    <w:bookmarkStart w:id="44" w:name="page45"/>
    <w:bookmarkEnd w:id="44"/>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common stock. Expired and forfeited awards are available for re-issuance. Vesting and exercise of share-based awards are generally contingent on continued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issue share-based awards in the form of stock options for certain employees and officers. We recorded share-based compensation expense of $3.7 million, $4.0 million and $3.1 million for the years ended December 31, 2012, 2011 and 2010, respectively. The amount in 2012 includes the reversal of $0.8 million of share-based compensation expense in the first quarter related to the departure of an executive officer in March 2012. The total compensation expense for 2012, 2011 and 2010 includes $2.9 million, $3.0 million and $0.5 million, respectively, related to performance awards that vested in 2012, 2011 and 2010.</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Outstanding share-based compensation primarily consists of stock option grants that are a combination of service-based and market-based options:</w:t>
      </w:r>
    </w:p>
    <w:p>
      <w:pPr>
        <w:spacing w:after="0" w:line="237" w:lineRule="exact"/>
        <w:rPr>
          <w:sz w:val="20"/>
          <w:szCs w:val="20"/>
          <w:color w:val="auto"/>
        </w:rPr>
      </w:pPr>
    </w:p>
    <w:p>
      <w:pPr>
        <w:jc w:val="both"/>
        <w:ind w:left="340" w:right="18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0.9 million service-based awards were outstanding at December 31, 2012.</w:t>
      </w:r>
    </w:p>
    <w:p>
      <w:pPr>
        <w:spacing w:after="0" w:line="181"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so long as it is at least triple the exercise price. The vesting schedule for all market-based awards is 25% upon achievement of the criteria and the remaining 75% in three equal annual installments. A total of 2.2 million market-based awards were outstanding at December 31, 2012.</w:t>
      </w:r>
    </w:p>
    <w:p>
      <w:pPr>
        <w:spacing w:after="0" w:line="18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granted 0.3 million stock options (at a weighted average exercise price of $69.48 per share), 0.2 million stock options (at a weighted average exercise price of $33.15 per share) and 0.9 million stock options (at an exercise price of $23.58 per share) during the years ended December 31, 2012, 2011 and 2010, respectively.</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fair value of the service-based options was determined using the Black-Scholes options pricing model while a lattice (binomial) model was used to determine the fair value of the market-based options using the following weighted average assumptions as of the grant date for the years ended December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Black-Scholes</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Binomial</w:t>
            </w:r>
          </w:p>
        </w:tc>
        <w:tc>
          <w:tcPr>
            <w:tcW w:w="16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Black-</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Binomial</w:t>
            </w:r>
          </w:p>
        </w:tc>
        <w:tc>
          <w:tcPr>
            <w:tcW w:w="16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Black-Scholes</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Binomial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Scholes</w:t>
            </w:r>
          </w:p>
        </w:tc>
        <w:tc>
          <w:tcPr>
            <w:tcW w:w="1360" w:type="dxa"/>
            <w:vAlign w:val="bottom"/>
            <w:gridSpan w:val="2"/>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 (%)</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0.87 – 1.17</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0.08 – 2.04</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1.69 – 1.93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0.04 – 3.03</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1.50 – 3.20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0.02 – 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Expected stock price volatility (%)</w:t>
            </w:r>
          </w:p>
        </w:tc>
        <w:tc>
          <w:tcPr>
            <w:tcW w:w="1660" w:type="dxa"/>
            <w:vAlign w:val="bottom"/>
            <w:gridSpan w:val="3"/>
          </w:tcPr>
          <w:p>
            <w:pPr>
              <w:jc w:val="right"/>
              <w:ind w:right="400"/>
              <w:spacing w:after="0"/>
              <w:rPr>
                <w:sz w:val="20"/>
                <w:szCs w:val="20"/>
                <w:color w:val="auto"/>
              </w:rPr>
            </w:pPr>
            <w:r>
              <w:rPr>
                <w:rFonts w:ascii="Arial" w:cs="Arial" w:eastAsia="Arial" w:hAnsi="Arial"/>
                <w:sz w:val="16"/>
                <w:szCs w:val="16"/>
                <w:color w:val="auto"/>
              </w:rPr>
              <w:t>34.22 – 34.65</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34.20 – 34.60</w:t>
            </w:r>
          </w:p>
        </w:tc>
        <w:tc>
          <w:tcPr>
            <w:tcW w:w="1240" w:type="dxa"/>
            <w:vAlign w:val="bottom"/>
          </w:tcPr>
          <w:p>
            <w:pPr>
              <w:jc w:val="right"/>
              <w:spacing w:after="0"/>
              <w:rPr>
                <w:sz w:val="20"/>
                <w:szCs w:val="20"/>
                <w:color w:val="auto"/>
              </w:rPr>
            </w:pPr>
            <w:r>
              <w:rPr>
                <w:rFonts w:ascii="Arial" w:cs="Arial" w:eastAsia="Arial" w:hAnsi="Arial"/>
                <w:sz w:val="16"/>
                <w:szCs w:val="16"/>
                <w:color w:val="auto"/>
              </w:rPr>
              <w:t>48.00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55.70 – 55.80</w:t>
            </w:r>
          </w:p>
        </w:tc>
        <w:tc>
          <w:tcPr>
            <w:tcW w:w="1600" w:type="dxa"/>
            <w:vAlign w:val="bottom"/>
            <w:gridSpan w:val="3"/>
          </w:tcPr>
          <w:p>
            <w:pPr>
              <w:jc w:val="right"/>
              <w:ind w:right="340"/>
              <w:spacing w:after="0"/>
              <w:rPr>
                <w:sz w:val="20"/>
                <w:szCs w:val="20"/>
                <w:color w:val="auto"/>
              </w:rPr>
            </w:pPr>
            <w:r>
              <w:rPr>
                <w:rFonts w:ascii="Arial" w:cs="Arial" w:eastAsia="Arial" w:hAnsi="Arial"/>
                <w:sz w:val="16"/>
                <w:szCs w:val="16"/>
                <w:color w:val="auto"/>
              </w:rPr>
              <w:t>47.00 – 50.00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51.00 – 52.00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Expected option life (in years)</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6.25</w:t>
            </w:r>
          </w:p>
        </w:tc>
        <w:tc>
          <w:tcPr>
            <w:tcW w:w="18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340"/>
              <w:spacing w:after="0"/>
              <w:rPr>
                <w:sz w:val="20"/>
                <w:szCs w:val="20"/>
                <w:color w:val="auto"/>
              </w:rPr>
            </w:pPr>
            <w:r>
              <w:rPr>
                <w:rFonts w:ascii="Arial" w:cs="Arial" w:eastAsia="Arial" w:hAnsi="Arial"/>
                <w:sz w:val="16"/>
                <w:szCs w:val="16"/>
                <w:color w:val="auto"/>
              </w:rPr>
              <w:t>6.25 – 7.00</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Contractual life (in years)</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Arial" w:cs="Arial" w:eastAsia="Arial" w:hAnsi="Arial"/>
                <w:sz w:val="16"/>
                <w:szCs w:val="16"/>
                <w:color w:val="auto"/>
              </w:rPr>
              <w:t>Fair value</w:t>
            </w:r>
          </w:p>
        </w:tc>
        <w:tc>
          <w:tcPr>
            <w:tcW w:w="1660" w:type="dxa"/>
            <w:vAlign w:val="bottom"/>
            <w:gridSpan w:val="3"/>
          </w:tcPr>
          <w:p>
            <w:pPr>
              <w:jc w:val="right"/>
              <w:ind w:right="400"/>
              <w:spacing w:after="0"/>
              <w:rPr>
                <w:sz w:val="20"/>
                <w:szCs w:val="20"/>
                <w:color w:val="auto"/>
              </w:rPr>
            </w:pPr>
            <w:r>
              <w:rPr>
                <w:rFonts w:ascii="Arial" w:cs="Arial" w:eastAsia="Arial" w:hAnsi="Arial"/>
                <w:sz w:val="16"/>
                <w:szCs w:val="16"/>
                <w:color w:val="auto"/>
              </w:rPr>
              <w:t>$19.25 – $29.80</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$9.98 - $22.76</w:t>
            </w:r>
          </w:p>
        </w:tc>
        <w:tc>
          <w:tcPr>
            <w:tcW w:w="1600" w:type="dxa"/>
            <w:vAlign w:val="bottom"/>
            <w:gridSpan w:val="3"/>
          </w:tcPr>
          <w:p>
            <w:pPr>
              <w:jc w:val="right"/>
              <w:ind w:right="360"/>
              <w:spacing w:after="0"/>
              <w:rPr>
                <w:sz w:val="20"/>
                <w:szCs w:val="20"/>
                <w:color w:val="auto"/>
              </w:rPr>
            </w:pPr>
            <w:r>
              <w:rPr>
                <w:rFonts w:ascii="Arial" w:cs="Arial" w:eastAsia="Arial" w:hAnsi="Arial"/>
                <w:sz w:val="16"/>
                <w:szCs w:val="16"/>
                <w:color w:val="auto"/>
              </w:rPr>
              <w:t>$16.33 – $17.85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$16.91 - $20.39</w:t>
            </w:r>
          </w:p>
        </w:tc>
        <w:tc>
          <w:tcPr>
            <w:tcW w:w="1600" w:type="dxa"/>
            <w:vAlign w:val="bottom"/>
            <w:gridSpan w:val="3"/>
          </w:tcPr>
          <w:p>
            <w:pPr>
              <w:jc w:val="right"/>
              <w:ind w:right="340"/>
              <w:spacing w:after="0"/>
              <w:rPr>
                <w:sz w:val="20"/>
                <w:szCs w:val="20"/>
                <w:color w:val="auto"/>
              </w:rPr>
            </w:pPr>
            <w:r>
              <w:rPr>
                <w:rFonts w:ascii="Arial" w:cs="Arial" w:eastAsia="Arial" w:hAnsi="Arial"/>
                <w:sz w:val="16"/>
                <w:szCs w:val="16"/>
                <w:color w:val="auto"/>
              </w:rPr>
              <w:t>$11.95 – $13.24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$10.05 - $12.42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 for the years ended December 31:</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date of grant</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2240" w:type="dxa"/>
            <w:vAlign w:val="bottom"/>
            <w:gridSpan w:val="2"/>
          </w:tcPr>
          <w:p>
            <w:pPr>
              <w:ind w:left="500"/>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17,598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4,966</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2240" w:type="dxa"/>
            <w:vAlign w:val="bottom"/>
            <w:gridSpan w:val="2"/>
            <w:shd w:val="clear" w:color="auto" w:fill="CCEEFF"/>
          </w:tcPr>
          <w:p>
            <w:pPr>
              <w:ind w:left="500"/>
              <w:spacing w:after="0"/>
              <w:rPr>
                <w:sz w:val="20"/>
                <w:szCs w:val="20"/>
                <w:color w:val="auto"/>
              </w:rPr>
            </w:pPr>
            <w:r>
              <w:rPr>
                <w:rFonts w:ascii="Arial" w:cs="Arial" w:eastAsia="Arial" w:hAnsi="Arial"/>
                <w:sz w:val="18"/>
                <w:szCs w:val="18"/>
                <w:i w:val="1"/>
                <w:iCs w:val="1"/>
                <w:color w:val="auto"/>
              </w:rPr>
              <w:t>(in thousands)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10%.</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2012, estimated unrecognized compensation costs related to share-based payments amounted to $4.7 million which we expect to recognize over a weighted-average remaining requisite service period of approximately 2.48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8"/>
              </w:rPr>
              <w:t>term</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94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3,243,958</w:t>
            </w:r>
          </w:p>
        </w:tc>
        <w:tc>
          <w:tcPr>
            <w:tcW w:w="106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14.19</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56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278,500</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2"/>
            <w:vMerge w:val="restart"/>
          </w:tcPr>
          <w:p>
            <w:pPr>
              <w:jc w:val="right"/>
              <w:ind w:right="280"/>
              <w:spacing w:after="0"/>
              <w:rPr>
                <w:sz w:val="20"/>
                <w:szCs w:val="20"/>
                <w:color w:val="auto"/>
              </w:rPr>
            </w:pPr>
            <w:r>
              <w:rPr>
                <w:rFonts w:ascii="Arial" w:cs="Arial" w:eastAsia="Arial" w:hAnsi="Arial"/>
                <w:sz w:val="18"/>
                <w:szCs w:val="18"/>
                <w:color w:val="auto"/>
                <w:w w:val="88"/>
              </w:rPr>
              <w:t>69.48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5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(285,054)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12.19</w:t>
            </w: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(179,095)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28.35</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3,058,309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17.69</w:t>
            </w:r>
          </w:p>
        </w:tc>
        <w:tc>
          <w:tcPr>
            <w:tcW w:w="10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6.11</w:t>
            </w: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Exercisable at December 31, 2012</w:t>
            </w:r>
          </w:p>
        </w:tc>
        <w:tc>
          <w:tcPr>
            <w:tcW w:w="156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2,235,923</w:t>
            </w:r>
          </w:p>
        </w:tc>
        <w:tc>
          <w:tcPr>
            <w:tcW w:w="1060" w:type="dxa"/>
            <w:vAlign w:val="bottom"/>
            <w:gridSpan w:val="2"/>
            <w:shd w:val="clear" w:color="auto" w:fill="CCEEFF"/>
          </w:tcPr>
          <w:p>
            <w:pPr>
              <w:jc w:val="right"/>
              <w:ind w:right="788"/>
              <w:spacing w:after="0" w:line="205"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w w:val="88"/>
              </w:rPr>
              <w:t>11.59</w:t>
            </w:r>
          </w:p>
        </w:tc>
        <w:tc>
          <w:tcPr>
            <w:tcW w:w="10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w w:val="85"/>
              </w:rPr>
              <w:t>5.52</w:t>
            </w:r>
          </w:p>
        </w:tc>
        <w:tc>
          <w:tcPr>
            <w:tcW w:w="220" w:type="dxa"/>
            <w:vAlign w:val="bottom"/>
            <w:shd w:val="clear" w:color="auto" w:fill="CCEEFF"/>
          </w:tcPr>
          <w:p>
            <w:pPr>
              <w:jc w:val="right"/>
              <w:ind w:right="30"/>
              <w:spacing w:after="0" w:line="205"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167,885</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99770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26035"/>
                    </a:xfrm>
                    <a:prstGeom prst="rect">
                      <a:avLst/>
                    </a:prstGeom>
                    <a:noFill/>
                  </pic:spPr>
                </pic:pic>
              </a:graphicData>
            </a:graphic>
          </wp:anchor>
        </w:drawing>
        <w:t>See Note 3 for information regarding the effect of the Separation of the Residential Asset Businesses on our share-based compensation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Options outstanding</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Options exercisable</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gridSpan w:val="3"/>
            <w:vMerge w:val="continue"/>
          </w:tcPr>
          <w:p>
            <w:pPr>
              <w:spacing w:after="0"/>
              <w:rPr>
                <w:sz w:val="12"/>
                <w:szCs w:val="1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range</w:t>
            </w: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life</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$0.00 – $10.00</w:t>
            </w:r>
            <w:r>
              <w:rPr>
                <w:rFonts w:ascii="Arial" w:cs="Arial" w:eastAsia="Arial" w:hAnsi="Arial"/>
                <w:sz w:val="23"/>
                <w:szCs w:val="23"/>
                <w:color w:val="auto"/>
                <w:vertAlign w:val="superscript"/>
              </w:rPr>
              <w:t>(a)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1,901,386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1"/>
              </w:rPr>
              <w:t>5.43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1,771,805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5"/>
              </w:rPr>
              <w:t>5.42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Arial" w:cs="Arial" w:eastAsia="Arial" w:hAnsi="Arial"/>
                <w:sz w:val="18"/>
                <w:szCs w:val="18"/>
                <w:color w:val="auto"/>
              </w:rPr>
              <w:t>$10.01 – $20.00</w:t>
            </w:r>
            <w:r>
              <w:rPr>
                <w:rFonts w:ascii="Arial" w:cs="Arial" w:eastAsia="Arial" w:hAnsi="Arial"/>
                <w:sz w:val="23"/>
                <w:szCs w:val="23"/>
                <w:color w:val="auto"/>
                <w:vertAlign w:val="superscript"/>
              </w:rPr>
              <w:t>(a)</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187,912</w:t>
            </w:r>
          </w:p>
        </w:tc>
        <w:tc>
          <w:tcPr>
            <w:tcW w:w="130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177,912</w:t>
            </w:r>
          </w:p>
        </w:tc>
        <w:tc>
          <w:tcPr>
            <w:tcW w:w="1280" w:type="dxa"/>
            <w:vAlign w:val="bottom"/>
            <w:gridSpan w:val="2"/>
          </w:tcPr>
          <w:p>
            <w:pPr>
              <w:jc w:val="center"/>
              <w:ind w:left="53"/>
              <w:spacing w:after="0"/>
              <w:rPr>
                <w:sz w:val="20"/>
                <w:szCs w:val="20"/>
                <w:color w:val="auto"/>
              </w:rPr>
            </w:pPr>
            <w:r>
              <w:rPr>
                <w:rFonts w:ascii="Arial" w:cs="Arial" w:eastAsia="Arial" w:hAnsi="Arial"/>
                <w:sz w:val="18"/>
                <w:szCs w:val="18"/>
                <w:color w:val="auto"/>
                <w:w w:val="85"/>
              </w:rPr>
              <w:t>3.37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$20.01 – $30.00</w:t>
            </w:r>
            <w:r>
              <w:rPr>
                <w:rFonts w:ascii="Arial" w:cs="Arial" w:eastAsia="Arial" w:hAnsi="Arial"/>
                <w:sz w:val="23"/>
                <w:szCs w:val="23"/>
                <w:color w:val="auto"/>
                <w:vertAlign w:val="superscript"/>
              </w:rPr>
              <w:t>(a)</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611,561</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1"/>
              </w:rPr>
              <w:t>7.29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247,814</w:t>
            </w:r>
          </w:p>
        </w:tc>
        <w:tc>
          <w:tcPr>
            <w:tcW w:w="12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5"/>
              </w:rPr>
              <w:t>7.28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Arial" w:cs="Arial" w:eastAsia="Arial" w:hAnsi="Arial"/>
                <w:sz w:val="18"/>
                <w:szCs w:val="18"/>
                <w:color w:val="auto"/>
              </w:rPr>
              <w:t>$30.01 – $40.00</w:t>
            </w:r>
            <w:r>
              <w:rPr>
                <w:rFonts w:ascii="Arial" w:cs="Arial" w:eastAsia="Arial" w:hAnsi="Arial"/>
                <w:sz w:val="23"/>
                <w:szCs w:val="23"/>
                <w:color w:val="auto"/>
                <w:vertAlign w:val="superscript"/>
              </w:rPr>
              <w:t>(a)</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108,950</w:t>
            </w:r>
          </w:p>
        </w:tc>
        <w:tc>
          <w:tcPr>
            <w:tcW w:w="130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17,329</w:t>
            </w:r>
          </w:p>
        </w:tc>
        <w:tc>
          <w:tcPr>
            <w:tcW w:w="1280" w:type="dxa"/>
            <w:vAlign w:val="bottom"/>
            <w:gridSpan w:val="2"/>
          </w:tcPr>
          <w:p>
            <w:pPr>
              <w:jc w:val="center"/>
              <w:ind w:left="53"/>
              <w:spacing w:after="0"/>
              <w:rPr>
                <w:sz w:val="20"/>
                <w:szCs w:val="20"/>
                <w:color w:val="auto"/>
              </w:rPr>
            </w:pPr>
            <w:r>
              <w:rPr>
                <w:rFonts w:ascii="Arial" w:cs="Arial" w:eastAsia="Arial" w:hAnsi="Arial"/>
                <w:sz w:val="18"/>
                <w:szCs w:val="18"/>
                <w:color w:val="auto"/>
                <w:w w:val="85"/>
              </w:rPr>
              <w:t>8.53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$50.01 – $60.00</w:t>
            </w:r>
            <w:r>
              <w:rPr>
                <w:rFonts w:ascii="Arial" w:cs="Arial" w:eastAsia="Arial" w:hAnsi="Arial"/>
                <w:sz w:val="23"/>
                <w:szCs w:val="23"/>
                <w:color w:val="auto"/>
                <w:vertAlign w:val="superscript"/>
              </w:rPr>
              <w:t>(a)</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1"/>
              </w:rPr>
              <w:t>9.37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12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5"/>
              </w:rPr>
              <w:t>9.37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line="216" w:lineRule="exact"/>
              <w:rPr>
                <w:sz w:val="20"/>
                <w:szCs w:val="20"/>
                <w:color w:val="auto"/>
              </w:rPr>
            </w:pPr>
            <w:r>
              <w:rPr>
                <w:rFonts w:ascii="Arial" w:cs="Arial" w:eastAsia="Arial" w:hAnsi="Arial"/>
                <w:sz w:val="18"/>
                <w:szCs w:val="18"/>
                <w:color w:val="auto"/>
              </w:rPr>
              <w:t>$60.01 – $70.00</w:t>
            </w:r>
            <w:r>
              <w:rPr>
                <w:rFonts w:ascii="Arial" w:cs="Arial" w:eastAsia="Arial" w:hAnsi="Arial"/>
                <w:sz w:val="23"/>
                <w:szCs w:val="23"/>
                <w:color w:val="auto"/>
                <w:vertAlign w:val="superscript"/>
              </w:rPr>
              <w:t>(a)</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158,500</w:t>
            </w:r>
          </w:p>
        </w:tc>
        <w:tc>
          <w:tcPr>
            <w:tcW w:w="130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9.19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60.66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19,813</w:t>
            </w:r>
          </w:p>
        </w:tc>
        <w:tc>
          <w:tcPr>
            <w:tcW w:w="1280" w:type="dxa"/>
            <w:vAlign w:val="bottom"/>
            <w:gridSpan w:val="2"/>
          </w:tcPr>
          <w:p>
            <w:pPr>
              <w:jc w:val="center"/>
              <w:ind w:left="53"/>
              <w:spacing w:after="0"/>
              <w:rPr>
                <w:sz w:val="20"/>
                <w:szCs w:val="20"/>
                <w:color w:val="auto"/>
              </w:rPr>
            </w:pPr>
            <w:r>
              <w:rPr>
                <w:rFonts w:ascii="Arial" w:cs="Arial" w:eastAsia="Arial" w:hAnsi="Arial"/>
                <w:sz w:val="18"/>
                <w:szCs w:val="18"/>
                <w:color w:val="auto"/>
                <w:w w:val="85"/>
              </w:rPr>
              <w:t>9.19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$80.01 – $90.00</w:t>
            </w:r>
            <w:r>
              <w:rPr>
                <w:rFonts w:ascii="Arial" w:cs="Arial" w:eastAsia="Arial" w:hAnsi="Arial"/>
                <w:sz w:val="23"/>
                <w:szCs w:val="23"/>
                <w:color w:val="auto"/>
                <w:vertAlign w:val="superscript"/>
              </w:rPr>
              <w:t>(a)</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1"/>
              </w:rPr>
              <w:t>9.62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3,058,309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2,235,923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660" w:firstLine="8"/>
        <w:spacing w:after="0" w:line="482" w:lineRule="auto"/>
        <w:tabs>
          <w:tab w:leader="none" w:pos="715"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These options contain market-based components as described above. All other options are time-based awards. The following table summarizes the market prices necessary in order for the market performance options to begin to vest:</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prices)</w:t>
            </w:r>
          </w:p>
        </w:tc>
        <w:tc>
          <w:tcPr>
            <w:tcW w:w="180" w:type="dxa"/>
            <w:vAlign w:val="bottom"/>
          </w:tcPr>
          <w:p>
            <w:pPr>
              <w:spacing w:after="0"/>
              <w:rPr>
                <w:sz w:val="14"/>
                <w:szCs w:val="14"/>
                <w:color w:val="auto"/>
              </w:rPr>
            </w:pPr>
          </w:p>
        </w:tc>
        <w:tc>
          <w:tcPr>
            <w:tcW w:w="29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Market Based Options</w:t>
            </w:r>
          </w:p>
        </w:tc>
        <w:tc>
          <w:tcPr>
            <w:tcW w:w="0" w:type="dxa"/>
            <w:vAlign w:val="bottom"/>
          </w:tcPr>
          <w:p>
            <w:pPr>
              <w:spacing w:after="0"/>
              <w:rPr>
                <w:sz w:val="1"/>
                <w:szCs w:val="1"/>
                <w:color w:val="auto"/>
              </w:rPr>
            </w:pPr>
          </w:p>
        </w:tc>
      </w:tr>
      <w:tr>
        <w:trPr>
          <w:trHeight w:val="119"/>
        </w:trPr>
        <w:tc>
          <w:tcPr>
            <w:tcW w:w="6020" w:type="dxa"/>
            <w:vAlign w:val="bottom"/>
            <w:gridSpan w:val="3"/>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Ordinary</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Extraordinary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Vesting price</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performance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$150.00 – $160.00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$160.01 – $170.00</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$180.01 – $190.00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Over $190.01</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 in AAMC</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Prior to the separation of AAMC, certain Altisource employees were granted 0.1 million restricted AAMC shares. The restricted shares will vest in three tranches, subject to the achievement of the following performance hurdles:</w:t>
      </w:r>
    </w:p>
    <w:p>
      <w:pPr>
        <w:spacing w:after="0" w:line="170" w:lineRule="exact"/>
        <w:rPr>
          <w:sz w:val="20"/>
          <w:szCs w:val="20"/>
          <w:color w:val="auto"/>
        </w:rPr>
      </w:pPr>
    </w:p>
    <w:p>
      <w:pPr>
        <w:ind w:left="660" w:hanging="328"/>
        <w:spacing w:after="0" w:line="259"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Twenty-five percent (25%) of the grant will vest in accordance with the vesting schedule set forth below if the market value of AAMC common stock meets all three of the following conditions: (i) the market value is at least equal to $250 million; (ii) the market value has realized a compounded annual gain of at least twenty percent (20%) over the market value on the date of the grant; and (iii) the market value is at least double the market value on the date of the grant;</w:t>
      </w:r>
    </w:p>
    <w:p>
      <w:pPr>
        <w:spacing w:after="0" w:line="186" w:lineRule="exact"/>
        <w:rPr>
          <w:rFonts w:ascii="Arial" w:cs="Arial" w:eastAsia="Arial" w:hAnsi="Arial"/>
          <w:sz w:val="18"/>
          <w:szCs w:val="18"/>
          <w:color w:val="auto"/>
        </w:rPr>
      </w:pPr>
    </w:p>
    <w:p>
      <w:pPr>
        <w:ind w:left="660" w:right="60" w:hanging="328"/>
        <w:spacing w:after="0" w:line="264"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Fifty percent (50%) of the grant will vest in accordance with the vesting schedule set forth below if the market value of AAMC common stock meets all three of the following conditions: (i) the market value is at least equal to $500 million; (ii) the market value has realized a compounded annual gain of at least twentytwo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and a half percent (22.5%) over the market value on the date of the grant; and (iii) the market value is at least triple the market value on the date of the grant and</w:t>
      </w:r>
    </w:p>
    <w:p>
      <w:pPr>
        <w:spacing w:after="0" w:line="170" w:lineRule="exact"/>
        <w:rPr>
          <w:sz w:val="20"/>
          <w:szCs w:val="20"/>
          <w:color w:val="auto"/>
        </w:rPr>
      </w:pPr>
    </w:p>
    <w:p>
      <w:pPr>
        <w:ind w:left="660" w:hanging="328"/>
        <w:spacing w:after="0" w:line="259"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Twenty-five percent (25%) of the grant will vest in accordance with the vesting schedule set forth below if the market value of AAMC common stock meets all three of the following conditions: (i) the market value is at least equal to $750 million; (ii) the market value has realized a compounded annual gain of at least twenty-five percent (25%) over the market value on the date of the grant; and (iii) the market value is at least quadruple the market value on the date of the grant.</w:t>
      </w:r>
    </w:p>
    <w:p>
      <w:pPr>
        <w:sectPr>
          <w:pgSz w:w="11900" w:h="16838" w:orient="portrait"/>
          <w:cols w:equalWidth="0" w:num="1">
            <w:col w:w="11420"/>
          </w:cols>
          <w:pgMar w:left="240" w:top="382" w:right="239" w:bottom="129" w:gutter="0" w:footer="0" w:header="0"/>
        </w:sectPr>
      </w:pPr>
    </w:p>
    <w:bookmarkStart w:id="46" w:name="page47"/>
    <w:bookmarkEnd w:id="46"/>
    <w:p>
      <w:pPr>
        <w:ind w:right="120"/>
        <w:spacing w:after="0" w:line="277" w:lineRule="auto"/>
        <w:rPr>
          <w:sz w:val="20"/>
          <w:szCs w:val="20"/>
          <w:color w:val="auto"/>
        </w:rPr>
      </w:pPr>
      <w:r>
        <w:rPr>
          <w:rFonts w:ascii="Arial" w:cs="Arial" w:eastAsia="Arial" w:hAnsi="Arial"/>
          <w:sz w:val="18"/>
          <w:szCs w:val="18"/>
          <w:color w:val="auto"/>
        </w:rPr>
        <w:t>After the performance hurdles for a tranche have been achieved, 25% of the restricted shares in that tranche will vest on each of the first four anniversaries of the date that the performance hurdles for that tranche were met.</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an award recipient’s service with Altisource is terminated prior to full vesting of the restricted shares, then the award recipient will forfeit all unvested restricted shares except that if (i) an award recipient’s service is terminated without cause or due to death or disability and (ii) the performance hurdles for a tranche have already been achieved or are achieved within 90 days of termination, unvested stock for the corresponding tranche will continue to vest according to the above vesting schedule.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these restricted shares for the year ended December 31, 2012 was immaterial.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COST OF REVENUE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years ended December 31: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113,145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82,548</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62,791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123,338</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86,201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60,583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96,147</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47,449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23,404</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18,772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12,548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366,201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SELLING, GENERAL AND ADMINISTRATIVE EXPENSES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Selling, general and administrative expenses include payroll for personnel employed in executive, sales, marketing, human resources and finance roles. This category also includes occupancy costs, professional fees and depreciation and amortization on non-operating assets. The components of selling, general and administrative expenses were as follows for the years ended December 31:</w:t>
      </w:r>
    </w:p>
    <w:p>
      <w:pPr>
        <w:spacing w:after="0" w:line="20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21,166</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22,327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19,116</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9,864</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6,658</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24,041</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17,824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10,684</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5,030</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5,291</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2,816</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2,609</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2,097</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12,002</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10,349</w:t>
            </w:r>
          </w:p>
        </w:tc>
        <w:tc>
          <w:tcPr>
            <w:tcW w:w="100" w:type="dxa"/>
            <w:vAlign w:val="bottom"/>
            <w:shd w:val="clear" w:color="auto" w:fill="CCEEFF"/>
          </w:tcPr>
          <w:p>
            <w:pPr>
              <w:spacing w:after="0"/>
              <w:rPr>
                <w:sz w:val="18"/>
                <w:szCs w:val="18"/>
                <w:color w:val="auto"/>
              </w:rPr>
            </w:pPr>
          </w:p>
        </w:tc>
      </w:tr>
      <w:tr>
        <w:trPr>
          <w:trHeight w:val="210"/>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74,712</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62,131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(EXPENSE)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consists of the following for the years ended December 31:</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210"/>
        </w:trPr>
        <w:tc>
          <w:tcPr>
            <w:tcW w:w="5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and impairment loss on investment in affiliate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r>
      <w:tr>
        <w:trPr>
          <w:trHeight w:val="210"/>
        </w:trPr>
        <w:tc>
          <w:tcPr>
            <w:tcW w:w="5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288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923</w:t>
            </w:r>
          </w:p>
        </w:tc>
        <w:tc>
          <w:tcPr>
            <w:tcW w:w="80" w:type="dxa"/>
            <w:vAlign w:val="bottom"/>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Equity loss in affiliate represents our proportionate share of the losses in Correspondent One and impairment loss on the investment (see Note 10).</w:t>
      </w:r>
    </w:p>
    <w:p>
      <w:pPr>
        <w:spacing w:after="0" w:line="237" w:lineRule="exact"/>
        <w:rPr>
          <w:sz w:val="20"/>
          <w:szCs w:val="20"/>
          <w:color w:val="auto"/>
        </w:rPr>
      </w:pPr>
    </w:p>
    <w:p>
      <w:pPr>
        <w:jc w:val="both"/>
        <w:ind w:right="420"/>
        <w:spacing w:after="0" w:line="277" w:lineRule="auto"/>
        <w:rPr>
          <w:sz w:val="20"/>
          <w:szCs w:val="20"/>
          <w:color w:val="auto"/>
        </w:rPr>
      </w:pPr>
      <w:r>
        <w:rPr>
          <w:rFonts w:ascii="Arial" w:cs="Arial" w:eastAsia="Arial" w:hAnsi="Arial"/>
          <w:sz w:val="18"/>
          <w:szCs w:val="18"/>
          <w:color w:val="auto"/>
        </w:rPr>
        <w:t>The change in fair value of put option relates to three put option agreements we entered into with certain of the sellers of MPA. The put option expired in December 2011 (see Note 5).</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ectPr>
          <w:pgSz w:w="11900" w:h="16838" w:orient="portrait"/>
          <w:cols w:equalWidth="0" w:num="1">
            <w:col w:w="11460"/>
          </w:cols>
          <w:pgMar w:left="240" w:top="125" w:right="199" w:bottom="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18.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consists of the following for the years ended December 31:</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(1,031)</w:t>
            </w: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Foreign - Non U.S.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2,552</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2,891</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1,186</w:t>
            </w:r>
          </w:p>
        </w:tc>
      </w:tr>
      <w:tr>
        <w:trPr>
          <w:trHeight w:val="210"/>
        </w:trPr>
        <w:tc>
          <w:tcPr>
            <w:tcW w:w="5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 U.S. Federal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3,216</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 Non U.S.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0"/>
        </w:trPr>
        <w:tc>
          <w:tcPr>
            <w:tcW w:w="57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18"/>
                <w:szCs w:val="18"/>
                <w:color w:val="auto"/>
              </w:rPr>
            </w:pPr>
          </w:p>
        </w:tc>
      </w:tr>
      <w:tr>
        <w:trPr>
          <w:trHeight w:val="223"/>
        </w:trPr>
        <w:tc>
          <w:tcPr>
            <w:tcW w:w="6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received a favorable ruling in June 2010 regarding the treatment of certain intangibles that exist for purposes of determining the Company’s taxable income. The ruling was retroactive to the date of Separation from Ocwen and expires December 31, 2018. As a result of the ruling, the Company recognized a $3.4 million credit attributable to 2009 in the second quarter of 2010. The impact of this is included above as a component of the current Luxembourg tax benefit. This ruling did not have a material impact on our deferred tax assets or liabilities. Income tax computed by applying the Luxembourg statutory income tax rate of 28.8% differs from income tax computed at the effective tax rate primarily because of the effect of the favorable tax ruling, differing tax rates in multiple jurisdictions, changes in valuation allowance and minority interest.</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operate under tax holidays in India, which are effective through 2020, and may be extended if certain additional requirements are satisfied. The tax holidays are conditional upon our meeting certain employment and investment thresholds. The impact of these tax holidays decreased foreign taxes by $1.4 million, $0.7 million, and $0.5 million in 2012, 2011, and 2010, respectively.</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Allowance for doubtful accounts and other reserves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 deferred tax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0"/>
        </w:trPr>
        <w:tc>
          <w:tcPr>
            <w:tcW w:w="6460" w:type="dxa"/>
            <w:vAlign w:val="bottom"/>
            <w:gridSpan w:val="2"/>
          </w:tcPr>
          <w:p>
            <w:pPr>
              <w:spacing w:after="0"/>
              <w:rPr>
                <w:sz w:val="20"/>
                <w:szCs w:val="20"/>
                <w:color w:val="auto"/>
              </w:rPr>
            </w:pPr>
            <w:r>
              <w:rPr>
                <w:rFonts w:ascii="Arial" w:cs="Arial" w:eastAsia="Arial" w:hAnsi="Arial"/>
                <w:sz w:val="18"/>
                <w:szCs w:val="18"/>
                <w:color w:val="auto"/>
              </w:rPr>
              <w:t>Current deferred tax asset, net:</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carryforwards</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Non-U.S. deferred tax asset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(6,869)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50"/>
        </w:trPr>
        <w:tc>
          <w:tcPr>
            <w:tcW w:w="6460" w:type="dxa"/>
            <w:vAlign w:val="bottom"/>
            <w:gridSpan w:val="2"/>
          </w:tcPr>
          <w:p>
            <w:pPr>
              <w:spacing w:after="0"/>
              <w:rPr>
                <w:sz w:val="20"/>
                <w:szCs w:val="20"/>
                <w:color w:val="auto"/>
              </w:rPr>
            </w:pPr>
            <w:r>
              <w:rPr>
                <w:rFonts w:ascii="Arial" w:cs="Arial" w:eastAsia="Arial" w:hAnsi="Arial"/>
                <w:sz w:val="18"/>
                <w:szCs w:val="18"/>
                <w:color w:val="auto"/>
              </w:rPr>
              <w:t>Non-current deferred tax asset, net</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5,848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valuation allowance is provided when it is deemed more-likely-than-not that some portion or all of a deferred tax asset will not be realized. In determining whether a valuation allowance is needed, we considered estimates of future taxable income, future reversals of temporary differences, the tax character of gains and losses, and the impact of tax planning strategies that can be implemented, if warranted. The increase in valuation allowance during 2012 relates to state and foreign losses generated in the current and prior years.</w:t>
      </w:r>
    </w:p>
    <w:p>
      <w:pPr>
        <w:sectPr>
          <w:pgSz w:w="11900" w:h="16838" w:orient="portrait"/>
          <w:cols w:equalWidth="0" w:num="1">
            <w:col w:w="11340"/>
          </w:cols>
          <w:pgMar w:left="240" w:top="337" w:right="319" w:bottom="34" w:gutter="0" w:footer="0" w:header="0"/>
        </w:sectPr>
      </w:pPr>
    </w:p>
    <w:bookmarkStart w:id="48" w:name="page49"/>
    <w:bookmarkEnd w:id="48"/>
    <w:p>
      <w:pPr>
        <w:spacing w:after="0" w:line="87"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We have not provided Luxembourg deferred taxes on cumulative earnings of non-Luxembourg affiliates as these earnings have been indefinitely reinvested. The earnings relate to ongoing operations and at December 31, 2012, were $27.6 million.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2012, the Company had a deferred tax asset of $14.3 million relating to United States Federal, state and foreign net operating losses. Of this amount, $1.5 million relating to state, and $0.9 million relating to Luxembourg net operating losses were subject to valuation allowances. The gross amount of net operating losses available for carryover to future years approximates $36.1 million. Of this amount, $14.7 million relates to NCI for periods prior to our acquisition and is subject to Section 382 of the Internal Revenue Code (the “Code”) which limits their use to approximately $1.3 million per year. These losses are scheduled to expire between the years 2022 and 2029.</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Distribution of the Company during 2009 was intended to be a tax-free transaction under Section 355 of the Code. However, Ocwen recognized, and paid tax on, substantially all of the gain it has in the assets that comprise Altisource as a result of the restructuring. To the extent Ocwen does recognize tax under Section 355 of the Code, Altisource has agreed to indemnify Ocwen. In addition, we have agreed to indemnify Ocwen should the expected</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tax treatments not be upheld upon review or audit to the extent related to our operating results. The Company does not anticipate a material obligation under this indemnity.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income tax provision (benefit) to the Luxembourg statutory income tax rate for the years ended December 31:</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r>
      <w:tr>
        <w:trPr>
          <w:trHeight w:val="210"/>
        </w:trPr>
        <w:tc>
          <w:tcPr>
            <w:tcW w:w="5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28.80%</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28.80%</w:t>
            </w:r>
          </w:p>
        </w:tc>
        <w:tc>
          <w:tcPr>
            <w:tcW w:w="1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28.60%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(23.30)</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(20.03)</w:t>
            </w:r>
          </w:p>
        </w:tc>
        <w:tc>
          <w:tcPr>
            <w:tcW w:w="1700" w:type="dxa"/>
            <w:vAlign w:val="bottom"/>
            <w:gridSpan w:val="2"/>
          </w:tcPr>
          <w:p>
            <w:pPr>
              <w:jc w:val="right"/>
              <w:ind w:right="190"/>
              <w:spacing w:after="0"/>
              <w:rPr>
                <w:sz w:val="20"/>
                <w:szCs w:val="20"/>
                <w:color w:val="auto"/>
              </w:rPr>
            </w:pPr>
            <w:r>
              <w:rPr>
                <w:rFonts w:ascii="Arial" w:cs="Arial" w:eastAsia="Arial" w:hAnsi="Arial"/>
                <w:sz w:val="18"/>
                <w:szCs w:val="18"/>
                <w:color w:val="auto"/>
              </w:rPr>
              <w:t>(23.71)</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Tax adjustment for retroactive ruling</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(6.13)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0.16</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50"/>
              <w:spacing w:after="0"/>
              <w:rPr>
                <w:sz w:val="20"/>
                <w:szCs w:val="20"/>
                <w:color w:val="auto"/>
              </w:rPr>
            </w:pPr>
            <w:r>
              <w:rPr>
                <w:rFonts w:ascii="Arial" w:cs="Arial" w:eastAsia="Arial" w:hAnsi="Arial"/>
                <w:sz w:val="18"/>
                <w:szCs w:val="18"/>
                <w:color w:val="auto"/>
              </w:rPr>
              <w:t>0.44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0.17</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0.06</w:t>
            </w:r>
          </w:p>
        </w:tc>
        <w:tc>
          <w:tcPr>
            <w:tcW w:w="17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0.26</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1.18</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0.42</w:t>
            </w:r>
          </w:p>
        </w:tc>
        <w:tc>
          <w:tcPr>
            <w:tcW w:w="1700" w:type="dxa"/>
            <w:vAlign w:val="bottom"/>
            <w:gridSpan w:val="2"/>
          </w:tcPr>
          <w:p>
            <w:pPr>
              <w:jc w:val="right"/>
              <w:ind w:right="190"/>
              <w:spacing w:after="0"/>
              <w:rPr>
                <w:sz w:val="20"/>
                <w:szCs w:val="20"/>
                <w:color w:val="auto"/>
              </w:rPr>
            </w:pPr>
            <w:r>
              <w:rPr>
                <w:rFonts w:ascii="Arial" w:cs="Arial" w:eastAsia="Arial" w:hAnsi="Arial"/>
                <w:sz w:val="18"/>
                <w:szCs w:val="18"/>
                <w:color w:val="auto"/>
              </w:rPr>
              <w:t>(0.18)</w:t>
            </w:r>
          </w:p>
        </w:tc>
      </w:tr>
      <w:tr>
        <w:trPr>
          <w:trHeight w:val="223"/>
        </w:trPr>
        <w:tc>
          <w:tcPr>
            <w:tcW w:w="58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w:t>
            </w:r>
          </w:p>
        </w:tc>
      </w:tr>
      <w:tr>
        <w:trPr>
          <w:trHeight w:val="20"/>
        </w:trPr>
        <w:tc>
          <w:tcPr>
            <w:tcW w:w="5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Based on this review, no reserves for uncertain income tax positions were required to have been recorded pursuant to ASC Topic 740.</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recognize accrued interest and penalties related to uncertain tax positions in selling, general and administrative expenses in the consolidated statements of operations. As of December 31, 2012 and 2011, we did not have a liability recorded for payment of interest and penalties associated with uncertain tax positions.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Basic EPS is computed by dividing income available to common stockholders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dilutive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7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110,627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71,112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24,373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1,604</w:t>
            </w: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1,312</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Weighted-average common shares outstanding, diluted</w:t>
            </w: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24,962</w:t>
            </w:r>
          </w:p>
        </w:tc>
        <w:tc>
          <w:tcPr>
            <w:tcW w:w="320" w:type="dxa"/>
            <w:vAlign w:val="bottom"/>
          </w:tcPr>
          <w:p>
            <w:pPr>
              <w:spacing w:after="0"/>
              <w:rPr>
                <w:sz w:val="22"/>
                <w:szCs w:val="22"/>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25,685</w:t>
            </w:r>
          </w:p>
        </w:tc>
        <w:tc>
          <w:tcPr>
            <w:tcW w:w="3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26,259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72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3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 immaterial amount of options that were anti-dilutive have been excluded from the computation of diluted EPS for the year ended December 31, 2012 (0.1 million for 2011 and 2010). These options were anti-dilutive because their exercise price was greater than the average market price of our stock. Also excluded from the computation of diluted EPS are 0.3 million, 0.3 million and 0.7 million options for the years ended December 31, 2012, 2011 and 2010,</w:t>
      </w:r>
    </w:p>
    <w:p>
      <w:pPr>
        <w:sectPr>
          <w:pgSz w:w="11900" w:h="16925" w:orient="portrait"/>
          <w:cols w:equalWidth="0" w:num="1">
            <w:col w:w="11460"/>
          </w:cols>
          <w:pgMar w:left="240" w:top="125" w:right="199" w:bottom="0" w:gutter="0" w:footer="0" w:header="0"/>
        </w:sectPr>
      </w:pPr>
    </w:p>
    <w:bookmarkStart w:id="49" w:name="page50"/>
    <w:bookmarkEnd w:id="49"/>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respectively, granted for shares that are issuable upon the achievement of certain market and performance criteria related to our common stock price and an annualized rate of return to investors that have not been met at this point.</w:t>
      </w:r>
    </w:p>
    <w:p>
      <w:pPr>
        <w:spacing w:after="0" w:line="166" w:lineRule="exact"/>
        <w:rPr>
          <w:sz w:val="20"/>
          <w:szCs w:val="20"/>
          <w:color w:val="auto"/>
        </w:rPr>
      </w:pPr>
    </w:p>
    <w:p>
      <w:pPr>
        <w:ind w:right="7640" w:firstLine="8"/>
        <w:spacing w:after="0" w:line="503" w:lineRule="auto"/>
        <w:tabs>
          <w:tab w:leader="none" w:pos="31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certain premises and equipment under various capital and operating lease agreements. Future minimum lease payments at December 31, 2012 under non-cancelable capital and operating leases with an original term exceeding one year are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Capital Lease</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Obligations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Total operating lease expense, net of sublease income, was $10.9 million, $10.8 million and $7.8 million for the years ended December 31, 2012, 2011, and 2010, respectively. The operating leases generally relate to office locations and reflect customary lease terms which range from 1 to 7 years in duration.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hold customers’ assets in escrow at various financial institutions pending completion of certain real estate activities. These amounts are held in escrow for limited periods of time, generally consisting of a few days and are not included in the consolidated balance sheets. Amounts held in escrow were $47.2 and $17.7 million as of December 31, 2012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REPORTING</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that we use to evaluate operating performance and to assess the allocation of our resources by our Chief Executive Officer.</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We conduct our operations through three reportable segments. The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segment provides services that span the mortgage and real estate lifecycle and are typically outsourced by loan servicers, originators and investors in single family homes. The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segment provides collection and customer relationship management services primarily to debt originators and servicers (e.g., credit card, auto lending, retail credit, mortgages) and the utility and insurance industries. The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segment principally consists of our REALSuite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applications as well as our information technology (“IT”) infrastructure services. The REALSuite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platform provides a fully integrated set of software applications and technologies that manage the end-to-end lifecycle for residential and commercial mortgage loan servicing including the automated management and payment of a distributed network of vendors. In addition, our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segment includes eliminations of transactions between the reporting segments and costs related to corporate support functions including executive, finance, legal, human resources, vendor management, risk and six sigma.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 2012</w:t>
            </w: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Mortgage</w:t>
            </w:r>
          </w:p>
        </w:tc>
        <w:tc>
          <w:tcPr>
            <w:tcW w:w="220" w:type="dxa"/>
            <w:vAlign w:val="bottom"/>
          </w:tcPr>
          <w:p>
            <w:pPr>
              <w:spacing w:after="0"/>
              <w:rPr>
                <w:sz w:val="10"/>
                <w:szCs w:val="10"/>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Technology</w:t>
            </w:r>
          </w:p>
        </w:tc>
        <w:tc>
          <w:tcPr>
            <w:tcW w:w="22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Corporate</w:t>
            </w:r>
          </w:p>
        </w:tc>
        <w:tc>
          <w:tcPr>
            <w:tcW w:w="160" w:type="dxa"/>
            <w:vAlign w:val="bottom"/>
          </w:tcPr>
          <w:p>
            <w:pPr>
              <w:spacing w:after="0"/>
              <w:rPr>
                <w:sz w:val="10"/>
                <w:szCs w:val="10"/>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452,796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74,189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285,586</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46,737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54,634</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(20,756)</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366,201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25,099</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13,415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8,888</w:t>
            </w: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27,310</w:t>
            </w: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142,111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(1,713)</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0" w:name="page51"/>
    <w:bookmarkEnd w:id="50"/>
    <w:p>
      <w:pPr>
        <w:ind w:left="180" w:right="140" w:hanging="179"/>
        <w:spacing w:after="0" w:line="258" w:lineRule="auto"/>
        <w:rPr>
          <w:sz w:val="20"/>
          <w:szCs w:val="20"/>
          <w:color w:val="auto"/>
        </w:rPr>
      </w:pPr>
      <w:r>
        <w:rPr>
          <w:rFonts w:ascii="Arial" w:cs="Arial" w:eastAsia="Arial" w:hAnsi="Arial"/>
          <w:sz w:val="18"/>
          <w:szCs w:val="18"/>
          <w:color w:val="auto"/>
        </w:rPr>
        <w:t>Income before income taxes and non-controlling</w:t>
      </w:r>
      <w:r>
        <w:rPr>
          <w:sz w:val="20"/>
          <w:szCs w:val="20"/>
          <w:color w:val="auto"/>
        </w:rPr>
        <w:t xml:space="preserve"> </w:t>
      </w:r>
      <w:r>
        <w:rPr>
          <w:rFonts w:ascii="Arial" w:cs="Arial" w:eastAsia="Arial" w:hAnsi="Arial"/>
          <w:sz w:val="18"/>
          <w:szCs w:val="18"/>
          <w:color w:val="auto"/>
        </w:rPr>
        <w:t>$ 140,398 $ 4,343 $ 10,642 $ (30,734) $ 124,649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1"/>
              </w:rPr>
              <w:t>For the year ended December 31, 2011</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311,921</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202,035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51,096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36,874</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(14,156)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15,634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4,867</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26,352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187,133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117,691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28,909</w:t>
            </w: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13,718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20,739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4,985</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17,910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December 31, 2012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132,924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37,782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64,570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193,950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429,226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December 31, 2011</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112,780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41,276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32,279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37,824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224,159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QUARTERLY FINANCIAL DATA (UNAUDITED)</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2012 and 2011.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Unaudited quarterly results are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2012 quarter ended</w:t>
            </w:r>
            <w:r>
              <w:rPr>
                <w:rFonts w:ascii="Arial" w:cs="Arial" w:eastAsia="Arial" w:hAnsi="Arial"/>
                <w:sz w:val="8"/>
                <w:szCs w:val="8"/>
                <w:b w:val="1"/>
                <w:bCs w:val="1"/>
                <w:color w:val="auto"/>
              </w:rPr>
              <w:t>(1)</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2"/>
                <w:szCs w:val="12"/>
                <w:color w:val="auto"/>
              </w:rPr>
            </w:pPr>
          </w:p>
        </w:tc>
        <w:tc>
          <w:tcPr>
            <w:tcW w:w="13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1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53,685</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49,701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51,467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47,306</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31,599</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30,982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32,128</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31,354</w:t>
            </w: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28,084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29,352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27,121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30,293</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28,081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23,389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23,338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23,316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25,162</w:t>
            </w:r>
          </w:p>
        </w:tc>
        <w:tc>
          <w:tcPr>
            <w:tcW w:w="1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25,016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24,846</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24,844</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51" w:name="page52"/>
    <w:bookmarkEnd w:id="51"/>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2011 quarter ended</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2"/>
                <w:szCs w:val="12"/>
                <w:color w:val="auto"/>
              </w:rPr>
            </w:pPr>
          </w:p>
        </w:tc>
        <w:tc>
          <w:tcPr>
            <w:tcW w:w="13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12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131,956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109,793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47,492</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36,454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30,171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33,721</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30,757</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16,537</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28,191</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18,962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14,690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16,124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25,731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23,692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24,341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24,845</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25,142</w:t>
            </w:r>
          </w:p>
        </w:tc>
        <w:tc>
          <w:tcPr>
            <w:tcW w:w="1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25,489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25,773</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20" w:hanging="328"/>
        <w:spacing w:after="0" w:line="277" w:lineRule="auto"/>
        <w:tabs>
          <w:tab w:leader="none" w:pos="657" w:val="left"/>
        </w:tabs>
        <w:numPr>
          <w:ilvl w:val="0"/>
          <w:numId w:val="33"/>
        </w:numPr>
        <w:rPr>
          <w:rFonts w:ascii="Arial" w:cs="Arial" w:eastAsia="Arial" w:hAnsi="Arial"/>
          <w:sz w:val="9"/>
          <w:szCs w:val="9"/>
          <w:b w:val="1"/>
          <w:bCs w:val="1"/>
          <w:color w:val="auto"/>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weighted-average shares outstanding for each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Fee Based Business from Ocwen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January 31, 2013, we entered into letters of intent with Ocwen to acquire for a combined purchase price of $218.6 million certain fee-based businesses associated with Ocwen’s acquisition of Homeward Residential and the anticipated acquisition of the ResCap servicing portfolio. In connection with the intended acquisitions, the term of certain services agreements between Altisource and Ocwen (see Note 4) will be extended from 2020 to 2025. Additionally, Ocwen will not develop similar fee-based businesses that would directly or indirectly compete with the services provided by Altisource to the Homeward Residential and ResCap servicing portfolios. Consummation of the transactions is subject to customary contingencies including various third party and regulatory consents and approvals.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carried out an evaluation required by the 1934 Act, under the supervision and with the participation of our principal executive officer and principal financial officer, of the effectiveness of the design and operation of our disclosure controls and procedures, as defined in Rule 13a-15(e) of the 1934 Act, as of December 31, 2012. Based on this evaluation, our principal executive officer and principal financial officer concluded that, as of December 31, 2012, our disclosure controls and procedures were effective to provide reasonable assurance that information required to be disclosed by us in the reports that we file or submit under the 1934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2012 based on criteria established in Internal Control—Integrated Framework issued by the Committee of Sponsoring Organizations of the Treadway Commission. As a result of this assessment, management concluded that, as of December 31, 2012, our internal control over financial reporting was effective in providing reasonable assurance regarding the reliability of financial reporting and the preparation of financial statements for external purposes in accordance with generally accepted accounting principles. Deloitte &amp; Touche LLP has independently assessed the effectiveness of our internal control over financial reporting and its report is included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2012 that materially affected, or are reasonably likely to materially affect, our internal control over financial reporting.</w:t>
      </w:r>
    </w:p>
    <w:p>
      <w:pPr>
        <w:sectPr>
          <w:pgSz w:w="11900" w:h="16838" w:orient="portrait"/>
          <w:cols w:equalWidth="0" w:num="1">
            <w:col w:w="11400"/>
          </w:cols>
          <w:pgMar w:left="240" w:top="93" w:right="259" w:bottom="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Limitations on Controls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2012 proxy statement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2012 proxy statement to be filed pursuant to Regulation 14A under the Exchange Act.</w:t>
      </w:r>
    </w:p>
    <w:p>
      <w:pPr>
        <w:spacing w:after="0" w:line="166" w:lineRule="exact"/>
        <w:rPr>
          <w:sz w:val="20"/>
          <w:szCs w:val="20"/>
          <w:color w:val="auto"/>
        </w:rPr>
      </w:pPr>
    </w:p>
    <w:p>
      <w:pPr>
        <w:ind w:left="900" w:right="620" w:hanging="89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2012 proxy statement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2012 proxy statement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2012 proxy statement to be filed pursuant to Regulation 14A under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1160" w:hanging="115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sz w:val="20"/>
          <w:szCs w:val="20"/>
          <w:color w:val="auto"/>
        </w:rPr>
      </w:pPr>
    </w:p>
    <w:p>
      <w:pPr>
        <w:ind w:left="1160" w:right="8740" w:hanging="1152"/>
        <w:spacing w:after="0" w:line="563"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160" w:hanging="115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rFonts w:ascii="Arial" w:cs="Arial" w:eastAsia="Arial" w:hAnsi="Arial"/>
          <w:sz w:val="18"/>
          <w:szCs w:val="18"/>
          <w:color w:val="auto"/>
        </w:rPr>
      </w:pPr>
    </w:p>
    <w:p>
      <w:pPr>
        <w:ind w:left="1160" w:right="200"/>
        <w:spacing w:after="0" w:line="277" w:lineRule="auto"/>
        <w:rPr>
          <w:rFonts w:ascii="Arial" w:cs="Arial" w:eastAsia="Arial" w:hAnsi="Arial"/>
          <w:sz w:val="18"/>
          <w:szCs w:val="18"/>
          <w:color w:val="auto"/>
        </w:rPr>
      </w:pPr>
      <w:r>
        <w:rPr>
          <w:rFonts w:ascii="Arial" w:cs="Arial" w:eastAsia="Arial" w:hAnsi="Arial"/>
          <w:sz w:val="18"/>
          <w:szCs w:val="18"/>
          <w:color w:val="auto"/>
        </w:rPr>
        <w:t>Schedules for which provision is made in the applicable accounting regulations of the SEC are not required under the related instructions or are not applicable, and therefore have been omitted.</w:t>
      </w:r>
    </w:p>
    <w:p>
      <w:pPr>
        <w:spacing w:after="0" w:line="170" w:lineRule="exact"/>
        <w:rPr>
          <w:rFonts w:ascii="Arial" w:cs="Arial" w:eastAsia="Arial" w:hAnsi="Arial"/>
          <w:sz w:val="18"/>
          <w:szCs w:val="18"/>
          <w:color w:val="auto"/>
        </w:rPr>
      </w:pPr>
    </w:p>
    <w:p>
      <w:pPr>
        <w:ind w:left="1160" w:hanging="1152"/>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Form of Separation Agreement between Altisource Portfolio Solutions S.A. and Ocwen Financial Corporation (incorporated by reference to</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2.1 of the Registrant’s Form 10-12B/A — Amendment No. 1 to Form 10, as filed with the Commission on June 29, 2009)</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Separation Agreement, dated as of December 21, 2012, between Altisource Residential Corporation and Altisource Portfolio Solutions S.A.</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2.1 to the Company’s Form 8-K filed on December 21, 2012)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3" w:name="page54"/>
    <w:bookmarkEnd w:id="5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2.3</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7"/>
              </w:rPr>
              <w:t>Separation Agreement, dated as of December 21, 2012, between Altisource Asset Management Corporation and Altisource Portfolio</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Solutions S.A. (incorporated by reference to Exhibit 2.2 to the Company’s Form 8-K filed on December 21,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Articles of Incorporation of Altisource Portfolio Solutions S.A. (incorporated by reference to Exhibit 2.1 of the Registrant’s Form 10-12B/A</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 Amendment No. 1 to Form 10, as filed with the Commission on June 29,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3"/>
              </w:rPr>
              <w:t>Separation Agreement, dated as of August 10, 2009, by and between Altisource Portfolio Solutions S.A. and Ocwen Financial Corporation</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2"/>
              </w:rPr>
              <w:t>(incorporated by reference to Exhibit 10.1 of the Registrant’s Current Report on Form 8-K, as filed with the Commission on August 13,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1"/>
              </w:rPr>
              <w:t>Tax Matters Agreement, dated as of August 10, 2009, between Altisource Solutions S.à r.l. and Ocwen Financial Corporation (incorporated by</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reference to Exhibit 10.2 of the Registrant’s Current Report on Form 8-K, as filed with the Commission on August 13,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8"/>
              </w:rPr>
              <w:t>Employee Matters Agreement, dated as of August 10, 2009, between Altisource Solutions S.à r.l. and Ocwen Financial Corporation</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2"/>
              </w:rPr>
              <w:t>(incorporated by reference to Exhibit 10.4 of the Registrant’s Current Report on Form 8-K, as filed with the Commission on August 13,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8"/>
              </w:rPr>
              <w:t>Technology Products Services Agreement, dated as of August 10, 2009, between Altisource Solutions S.à r.l. and Ocwen Financial</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5"/>
              </w:rPr>
              <w:t>Corporation (incorporated by reference to Exhibit 10.5 of the Registrant’s Current Report on Form 8-K, as filed with the Commission on</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August 13, 2009)</w:t>
            </w:r>
          </w:p>
        </w:tc>
      </w:tr>
      <w:tr>
        <w:trPr>
          <w:trHeight w:val="432"/>
        </w:trPr>
        <w:tc>
          <w:tcPr>
            <w:tcW w:w="820" w:type="dxa"/>
            <w:vAlign w:val="bottom"/>
          </w:tcPr>
          <w:p>
            <w:pPr>
              <w:spacing w:after="0"/>
              <w:rPr>
                <w:sz w:val="24"/>
                <w:szCs w:val="24"/>
                <w:color w:val="auto"/>
              </w:rPr>
            </w:pPr>
          </w:p>
        </w:tc>
        <w:tc>
          <w:tcPr>
            <w:tcW w:w="10640" w:type="dxa"/>
            <w:vAlign w:val="bottom"/>
            <w:gridSpan w:val="2"/>
          </w:tcPr>
          <w:p>
            <w:pPr>
              <w:ind w:left="4800"/>
              <w:spacing w:after="0"/>
              <w:rPr>
                <w:sz w:val="20"/>
                <w:szCs w:val="20"/>
                <w:color w:val="auto"/>
              </w:rPr>
            </w:pPr>
            <w:r>
              <w:rPr>
                <w:rFonts w:ascii="Arial" w:cs="Arial" w:eastAsia="Arial" w:hAnsi="Arial"/>
                <w:sz w:val="18"/>
                <w:szCs w:val="18"/>
                <w:color w:val="auto"/>
              </w:rPr>
              <w:t>87</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3"/>
              </w:rPr>
              <w:t>Services Agreement, dated as of August 10, 2009, between Altisource Solutions S.à r.l. and Ocwen Financial Corporation (incorporated by</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reference to Exhibit 10.6 of the Registrant’s Current Report on Form 8-K, as filed with the Commission on August 13,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5"/>
              </w:rPr>
              <w:t>Data Center and Disaster Recovery Services Agreement, dated as of August 10, 2009, between Altisource Solutions S.à r.l. and Ocwen</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Financial Corporation (incorporated by reference to Exhibit 10.7 of the Registrant’s Current Report on Form 8-K, as filed with the</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Commission on August 13,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2"/>
              </w:rPr>
              <w:t>Intellectual Property Agreement, dated as of August 10, 2009, by and between Altisource Solutions S.à r.l. and Ocwen Financial Corporation</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2"/>
              </w:rPr>
              <w:t>(incorporated by reference to Exhibit 10.8 of the Registrant’s Current Report on Form 8-K, as filed with the Commission on August 13,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2"/>
              </w:rPr>
              <w:t>Form of Altisource Portfolio Solutions S.A. 2009 Equity Incentive Plan (incorporated by reference to Exhibit 10.8 of Amendment No. 1 to the</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Registration Statement on Form 10, as filed with the Commission on June 29,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Employment Agreement by and between Altisource Solutions S.à r.l. and William B. Shepro (incorporated by reference to Exhibit 10.9 of</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5"/>
              </w:rPr>
              <w:t>Employment Agreement by and between Altisource Solutions S.à r.l. and Robert D. Stiles (incorporated by reference to Exhibit 10.10 of</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5"/>
              </w:rPr>
              <w:t>Employment Agreement by and between Altisource Solutions S.à r.l. and Kevin J. Wilcox (incorporated by reference to Exhibit 10.11 of</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Purchase and Sale Agreement, dated as of February 12, 2010, by and among Altisource Portfolio Solutions S.A., and the Equity Interest</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Holders of The Mortgage Partnership of America, L.L.C. and the Management Owners (incorporated by reference to Exhibit 10.12 of the</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Company’s 10-K as filed with the Commission on March 17,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8"/>
              </w:rPr>
              <w:t>Form of Put Option Agreements (incorporated by reference to Exhibit 10.13 of the Company’s 10-K as filed with the Commission on</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March 17, 2010)</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Form of Non-qualified Stock Option Agreement, pursuant to the 2009 Equity Incentive Plan (incorporated by reference to Exhibit 10.14 of</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the Company’s 10-K as filed with the Commission on February 18, 2011)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First Amendment to the Transition Services Agreement, dated as of August 10, 2011, by and between Ocwen Financial Corporation and</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Altisource Solutions S.à r.l. (incorporated by reference to Exhibit 10.1 of the Company’s 8-K, as filed with the Commission on August 16,</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2011)</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1"/>
              </w:rPr>
              <w:t>Separation Agreement dated February 22, 2012 between Altisource Portfolio Solutions S.à r.l., Altisource Portfolio Solutions S.A. and Robert</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D. Stiles (incorporated by reference to Exhibit 10.1 to the Company’s 8-K as filed with the Commission on February 23,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4"/>
              </w:rPr>
              <w:t>Employment Agreement dated March 13, 2012 between Altisource Portfolio Solutions S.à r.l. and Michelle D. Esterman (incorporated by</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reference to Exhibit 10.1 to the Company’s 8-K as filed with the Commission on March 16,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1"/>
              </w:rPr>
              <w:t>Support Services Agreement, dated as of August 10, 2012, by and between Ocwen Mortgage Servicing, Inc. and Altisource Solutions S.à r.l.</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August 16, 2012)</w:t>
            </w:r>
          </w:p>
        </w:tc>
      </w:tr>
      <w:tr>
        <w:trPr>
          <w:trHeight w:val="432"/>
        </w:trPr>
        <w:tc>
          <w:tcPr>
            <w:tcW w:w="820" w:type="dxa"/>
            <w:vAlign w:val="bottom"/>
          </w:tcPr>
          <w:p>
            <w:pPr>
              <w:spacing w:after="0"/>
              <w:rPr>
                <w:sz w:val="24"/>
                <w:szCs w:val="24"/>
                <w:color w:val="auto"/>
              </w:rPr>
            </w:pPr>
          </w:p>
        </w:tc>
        <w:tc>
          <w:tcPr>
            <w:tcW w:w="10640" w:type="dxa"/>
            <w:vAlign w:val="bottom"/>
            <w:gridSpan w:val="2"/>
          </w:tcPr>
          <w:p>
            <w:pPr>
              <w:ind w:left="4800"/>
              <w:spacing w:after="0"/>
              <w:rPr>
                <w:sz w:val="20"/>
                <w:szCs w:val="20"/>
                <w:color w:val="auto"/>
              </w:rPr>
            </w:pPr>
            <w:r>
              <w:rPr>
                <w:rFonts w:ascii="Arial" w:cs="Arial" w:eastAsia="Arial" w:hAnsi="Arial"/>
                <w:sz w:val="18"/>
                <w:szCs w:val="18"/>
                <w:color w:val="auto"/>
              </w:rPr>
              <w:t>88</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w w:val="95"/>
              </w:rPr>
              <w:t>First Amendment to the Employment Contract dated as of August 15, 2012 between Altisource Solutions S.à r.l. and William B. Shepro</w:t>
            </w:r>
          </w:p>
        </w:tc>
      </w:tr>
      <w:tr>
        <w:trPr>
          <w:trHeight w:val="230"/>
        </w:trPr>
        <w:tc>
          <w:tcPr>
            <w:tcW w:w="820" w:type="dxa"/>
            <w:vAlign w:val="bottom"/>
          </w:tcPr>
          <w:p>
            <w:pPr>
              <w:spacing w:after="0"/>
              <w:rPr>
                <w:sz w:val="20"/>
                <w:szCs w:val="20"/>
                <w:color w:val="auto"/>
              </w:rPr>
            </w:pPr>
          </w:p>
        </w:tc>
        <w:tc>
          <w:tcPr>
            <w:tcW w:w="106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August 20,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-7702550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-7702550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4"/>
        </w:trPr>
        <w:tc>
          <w:tcPr>
            <w:tcW w:w="82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10640" w:type="dxa"/>
            <w:vAlign w:val="bottom"/>
          </w:tcPr>
          <w:p>
            <w:pPr>
              <w:ind w:left="340"/>
              <w:spacing w:after="0"/>
              <w:rPr>
                <w:sz w:val="20"/>
                <w:szCs w:val="20"/>
                <w:color w:val="auto"/>
              </w:rPr>
            </w:pPr>
            <w:r>
              <w:rPr>
                <w:rFonts w:ascii="Arial" w:cs="Arial" w:eastAsia="Arial" w:hAnsi="Arial"/>
                <w:sz w:val="18"/>
                <w:szCs w:val="18"/>
                <w:color w:val="auto"/>
                <w:w w:val="97"/>
              </w:rPr>
              <w:t>First Amendment to the Employment Contract dated as of August 15, 2012 between Altisource Solutions S.à r.l. and Kevin J. Wilcox</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10.2 to the Company’s Form 8-K filed on August 20,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340"/>
              <w:spacing w:after="0"/>
              <w:rPr>
                <w:sz w:val="20"/>
                <w:szCs w:val="20"/>
                <w:color w:val="auto"/>
              </w:rPr>
            </w:pPr>
            <w:r>
              <w:rPr>
                <w:rFonts w:ascii="Arial" w:cs="Arial" w:eastAsia="Arial" w:hAnsi="Arial"/>
                <w:sz w:val="18"/>
                <w:szCs w:val="18"/>
                <w:color w:val="auto"/>
                <w:w w:val="98"/>
              </w:rPr>
              <w:t>Services Agreement, dated as of October 1, 2012, by and between Ocwen Mortgage Servicing, Inc. and Altisource Solutions S.à r.l.</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340"/>
              <w:spacing w:after="0"/>
              <w:rPr>
                <w:sz w:val="20"/>
                <w:szCs w:val="20"/>
                <w:color w:val="auto"/>
              </w:rPr>
            </w:pPr>
            <w:r>
              <w:rPr>
                <w:rFonts w:ascii="Arial" w:cs="Arial" w:eastAsia="Arial" w:hAnsi="Arial"/>
                <w:sz w:val="18"/>
                <w:szCs w:val="18"/>
                <w:color w:val="auto"/>
                <w:w w:val="94"/>
              </w:rPr>
              <w:t>Technology Products Services Agreement, dated as of October 1, 2012, by and between Ocwen Mortgage Servicing, Inc. and Altisource</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Solutions S.à r.l. (incorporated by reference to Exhibit 10.2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340"/>
              <w:spacing w:after="0"/>
              <w:rPr>
                <w:sz w:val="20"/>
                <w:szCs w:val="20"/>
                <w:color w:val="auto"/>
              </w:rPr>
            </w:pPr>
            <w:r>
              <w:rPr>
                <w:rFonts w:ascii="Arial" w:cs="Arial" w:eastAsia="Arial" w:hAnsi="Arial"/>
                <w:sz w:val="18"/>
                <w:szCs w:val="18"/>
                <w:color w:val="auto"/>
                <w:w w:val="91"/>
              </w:rPr>
              <w:t>Data Center and Disaster Recovery Agreement, dated as of October 1, 2012, by and between Ocwen Mortgage Servicing, Inc. and Altisource</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Solutions S.à r.l. (incorporated by reference to Exhibit 10.3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tcPr>
          <w:p>
            <w:pPr>
              <w:ind w:left="340"/>
              <w:spacing w:after="0"/>
              <w:rPr>
                <w:sz w:val="20"/>
                <w:szCs w:val="20"/>
                <w:color w:val="auto"/>
              </w:rPr>
            </w:pPr>
            <w:r>
              <w:rPr>
                <w:rFonts w:ascii="Arial" w:cs="Arial" w:eastAsia="Arial" w:hAnsi="Arial"/>
                <w:sz w:val="18"/>
                <w:szCs w:val="18"/>
                <w:color w:val="auto"/>
                <w:w w:val="92"/>
              </w:rPr>
              <w:t>Intellectual Property Agreement, dated as of October 1, 2012, by and between Ocwen Mortgage Servicing, Inc. and Altisource Solutions S.à</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r.l. (incorporated by reference to Exhibit 10.4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340"/>
              <w:spacing w:after="0"/>
              <w:rPr>
                <w:sz w:val="20"/>
                <w:szCs w:val="20"/>
                <w:color w:val="auto"/>
              </w:rPr>
            </w:pPr>
            <w:r>
              <w:rPr>
                <w:rFonts w:ascii="Arial" w:cs="Arial" w:eastAsia="Arial" w:hAnsi="Arial"/>
                <w:sz w:val="18"/>
                <w:szCs w:val="18"/>
                <w:color w:val="auto"/>
                <w:w w:val="97"/>
              </w:rPr>
              <w:t>First Amendment to Support Services Agreement, dated as of October 1, 2012, by and between Ocwen Mortgage Servicing, Inc. and</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Altisource Solutions S.à r.l. (incorporated by reference to Exhibit 10.5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640" w:type="dxa"/>
            <w:vAlign w:val="bottom"/>
          </w:tcPr>
          <w:p>
            <w:pPr>
              <w:ind w:left="340"/>
              <w:spacing w:after="0"/>
              <w:rPr>
                <w:sz w:val="20"/>
                <w:szCs w:val="20"/>
                <w:color w:val="auto"/>
              </w:rPr>
            </w:pPr>
            <w:r>
              <w:rPr>
                <w:rFonts w:ascii="Arial" w:cs="Arial" w:eastAsia="Arial" w:hAnsi="Arial"/>
                <w:sz w:val="18"/>
                <w:szCs w:val="18"/>
                <w:color w:val="auto"/>
                <w:w w:val="91"/>
              </w:rPr>
              <w:t>First Amendment to Services Agreement, dated as of October 1, 2012, by and between Ocwen Financial Corporation and Altisource Solutions</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S.à r.l. (incorporated by reference to Exhibit 10.6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640" w:type="dxa"/>
            <w:vAlign w:val="bottom"/>
          </w:tcPr>
          <w:p>
            <w:pPr>
              <w:ind w:left="340"/>
              <w:spacing w:after="0"/>
              <w:rPr>
                <w:sz w:val="20"/>
                <w:szCs w:val="20"/>
                <w:color w:val="auto"/>
              </w:rPr>
            </w:pPr>
            <w:r>
              <w:rPr>
                <w:rFonts w:ascii="Arial" w:cs="Arial" w:eastAsia="Arial" w:hAnsi="Arial"/>
                <w:sz w:val="18"/>
                <w:szCs w:val="18"/>
                <w:color w:val="auto"/>
                <w:w w:val="98"/>
              </w:rPr>
              <w:t>First Amendment to Technology Products and Services Agreement, dated as of October 1, 2012, by and between Ocwen Financial</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w w:val="92"/>
              </w:rPr>
              <w:t>Corporation and Altisource Solutions S.à r.l. (incorporated by reference to Exhibit 10.7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640" w:type="dxa"/>
            <w:vAlign w:val="bottom"/>
          </w:tcPr>
          <w:p>
            <w:pPr>
              <w:ind w:left="340"/>
              <w:spacing w:after="0"/>
              <w:rPr>
                <w:sz w:val="20"/>
                <w:szCs w:val="20"/>
                <w:color w:val="auto"/>
              </w:rPr>
            </w:pPr>
            <w:r>
              <w:rPr>
                <w:rFonts w:ascii="Arial" w:cs="Arial" w:eastAsia="Arial" w:hAnsi="Arial"/>
                <w:sz w:val="18"/>
                <w:szCs w:val="18"/>
                <w:color w:val="auto"/>
                <w:w w:val="98"/>
              </w:rPr>
              <w:t>First Amendment to Data Center and Disaster Recovery Agreement, dated as of October 1, 2012, by and between Ocwen Financial</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w w:val="92"/>
              </w:rPr>
              <w:t>Corporation and Altisource Solutions S.à r.l. (incorporated by reference to Exhibit 10.8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640" w:type="dxa"/>
            <w:vAlign w:val="bottom"/>
          </w:tcPr>
          <w:p>
            <w:pPr>
              <w:ind w:left="340"/>
              <w:spacing w:after="0"/>
              <w:rPr>
                <w:sz w:val="20"/>
                <w:szCs w:val="20"/>
                <w:color w:val="auto"/>
              </w:rPr>
            </w:pPr>
            <w:r>
              <w:rPr>
                <w:rFonts w:ascii="Arial" w:cs="Arial" w:eastAsia="Arial" w:hAnsi="Arial"/>
                <w:sz w:val="18"/>
                <w:szCs w:val="18"/>
                <w:color w:val="auto"/>
                <w:w w:val="97"/>
              </w:rPr>
              <w:t>First Amendment to Intellectual Property Agreement, dated as of October 1, 2012, by and between Ocwen Financial Corporation and</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Altisource Solutions S.à r.l. (incorporated by reference to Exhibit 10.9 to the Company’s Form 8-K filed on October 5,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640" w:type="dxa"/>
            <w:vAlign w:val="bottom"/>
          </w:tcPr>
          <w:p>
            <w:pPr>
              <w:ind w:left="340"/>
              <w:spacing w:after="0"/>
              <w:rPr>
                <w:sz w:val="20"/>
                <w:szCs w:val="20"/>
                <w:color w:val="auto"/>
              </w:rPr>
            </w:pPr>
            <w:r>
              <w:rPr>
                <w:rFonts w:ascii="Arial" w:cs="Arial" w:eastAsia="Arial" w:hAnsi="Arial"/>
                <w:sz w:val="18"/>
                <w:szCs w:val="18"/>
                <w:color w:val="auto"/>
                <w:w w:val="97"/>
              </w:rPr>
              <w:t>Credit Agreement, dated as of November 27, 2012, among Altisource Solutions S.à r.l., as borrower, the Company and certain of the</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w w:val="98"/>
              </w:rPr>
              <w:t>Company’s wholly-owned subsidiaries, as guarantors, Bank of America, N.A, as Administrative Agent and Collateral Agent, Bank of</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w w:val="96"/>
              </w:rPr>
              <w:t>America, N.A., Barclays Bank PLC and Citigroup Global Markets Inc., as Lead Arrangers and Barclays Bank PLC and Citigroup Global</w:t>
            </w:r>
          </w:p>
        </w:tc>
      </w:tr>
      <w:tr>
        <w:trPr>
          <w:trHeight w:val="216"/>
        </w:trPr>
        <w:tc>
          <w:tcPr>
            <w:tcW w:w="8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w w:val="92"/>
              </w:rPr>
              <w:t>Markets Inc., as Co-Syndication Agents, and certain lenders party thereto from time to time. (incorporated by reference to Exhibit 10.1 to the</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Company’s Form 8-K filed on December 3,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640" w:type="dxa"/>
            <w:vAlign w:val="bottom"/>
          </w:tcPr>
          <w:p>
            <w:pPr>
              <w:ind w:left="340"/>
              <w:spacing w:after="0"/>
              <w:rPr>
                <w:sz w:val="20"/>
                <w:szCs w:val="20"/>
                <w:color w:val="auto"/>
              </w:rPr>
            </w:pPr>
            <w:r>
              <w:rPr>
                <w:rFonts w:ascii="Arial" w:cs="Arial" w:eastAsia="Arial" w:hAnsi="Arial"/>
                <w:sz w:val="18"/>
                <w:szCs w:val="18"/>
                <w:color w:val="auto"/>
                <w:w w:val="93"/>
              </w:rPr>
              <w:t>Support Services Agreement, dated as of December 21, 2012, between Altisource Residential Corporation and Altisource Solutions S.à r.l.</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December 28, 2012)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640" w:type="dxa"/>
            <w:vAlign w:val="bottom"/>
          </w:tcPr>
          <w:p>
            <w:pPr>
              <w:ind w:left="340"/>
              <w:spacing w:after="0"/>
              <w:rPr>
                <w:sz w:val="20"/>
                <w:szCs w:val="20"/>
                <w:color w:val="auto"/>
              </w:rPr>
            </w:pPr>
            <w:r>
              <w:rPr>
                <w:rFonts w:ascii="Arial" w:cs="Arial" w:eastAsia="Arial" w:hAnsi="Arial"/>
                <w:sz w:val="18"/>
                <w:szCs w:val="18"/>
                <w:color w:val="auto"/>
                <w:w w:val="96"/>
              </w:rPr>
              <w:t>Tax Matters Agreement, dated as of December 21, 2012, between Altisource Residential Corporation and Altisource Solutions S.à r.l.</w:t>
            </w:r>
          </w:p>
        </w:tc>
      </w:tr>
      <w:tr>
        <w:trPr>
          <w:trHeight w:val="230"/>
        </w:trPr>
        <w:tc>
          <w:tcPr>
            <w:tcW w:w="820" w:type="dxa"/>
            <w:vAlign w:val="bottom"/>
          </w:tcPr>
          <w:p>
            <w:pPr>
              <w:spacing w:after="0"/>
              <w:rPr>
                <w:sz w:val="20"/>
                <w:szCs w:val="20"/>
                <w:color w:val="auto"/>
              </w:rPr>
            </w:pPr>
          </w:p>
        </w:tc>
        <w:tc>
          <w:tcPr>
            <w:tcW w:w="106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10.3 to the Company’s Form 8-K filed on December 28, 2012)</w:t>
            </w:r>
          </w:p>
        </w:tc>
      </w:tr>
      <w:tr>
        <w:trPr>
          <w:trHeight w:val="432"/>
        </w:trPr>
        <w:tc>
          <w:tcPr>
            <w:tcW w:w="820" w:type="dxa"/>
            <w:vAlign w:val="bottom"/>
          </w:tcPr>
          <w:p>
            <w:pPr>
              <w:spacing w:after="0"/>
              <w:rPr>
                <w:sz w:val="24"/>
                <w:szCs w:val="24"/>
                <w:color w:val="auto"/>
              </w:rPr>
            </w:pPr>
          </w:p>
        </w:tc>
        <w:tc>
          <w:tcPr>
            <w:tcW w:w="10640" w:type="dxa"/>
            <w:vAlign w:val="bottom"/>
          </w:tcPr>
          <w:p>
            <w:pPr>
              <w:ind w:left="4800"/>
              <w:spacing w:after="0"/>
              <w:rPr>
                <w:sz w:val="20"/>
                <w:szCs w:val="20"/>
                <w:color w:val="auto"/>
              </w:rPr>
            </w:pPr>
            <w:r>
              <w:rPr>
                <w:rFonts w:ascii="Arial" w:cs="Arial" w:eastAsia="Arial" w:hAnsi="Arial"/>
                <w:sz w:val="18"/>
                <w:szCs w:val="18"/>
                <w:color w:val="auto"/>
              </w:rPr>
              <w:t>89</w:t>
            </w:r>
          </w:p>
        </w:tc>
      </w:tr>
      <w:tr>
        <w:trPr>
          <w:trHeight w:val="132"/>
        </w:trPr>
        <w:tc>
          <w:tcPr>
            <w:tcW w:w="820" w:type="dxa"/>
            <w:vAlign w:val="bottom"/>
            <w:tcBorders>
              <w:bottom w:val="single" w:sz="8" w:color="010101"/>
            </w:tcBorders>
          </w:tcPr>
          <w:p>
            <w:pPr>
              <w:spacing w:after="0"/>
              <w:rPr>
                <w:sz w:val="11"/>
                <w:szCs w:val="11"/>
                <w:color w:val="auto"/>
              </w:rPr>
            </w:pPr>
          </w:p>
        </w:tc>
        <w:tc>
          <w:tcPr>
            <w:tcW w:w="106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Master Services Agreement, dated as of December 21, 2012, between Altisource Residential Corporation and Altisource Solutions S.à r.l.</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10.5 to the Company’s Form 8-K filed on December 28,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Trademark License Agreement, dated as of December 21, 2012, between Altisource Residential Corporation and Altisource Solutions S.à r.l.</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10.6 to the Company’s Form 8-K filed on December 28,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Support Services Agreement, dated as of December 21, 2012, between Altisource Asset Management Corporation and Altisource Solutions</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S.à r.l. (incorporated by reference to Exhibit 10.2 to the Company’s Form 8-K filed on December 28,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Tax Matters Agreement, dated as of December 21, 2012, between Altisource Asset Management Corporation and Altisource Solutions S.à r.l.</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10.4 to the Company’s Form 8-K filed on December 28,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Trademark License Agreement, dated as of December 21, 2012, between Altisource Asset Management Corporation and Altisource Solutions</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S.à r.l. (incorporated by reference to Exhibit 10.7 to the Company’s Form 8-K filed on December 28,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Technology Products Services Agreement, between Altisource Asset Management Corporation and Altisource Solutions S.à r.l. (incorporated</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by reference to Exhibit 10.8 to the Company’s Form 8-K filed on December 28,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Senior Unsecured Term Loan Agreement, dated as of December 27, 2012, among Altisource Solutions S.à r.l., as Lender, Ocwen Financial</w:t>
            </w:r>
          </w:p>
        </w:tc>
      </w:tr>
      <w:tr>
        <w:trPr>
          <w:trHeight w:val="216"/>
        </w:trPr>
        <w:tc>
          <w:tcPr>
            <w:tcW w:w="88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Corporation, as Borrower, and certain subsidiaries of Ocwen Financial Corporation, as Guarantors. (incorporated by reference to Exhibit 10.1</w:t>
            </w:r>
          </w:p>
        </w:tc>
      </w:tr>
      <w:tr>
        <w:trPr>
          <w:trHeight w:val="230"/>
        </w:trPr>
        <w:tc>
          <w:tcPr>
            <w:tcW w:w="8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to the Company’s Form 8-K filed on December 31, 2012)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80"/>
              <w:spacing w:after="0"/>
              <w:rPr>
                <w:sz w:val="20"/>
                <w:szCs w:val="20"/>
                <w:color w:val="auto"/>
              </w:rPr>
            </w:pPr>
            <w:r>
              <w:rPr>
                <w:rFonts w:ascii="Arial" w:cs="Arial" w:eastAsia="Arial" w:hAnsi="Arial"/>
                <w:sz w:val="18"/>
                <w:szCs w:val="18"/>
                <w:color w:val="auto"/>
              </w:rPr>
              <w:t>Section 302 Certification of the Chief Executive Officer pursuant to Exchange Act Rule 13a-14(a).</w:t>
            </w:r>
          </w:p>
        </w:tc>
      </w:tr>
    </w:tbl>
    <w:p>
      <w:pPr>
        <w:sectPr>
          <w:pgSz w:w="11900" w:h="16838" w:orient="portrait"/>
          <w:cols w:equalWidth="0" w:num="1">
            <w:col w:w="11460"/>
          </w:cols>
          <w:pgMar w:left="240" w:top="293" w:right="19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31.2*</w:t>
            </w:r>
          </w:p>
        </w:tc>
        <w:tc>
          <w:tcPr>
            <w:tcW w:w="10680" w:type="dxa"/>
            <w:vAlign w:val="bottom"/>
          </w:tcPr>
          <w:p>
            <w:pPr>
              <w:ind w:left="380"/>
              <w:spacing w:after="0"/>
              <w:rPr>
                <w:sz w:val="20"/>
                <w:szCs w:val="20"/>
                <w:color w:val="auto"/>
              </w:rPr>
            </w:pPr>
            <w:r>
              <w:rPr>
                <w:rFonts w:ascii="Arial" w:cs="Arial" w:eastAsia="Arial" w:hAnsi="Arial"/>
                <w:sz w:val="18"/>
                <w:szCs w:val="18"/>
                <w:color w:val="auto"/>
              </w:rPr>
              <w:t>Section 302 Certification of the Chief Financial Officer pursuant to Exchange Act Rule 13a-14(a).</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32.1*</w:t>
            </w:r>
          </w:p>
        </w:tc>
        <w:tc>
          <w:tcPr>
            <w:tcW w:w="10680" w:type="dxa"/>
            <w:vAlign w:val="bottom"/>
          </w:tcPr>
          <w:p>
            <w:pPr>
              <w:ind w:left="38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 Sarbanes-Oxley</w:t>
            </w:r>
          </w:p>
        </w:tc>
      </w:tr>
      <w:tr>
        <w:trPr>
          <w:trHeight w:val="230"/>
        </w:trPr>
        <w:tc>
          <w:tcPr>
            <w:tcW w:w="780" w:type="dxa"/>
            <w:vAlign w:val="bottom"/>
          </w:tcPr>
          <w:p>
            <w:pPr>
              <w:spacing w:after="0"/>
              <w:rPr>
                <w:sz w:val="20"/>
                <w:szCs w:val="20"/>
                <w:color w:val="auto"/>
              </w:rPr>
            </w:pPr>
          </w:p>
        </w:tc>
        <w:tc>
          <w:tcPr>
            <w:tcW w:w="10680" w:type="dxa"/>
            <w:vAlign w:val="bottom"/>
          </w:tcPr>
          <w:p>
            <w:pPr>
              <w:ind w:left="380"/>
              <w:spacing w:after="0"/>
              <w:rPr>
                <w:sz w:val="20"/>
                <w:szCs w:val="20"/>
                <w:color w:val="auto"/>
              </w:rPr>
            </w:pPr>
            <w:r>
              <w:rPr>
                <w:rFonts w:ascii="Arial" w:cs="Arial" w:eastAsia="Arial" w:hAnsi="Arial"/>
                <w:sz w:val="18"/>
                <w:szCs w:val="18"/>
                <w:color w:val="auto"/>
              </w:rPr>
              <w:t>Act of 2002.</w:t>
            </w:r>
          </w:p>
        </w:tc>
      </w:tr>
      <w:tr>
        <w:trPr>
          <w:trHeight w:val="418"/>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32.2*</w:t>
            </w:r>
          </w:p>
        </w:tc>
        <w:tc>
          <w:tcPr>
            <w:tcW w:w="10680" w:type="dxa"/>
            <w:vAlign w:val="bottom"/>
          </w:tcPr>
          <w:p>
            <w:pPr>
              <w:ind w:left="38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w:t>
            </w:r>
          </w:p>
        </w:tc>
      </w:tr>
      <w:tr>
        <w:trPr>
          <w:trHeight w:val="230"/>
        </w:trPr>
        <w:tc>
          <w:tcPr>
            <w:tcW w:w="780" w:type="dxa"/>
            <w:vAlign w:val="bottom"/>
          </w:tcPr>
          <w:p>
            <w:pPr>
              <w:spacing w:after="0"/>
              <w:rPr>
                <w:sz w:val="20"/>
                <w:szCs w:val="20"/>
                <w:color w:val="auto"/>
              </w:rPr>
            </w:pPr>
          </w:p>
        </w:tc>
        <w:tc>
          <w:tcPr>
            <w:tcW w:w="10680" w:type="dxa"/>
            <w:vAlign w:val="bottom"/>
          </w:tcPr>
          <w:p>
            <w:pPr>
              <w:ind w:left="380"/>
              <w:spacing w:after="0"/>
              <w:rPr>
                <w:sz w:val="20"/>
                <w:szCs w:val="20"/>
                <w:color w:val="auto"/>
              </w:rPr>
            </w:pPr>
            <w:r>
              <w:rPr>
                <w:rFonts w:ascii="Arial" w:cs="Arial" w:eastAsia="Arial" w:hAnsi="Arial"/>
                <w:sz w:val="18"/>
                <w:szCs w:val="18"/>
                <w:color w:val="auto"/>
              </w:rPr>
              <w:t>of 2002.</w:t>
            </w:r>
          </w:p>
        </w:tc>
      </w:tr>
      <w:tr>
        <w:trPr>
          <w:trHeight w:val="432"/>
        </w:trPr>
        <w:tc>
          <w:tcPr>
            <w:tcW w:w="780" w:type="dxa"/>
            <w:vAlign w:val="bottom"/>
          </w:tcPr>
          <w:p>
            <w:pPr>
              <w:spacing w:after="0"/>
              <w:rPr>
                <w:sz w:val="24"/>
                <w:szCs w:val="24"/>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90</w:t>
            </w:r>
          </w:p>
        </w:tc>
      </w:tr>
      <w:tr>
        <w:trPr>
          <w:trHeight w:val="132"/>
        </w:trPr>
        <w:tc>
          <w:tcPr>
            <w:tcW w:w="780" w:type="dxa"/>
            <w:vAlign w:val="bottom"/>
            <w:tcBorders>
              <w:bottom w:val="single" w:sz="8" w:color="010101"/>
            </w:tcBorders>
          </w:tcPr>
          <w:p>
            <w:pPr>
              <w:spacing w:after="0"/>
              <w:rPr>
                <w:sz w:val="11"/>
                <w:szCs w:val="11"/>
                <w:color w:val="auto"/>
              </w:rPr>
            </w:pPr>
          </w:p>
        </w:tc>
        <w:tc>
          <w:tcPr>
            <w:tcW w:w="106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60" w:right="100" w:hanging="1152"/>
        <w:spacing w:after="0" w:line="272" w:lineRule="auto"/>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Pursuant to Rule 405 of Regulation S-T, the following financial information from the Company’s Annual Report on Form 10-K for the period ended December 31, 2012, is formatted in XBRL interactive data files: (i) Consolidated Balance Sheets at December 31, 2012, and December 31, 2011; (ii) Consolidated Statements of Operations for each of the years in the three-year period ended December 31, 2012; (iii) Consolidated Statements of Equity for each of the years in the three-year period ended December 31, 2012; (iv) Consolidated Statements of Cash Flows for each of the years in the three-year period ended December 31, 2012; and (v) Notes to Financial Statements (as provided in Rule 406T of Regulation S-T, this information is furnished and not filed for purposes of Sections 11 and 12 of the Securities Act of 1933 and Section 18 of the Securities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190500</wp:posOffset>
            </wp:positionV>
            <wp:extent cx="16897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8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200" w:firstLine="8"/>
        <w:spacing w:after="0" w:line="277" w:lineRule="auto"/>
        <w:tabs>
          <w:tab w:leader="none" w:pos="2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7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Altisource Portfolio Solutions S.A.</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William B. Shepro</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195"/>
        </w:trPr>
        <w:tc>
          <w:tcPr>
            <w:tcW w:w="4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Michelle D. Esterman</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16"/>
        </w:trPr>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13,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4"/>
                <w:szCs w:val="1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00" w:type="dxa"/>
            <w:vAlign w:val="bottom"/>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Erbey</w:t>
            </w:r>
          </w:p>
        </w:tc>
        <w:tc>
          <w:tcPr>
            <w:tcW w:w="300" w:type="dxa"/>
            <w:vAlign w:val="bottom"/>
          </w:tcPr>
          <w:p>
            <w:pPr>
              <w:spacing w:after="0"/>
              <w:rPr>
                <w:sz w:val="24"/>
                <w:szCs w:val="24"/>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Chairman of the Board of Directors</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13, 2013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William C. Erbey</w:t>
            </w:r>
          </w:p>
        </w:tc>
        <w:tc>
          <w:tcPr>
            <w:tcW w:w="3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Shepro</w:t>
            </w:r>
          </w:p>
        </w:tc>
        <w:tc>
          <w:tcPr>
            <w:tcW w:w="300" w:type="dxa"/>
            <w:vAlign w:val="bottom"/>
          </w:tcPr>
          <w:p>
            <w:pPr>
              <w:spacing w:after="0"/>
              <w:rPr>
                <w:sz w:val="24"/>
                <w:szCs w:val="24"/>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Director and Chief Executive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13, 2013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William B. Shepro</w:t>
            </w:r>
          </w:p>
        </w:tc>
        <w:tc>
          <w:tcPr>
            <w:tcW w:w="300" w:type="dxa"/>
            <w:vAlign w:val="bottom"/>
          </w:tcPr>
          <w:p>
            <w:pPr>
              <w:spacing w:after="0"/>
              <w:rPr>
                <w:sz w:val="19"/>
                <w:szCs w:val="19"/>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(Principal Executive Officer)</w:t>
            </w: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Michael Linn</w:t>
            </w:r>
          </w:p>
        </w:tc>
        <w:tc>
          <w:tcPr>
            <w:tcW w:w="300" w:type="dxa"/>
            <w:vAlign w:val="bottom"/>
          </w:tcPr>
          <w:p>
            <w:pPr>
              <w:spacing w:after="0"/>
              <w:rPr>
                <w:sz w:val="24"/>
                <w:szCs w:val="24"/>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13, 2013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W. Michael Linn</w:t>
            </w:r>
          </w:p>
        </w:tc>
        <w:tc>
          <w:tcPr>
            <w:tcW w:w="3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Roland Müller-Ineichen</w:t>
            </w:r>
          </w:p>
        </w:tc>
        <w:tc>
          <w:tcPr>
            <w:tcW w:w="300" w:type="dxa"/>
            <w:vAlign w:val="bottom"/>
          </w:tcPr>
          <w:p>
            <w:pPr>
              <w:spacing w:after="0"/>
              <w:rPr>
                <w:sz w:val="24"/>
                <w:szCs w:val="24"/>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13, 2013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Roland Müller-Ineichen</w:t>
            </w:r>
          </w:p>
        </w:tc>
        <w:tc>
          <w:tcPr>
            <w:tcW w:w="3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 Vättö</w:t>
            </w:r>
          </w:p>
        </w:tc>
        <w:tc>
          <w:tcPr>
            <w:tcW w:w="300" w:type="dxa"/>
            <w:vAlign w:val="bottom"/>
          </w:tcPr>
          <w:p>
            <w:pPr>
              <w:spacing w:after="0"/>
              <w:rPr>
                <w:sz w:val="24"/>
                <w:szCs w:val="24"/>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13, 2013</w:t>
            </w:r>
          </w:p>
        </w:tc>
      </w:tr>
      <w:tr>
        <w:trPr>
          <w:trHeight w:val="224"/>
        </w:trPr>
        <w:tc>
          <w:tcPr>
            <w:tcW w:w="2860" w:type="dxa"/>
            <w:vAlign w:val="bottom"/>
          </w:tcPr>
          <w:p>
            <w:pPr>
              <w:spacing w:after="0"/>
              <w:rPr>
                <w:sz w:val="20"/>
                <w:szCs w:val="20"/>
                <w:color w:val="auto"/>
              </w:rPr>
            </w:pPr>
            <w:r>
              <w:rPr>
                <w:rFonts w:ascii="Arial" w:cs="Arial" w:eastAsia="Arial" w:hAnsi="Arial"/>
                <w:sz w:val="18"/>
                <w:szCs w:val="18"/>
                <w:color w:val="auto"/>
              </w:rPr>
              <w:t>Timo Vättö</w:t>
            </w:r>
          </w:p>
        </w:tc>
        <w:tc>
          <w:tcPr>
            <w:tcW w:w="3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Michelle D. Esterman</w:t>
            </w:r>
          </w:p>
        </w:tc>
        <w:tc>
          <w:tcPr>
            <w:tcW w:w="300" w:type="dxa"/>
            <w:vAlign w:val="bottom"/>
          </w:tcPr>
          <w:p>
            <w:pPr>
              <w:spacing w:after="0"/>
              <w:rPr>
                <w:sz w:val="24"/>
                <w:szCs w:val="24"/>
                <w:color w:val="auto"/>
              </w:rPr>
            </w:pPr>
          </w:p>
        </w:tc>
        <w:tc>
          <w:tcPr>
            <w:tcW w:w="54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Chief Financial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February 13, 2013</w:t>
            </w:r>
          </w:p>
        </w:tc>
      </w:tr>
    </w:tbl>
    <w:p>
      <w:pPr>
        <w:sectPr>
          <w:pgSz w:w="11900" w:h="16838" w:orient="portrait"/>
          <w:cols w:equalWidth="0" w:num="1">
            <w:col w:w="11460"/>
          </w:cols>
          <w:pgMar w:left="240" w:top="125" w:right="19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Michelle D. Esterman</w:t>
            </w:r>
          </w:p>
        </w:tc>
        <w:tc>
          <w:tcPr>
            <w:tcW w:w="8540" w:type="dxa"/>
            <w:vAlign w:val="bottom"/>
          </w:tcPr>
          <w:p>
            <w:pPr>
              <w:jc w:val="center"/>
              <w:ind w:right="2850"/>
              <w:spacing w:after="0"/>
              <w:rPr>
                <w:sz w:val="20"/>
                <w:szCs w:val="20"/>
                <w:color w:val="auto"/>
              </w:rPr>
            </w:pPr>
            <w:r>
              <w:rPr>
                <w:rFonts w:ascii="Arial" w:cs="Arial" w:eastAsia="Arial" w:hAnsi="Arial"/>
                <w:sz w:val="18"/>
                <w:szCs w:val="18"/>
                <w:color w:val="auto"/>
                <w:w w:val="94"/>
              </w:rPr>
              <w:t>(Principal Financial Officer and Principal</w:t>
            </w:r>
          </w:p>
        </w:tc>
      </w:tr>
      <w:tr>
        <w:trPr>
          <w:trHeight w:val="230"/>
        </w:trPr>
        <w:tc>
          <w:tcPr>
            <w:tcW w:w="2920" w:type="dxa"/>
            <w:vAlign w:val="bottom"/>
          </w:tcPr>
          <w:p>
            <w:pPr>
              <w:spacing w:after="0"/>
              <w:rPr>
                <w:sz w:val="20"/>
                <w:szCs w:val="20"/>
                <w:color w:val="auto"/>
              </w:rPr>
            </w:pPr>
          </w:p>
        </w:tc>
        <w:tc>
          <w:tcPr>
            <w:tcW w:w="8540" w:type="dxa"/>
            <w:vAlign w:val="bottom"/>
          </w:tcPr>
          <w:p>
            <w:pPr>
              <w:jc w:val="center"/>
              <w:ind w:right="2830"/>
              <w:spacing w:after="0"/>
              <w:rPr>
                <w:sz w:val="20"/>
                <w:szCs w:val="20"/>
                <w:color w:val="auto"/>
              </w:rPr>
            </w:pPr>
            <w:r>
              <w:rPr>
                <w:rFonts w:ascii="Arial" w:cs="Arial" w:eastAsia="Arial" w:hAnsi="Arial"/>
                <w:sz w:val="18"/>
                <w:szCs w:val="18"/>
                <w:color w:val="auto"/>
                <w:w w:val="95"/>
              </w:rPr>
              <w:t>Accounting Officer)</w:t>
            </w:r>
          </w:p>
        </w:tc>
      </w:tr>
      <w:tr>
        <w:trPr>
          <w:trHeight w:val="432"/>
        </w:trPr>
        <w:tc>
          <w:tcPr>
            <w:tcW w:w="2920" w:type="dxa"/>
            <w:vAlign w:val="bottom"/>
          </w:tcPr>
          <w:p>
            <w:pPr>
              <w:spacing w:after="0"/>
              <w:rPr>
                <w:sz w:val="24"/>
                <w:szCs w:val="24"/>
                <w:color w:val="auto"/>
              </w:rPr>
            </w:pPr>
          </w:p>
        </w:tc>
        <w:tc>
          <w:tcPr>
            <w:tcW w:w="8540" w:type="dxa"/>
            <w:vAlign w:val="bottom"/>
          </w:tcPr>
          <w:p>
            <w:pPr>
              <w:jc w:val="center"/>
              <w:ind w:right="2870"/>
              <w:spacing w:after="0"/>
              <w:rPr>
                <w:sz w:val="20"/>
                <w:szCs w:val="20"/>
                <w:color w:val="auto"/>
              </w:rPr>
            </w:pPr>
            <w:r>
              <w:rPr>
                <w:rFonts w:ascii="Arial" w:cs="Arial" w:eastAsia="Arial" w:hAnsi="Arial"/>
                <w:sz w:val="18"/>
                <w:szCs w:val="18"/>
                <w:color w:val="auto"/>
                <w:w w:val="89"/>
              </w:rPr>
              <w:t>92</w:t>
            </w:r>
          </w:p>
        </w:tc>
      </w:tr>
      <w:tr>
        <w:trPr>
          <w:trHeight w:val="132"/>
        </w:trPr>
        <w:tc>
          <w:tcPr>
            <w:tcW w:w="2920" w:type="dxa"/>
            <w:vAlign w:val="bottom"/>
            <w:tcBorders>
              <w:bottom w:val="single" w:sz="8" w:color="010101"/>
            </w:tcBorders>
          </w:tcPr>
          <w:p>
            <w:pPr>
              <w:spacing w:after="0"/>
              <w:rPr>
                <w:sz w:val="11"/>
                <w:szCs w:val="11"/>
                <w:color w:val="auto"/>
              </w:rPr>
            </w:pPr>
          </w:p>
        </w:tc>
        <w:tc>
          <w:tcPr>
            <w:tcW w:w="8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7" w:name="page58"/>
    <w:bookmarkEnd w:id="57"/>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subsidiaries of Altisource Portfolio Solutions S.A. as of December 31, 2012 and the jurisdictions in which they are organized.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incorporation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or 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Altisource Solutions S.à r.l.</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Asia Holdings, Ltd. I</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Mauritius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Business Solutions Private Limited</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Portfolio Solutions,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Fulfillment Operations,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REALHome Services and Solutions,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Solutions,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Altisource US Data,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Springhouse, L.L.C.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Western Progressive — Nevada,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 Title Services,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Premium Title Agency,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Western Progressive — Arizona,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Premium Title of California,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PTS — Texas Title,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Nationwide Credit,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Georgia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Online Auction,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Hubzu USA, Inc.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Hubzu Notes, L.L.C.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Portfolio Management Outsourcing Solutions, L.L.C.</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Western Progressive Trustee, L.L.C.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5"/>
              </w:rPr>
              <w:t>Altisource Outsourcing Solutions S.R.L. (99.99% of outstanding stock)</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Uruguay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Altisource Holdings, L.L.C.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w w:val="94"/>
              </w:rPr>
              <w:t>Altisource Outsourcing Solutions S.R.L. (0.01% of outstanding stock)</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Uruguay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Altisource Single Family,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Solutions B.V.</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Altisource Business Solutions, Inc</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The Mortgage Partnership of America, L.L.C.</w:t>
            </w: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Missouri</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340" w:type="dxa"/>
            <w:vAlign w:val="bottom"/>
          </w:tcPr>
          <w:p>
            <w:pPr>
              <w:jc w:val="right"/>
              <w:ind w:right="30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33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333-161175 on Form S-8 of our reports dated February 13, 2013, relating to the consolidated financial statements (which report expresses an unqualified opinion and includes an explanatory paragraph related to the significant transactions with Ocwen Financial Corporation, a related party) of Altisource Portfolio Solutions S.A. and subsidiaries (the “Company”) , and the effectiveness of the Company’s internal control over financial reporting appearing in this Annual Report on Form 10-K of the Company for the year ended December 31,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certify that:</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Altisource Portfolio Solutions S.A.;</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ind w:left="980" w:right="280" w:hanging="324"/>
        <w:spacing w:after="0" w:line="264"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right"/>
        <w:ind w:left="980" w:right="720" w:hanging="324"/>
        <w:spacing w:after="0" w:line="342" w:lineRule="auto"/>
        <w:rPr>
          <w:rFonts w:ascii="Arial" w:cs="Arial" w:eastAsia="Arial" w:hAnsi="Arial"/>
          <w:sz w:val="18"/>
          <w:szCs w:val="18"/>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980" w:right="140" w:hanging="324"/>
        <w:spacing w:after="0" w:line="264"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980" w:right="62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13, 2013</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4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3780" w:type="dxa"/>
            <w:vAlign w:val="bottom"/>
            <w:tcBorders>
              <w:bottom w:val="single" w:sz="8" w:color="010101"/>
            </w:tcBorders>
          </w:tcPr>
          <w:p>
            <w:pPr>
              <w:spacing w:after="0"/>
              <w:rPr>
                <w:sz w:val="24"/>
                <w:szCs w:val="24"/>
                <w:color w:val="auto"/>
              </w:rPr>
            </w:pPr>
          </w:p>
        </w:tc>
        <w:tc>
          <w:tcPr>
            <w:tcW w:w="24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0" w:name="page61"/>
    <w:bookmarkEnd w:id="60"/>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Altisource Portfolio Solutions S.A.;</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2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ind w:left="980" w:right="280" w:hanging="324"/>
        <w:spacing w:after="0" w:line="264"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right"/>
        <w:ind w:left="980" w:right="720" w:hanging="324"/>
        <w:spacing w:after="0" w:line="342" w:lineRule="auto"/>
        <w:rPr>
          <w:rFonts w:ascii="Arial" w:cs="Arial" w:eastAsia="Arial" w:hAnsi="Arial"/>
          <w:sz w:val="18"/>
          <w:szCs w:val="18"/>
          <w:color w:val="auto"/>
        </w:rPr>
      </w:pPr>
      <w:r>
        <w:rPr>
          <w:rFonts w:ascii="Arial" w:cs="Arial" w:eastAsia="Arial" w:hAnsi="Arial"/>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980" w:right="140" w:hanging="324"/>
        <w:spacing w:after="0" w:line="264"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rPr>
          <w:rFonts w:ascii="Arial" w:cs="Arial" w:eastAsia="Arial" w:hAnsi="Arial"/>
          <w:sz w:val="17"/>
          <w:szCs w:val="17"/>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980" w:right="62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February 13, 2013</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connection with the Annual Report of Altisource Portfolio Solutions S.A. (the “Company”) on Form 10-K for the year ended December 31, 2012 as filed with the Securities and Exchange Commission on the date hereof (the “Report”), I, William B. Shepro, Chief Executive Officer of the Company, certify, pursuant to 18 U.S.C. § 1350, as adopted pursuant to Section 906 of the Sarbanes-Oxley Act of 2002, that, to my knowledge:</w:t>
      </w:r>
    </w:p>
    <w:p>
      <w:pPr>
        <w:spacing w:after="0" w:line="166"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February 13, 2013</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William B. Shepro</w:t>
            </w:r>
          </w:p>
        </w:tc>
      </w:tr>
      <w:tr>
        <w:trPr>
          <w:trHeight w:val="195"/>
        </w:trPr>
        <w:tc>
          <w:tcPr>
            <w:tcW w:w="37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2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In connection with the Annual Report of Altisource Portfolio Solutions S.A. (the “Company”) on Form 10-K for the year ended December 31, 2012 as filed with the Securities and Exchange Commission on the date hereof (the “Report”), I, Michelle D. Esterman, Chief Financial Officer of the Company, certify, pursuant to 18 U.S.C. § 1350, as adopted pursuant to Section 906 of the Sarbanes-Oxley Act of 2002, that to my knowledge:</w:t>
      </w:r>
    </w:p>
    <w:p>
      <w:pPr>
        <w:spacing w:after="0" w:line="166"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February 13, 2013</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Michelle D. Esterman</w:t>
            </w:r>
          </w:p>
        </w:tc>
      </w:tr>
      <w:tr>
        <w:trPr>
          <w:trHeight w:val="195"/>
        </w:trPr>
        <w:tc>
          <w:tcPr>
            <w:tcW w:w="3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2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2"/>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4"/>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lvl w:ilvl="1">
      <w:lvlJc w:val="left"/>
      <w:lvlText w:val="(%2)"/>
      <w:numFmt w:val="lowerLetter"/>
      <w:start w:val="1"/>
    </w:lvl>
  </w:abstractNum>
  <w:abstractNum w:abstractNumId="22">
    <w:nsid w:val="5577F8E1"/>
    <w:multiLevelType w:val="hybridMultilevel"/>
    <w:lvl w:ilvl="0">
      <w:lvlJc w:val="left"/>
      <w:lvlText w:val="(%1)"/>
      <w:numFmt w:val="lowerRoman"/>
      <w:start w:val="2"/>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4"/>
    </w:lvl>
    <w:lvl w:ilvl="1">
      <w:lvlJc w:val="left"/>
      <w:lvlText w:val="·"/>
      <w:numFmt w:val="bullet"/>
      <w:start w:val="1"/>
    </w:lvl>
  </w:abstractNum>
  <w:abstractNum w:abstractNumId="25">
    <w:nsid w:val="3804823E"/>
    <w:multiLevelType w:val="hybridMultilevel"/>
    <w:lvl w:ilvl="0">
      <w:lvlJc w:val="left"/>
      <w:lvlText w:val="%1."/>
      <w:numFmt w:val="decimal"/>
      <w:start w:val="9"/>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decimal"/>
      <w:start w:val="14"/>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20"/>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0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b"/>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b"/>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2019-12-07T20:20:03Z</dcterms:created>
  <dcterms:modified xsi:type="dcterms:W3CDTF">2019-12-07T20:20:03Z</dcterms:modified>
</cp:coreProperties>
</file>