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-175895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173990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ind w:left="960" w:hanging="587"/>
        <w:spacing w:after="0" w:line="222" w:lineRule="auto"/>
        <w:tabs>
          <w:tab w:leader="none" w:pos="9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FOR THE FISCAL YEAR ENDED DECEMBER 31, 2015</w:t>
      </w:r>
    </w:p>
    <w:p>
      <w:pPr>
        <w:sectPr>
          <w:pgSz w:w="11900" w:h="16838" w:orient="portrait"/>
          <w:cols w:equalWidth="0" w:num="1">
            <w:col w:w="11420"/>
          </w:cols>
          <w:pgMar w:left="240" w:top="522" w:right="239" w:bottom="1440" w:gutter="0" w:footer="0" w:header="0"/>
        </w:sectPr>
      </w:pPr>
    </w:p>
    <w:p>
      <w:pPr>
        <w:spacing w:after="0" w:line="200" w:lineRule="exact"/>
        <w:rPr>
          <w:sz w:val="24"/>
          <w:szCs w:val="24"/>
          <w:color w:val="auto"/>
        </w:rPr>
      </w:pPr>
    </w:p>
    <w:p>
      <w:pPr>
        <w:spacing w:after="0" w:line="234" w:lineRule="exact"/>
        <w:rPr>
          <w:sz w:val="24"/>
          <w:szCs w:val="24"/>
          <w:color w:val="auto"/>
        </w:rPr>
      </w:pPr>
    </w:p>
    <w:p>
      <w:pPr>
        <w:jc w:val="center"/>
        <w:ind w:right="1460"/>
        <w:spacing w:after="0"/>
        <w:rPr>
          <w:sz w:val="20"/>
          <w:szCs w:val="20"/>
          <w:color w:val="auto"/>
        </w:rPr>
      </w:pPr>
      <w:r>
        <w:rPr>
          <w:rFonts w:ascii="Arial" w:cs="Arial" w:eastAsia="Arial" w:hAnsi="Arial"/>
          <w:sz w:val="19"/>
          <w:szCs w:val="19"/>
          <w:b w:val="1"/>
          <w:bCs w:val="1"/>
          <w:color w:val="auto"/>
        </w:rPr>
        <w:t>o</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jc w:val="center"/>
        <w:ind w:right="3120"/>
        <w:spacing w:after="0"/>
        <w:rPr>
          <w:sz w:val="20"/>
          <w:szCs w:val="20"/>
          <w:color w:val="auto"/>
        </w:rPr>
      </w:pPr>
      <w:r>
        <w:rPr>
          <w:rFonts w:ascii="Arial" w:cs="Arial" w:eastAsia="Arial" w:hAnsi="Arial"/>
          <w:sz w:val="14"/>
          <w:szCs w:val="14"/>
          <w:b w:val="1"/>
          <w:bCs w:val="1"/>
          <w:color w:val="auto"/>
        </w:rPr>
        <w:t>OR</w:t>
      </w:r>
    </w:p>
    <w:p>
      <w:pPr>
        <w:spacing w:after="0" w:line="204" w:lineRule="exact"/>
        <w:rPr>
          <w:sz w:val="24"/>
          <w:szCs w:val="24"/>
          <w:color w:val="auto"/>
        </w:rPr>
      </w:pPr>
    </w:p>
    <w:p>
      <w:pPr>
        <w:ind w:left="1500" w:right="3120" w:hanging="3677"/>
        <w:spacing w:after="0" w:line="440"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618490</wp:posOffset>
            </wp:positionH>
            <wp:positionV relativeFrom="paragraph">
              <wp:posOffset>76835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420" w:space="720"/>
            <w:col w:w="8280"/>
          </w:cols>
          <w:pgMar w:left="240" w:top="522" w:right="239" w:bottom="1440" w:gutter="0" w:footer="0" w:header="0"/>
          <w:type w:val="continuous"/>
        </w:sectPr>
      </w:pP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ALTISOURCE PORTFOLIO SOLUTIONS S.A.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p>
      <w:pPr>
        <w:ind w:left="2400"/>
        <w:spacing w:after="0"/>
        <w:tabs>
          <w:tab w:leader="none" w:pos="8140" w:val="left"/>
        </w:tabs>
        <w:rPr>
          <w:sz w:val="20"/>
          <w:szCs w:val="20"/>
          <w:color w:val="auto"/>
        </w:rPr>
      </w:pPr>
      <w:r>
        <w:rPr>
          <w:rFonts w:ascii="Arial" w:cs="Arial" w:eastAsia="Arial" w:hAnsi="Arial"/>
          <w:sz w:val="16"/>
          <w:szCs w:val="16"/>
          <w:b w:val="1"/>
          <w:bCs w:val="1"/>
          <w:color w:val="auto"/>
        </w:rPr>
        <w:t>Luxembourg</w:t>
      </w:r>
      <w:r>
        <w:rPr>
          <w:sz w:val="20"/>
          <w:szCs w:val="20"/>
          <w:color w:val="auto"/>
        </w:rPr>
        <w:tab/>
      </w:r>
      <w:r>
        <w:rPr>
          <w:rFonts w:ascii="Arial" w:cs="Arial" w:eastAsia="Arial" w:hAnsi="Arial"/>
          <w:sz w:val="16"/>
          <w:szCs w:val="16"/>
          <w:b w:val="1"/>
          <w:bCs w:val="1"/>
          <w:color w:val="auto"/>
        </w:rPr>
        <w:t>98-0554932</w:t>
      </w:r>
    </w:p>
    <w:p>
      <w:pPr>
        <w:spacing w:after="0" w:line="72" w:lineRule="exact"/>
        <w:rPr>
          <w:sz w:val="24"/>
          <w:szCs w:val="24"/>
          <w:color w:val="auto"/>
        </w:rPr>
      </w:pPr>
    </w:p>
    <w:p>
      <w:pPr>
        <w:ind w:left="1360"/>
        <w:spacing w:after="0"/>
        <w:tabs>
          <w:tab w:leader="none" w:pos="7620" w:val="left"/>
        </w:tabs>
        <w:rPr>
          <w:sz w:val="20"/>
          <w:szCs w:val="20"/>
          <w:color w:val="auto"/>
        </w:rPr>
      </w:pPr>
      <w:r>
        <w:rPr>
          <w:rFonts w:ascii="Arial" w:cs="Arial" w:eastAsia="Arial" w:hAnsi="Arial"/>
          <w:sz w:val="13"/>
          <w:szCs w:val="13"/>
          <w:color w:val="auto"/>
        </w:rPr>
        <w:t>(State or other jurisdiction of incorporation or organization)</w:t>
      </w:r>
      <w:r>
        <w:rPr>
          <w:sz w:val="20"/>
          <w:szCs w:val="20"/>
          <w:color w:val="auto"/>
        </w:rPr>
        <w:tab/>
      </w:r>
      <w:r>
        <w:rPr>
          <w:rFonts w:ascii="Arial" w:cs="Arial" w:eastAsia="Arial" w:hAnsi="Arial"/>
          <w:sz w:val="11"/>
          <w:szCs w:val="11"/>
          <w:color w:val="auto"/>
        </w:rPr>
        <w:t>(I.R.S. Employer Identification No.)</w:t>
      </w:r>
    </w:p>
    <w:p>
      <w:pPr>
        <w:spacing w:after="0" w:line="26" w:lineRule="exact"/>
        <w:rPr>
          <w:sz w:val="24"/>
          <w:szCs w:val="24"/>
          <w:color w:val="auto"/>
        </w:rPr>
      </w:pPr>
    </w:p>
    <w:p>
      <w:pPr>
        <w:ind w:left="5020"/>
        <w:spacing w:after="0"/>
        <w:rPr>
          <w:sz w:val="20"/>
          <w:szCs w:val="20"/>
          <w:color w:val="auto"/>
        </w:rPr>
      </w:pPr>
      <w:r>
        <w:rPr>
          <w:rFonts w:ascii="Arial" w:cs="Arial" w:eastAsia="Arial" w:hAnsi="Arial"/>
          <w:sz w:val="16"/>
          <w:szCs w:val="16"/>
          <w:b w:val="1"/>
          <w:bCs w:val="1"/>
          <w:color w:val="auto"/>
        </w:rPr>
        <w:t>40, avenue Monterey</w:t>
      </w:r>
    </w:p>
    <w:p>
      <w:pPr>
        <w:spacing w:after="0" w:line="26"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L-2163 Luxembourg</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24 69 79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w w:val="89"/>
              </w:rPr>
              <w:t>Securities registered pursuant to Section 12(b) of the Act:</w:t>
            </w:r>
          </w:p>
        </w:tc>
        <w:tc>
          <w:tcPr>
            <w:tcW w:w="4100" w:type="dxa"/>
            <w:vAlign w:val="bottom"/>
          </w:tcPr>
          <w:p>
            <w:pPr>
              <w:spacing w:after="0"/>
              <w:rPr>
                <w:sz w:val="17"/>
                <w:szCs w:val="17"/>
                <w:color w:val="auto"/>
              </w:rPr>
            </w:pPr>
          </w:p>
        </w:tc>
      </w:tr>
      <w:tr>
        <w:trPr>
          <w:trHeight w:val="379"/>
        </w:trPr>
        <w:tc>
          <w:tcPr>
            <w:tcW w:w="3960" w:type="dxa"/>
            <w:vAlign w:val="bottom"/>
            <w:tcBorders>
              <w:bottom w:val="single" w:sz="8" w:color="auto"/>
            </w:tcBorders>
          </w:tcPr>
          <w:p>
            <w:pPr>
              <w:jc w:val="center"/>
              <w:ind w:left="1603"/>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3960" w:type="dxa"/>
            <w:vAlign w:val="bottom"/>
          </w:tcPr>
          <w:p>
            <w:pPr>
              <w:jc w:val="center"/>
              <w:ind w:left="1583"/>
              <w:spacing w:after="0"/>
              <w:rPr>
                <w:sz w:val="20"/>
                <w:szCs w:val="20"/>
                <w:color w:val="auto"/>
              </w:rPr>
            </w:pPr>
            <w:r>
              <w:rPr>
                <w:rFonts w:ascii="Arial" w:cs="Arial" w:eastAsia="Arial" w:hAnsi="Arial"/>
                <w:sz w:val="16"/>
                <w:szCs w:val="16"/>
                <w:color w:val="auto"/>
                <w:w w:val="91"/>
              </w:rPr>
              <w:t>Common Stock, $1.00 par value</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100" w:type="dxa"/>
            <w:vAlign w:val="bottom"/>
          </w:tcPr>
          <w:p>
            <w:pPr>
              <w:jc w:val="center"/>
              <w:ind w:right="1399"/>
              <w:spacing w:after="0"/>
              <w:rPr>
                <w:sz w:val="20"/>
                <w:szCs w:val="20"/>
                <w:color w:val="auto"/>
              </w:rPr>
            </w:pPr>
            <w:r>
              <w:rPr>
                <w:rFonts w:ascii="Arial" w:cs="Arial" w:eastAsia="Arial" w:hAnsi="Arial"/>
                <w:sz w:val="16"/>
                <w:szCs w:val="16"/>
                <w:color w:val="auto"/>
                <w:w w:val="95"/>
              </w:rPr>
              <w:t>NASDAQ Global Select Market</w:t>
            </w:r>
          </w:p>
        </w:tc>
      </w:tr>
    </w:tbl>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8" w:lineRule="exact"/>
        <w:rPr>
          <w:sz w:val="24"/>
          <w:szCs w:val="24"/>
          <w:color w:val="auto"/>
        </w:rPr>
      </w:pPr>
    </w:p>
    <w:p>
      <w:pPr>
        <w:ind w:right="4700"/>
        <w:spacing w:after="0" w:line="205"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Arial" w:cs="Arial" w:eastAsia="Arial" w:hAnsi="Arial"/>
          <w:sz w:val="11"/>
          <w:szCs w:val="11"/>
          <w:b w:val="1"/>
          <w:bCs w:val="1"/>
          <w:color w:val="auto"/>
        </w:rPr>
        <w:t>o</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Arial" w:cs="Arial" w:eastAsia="Arial" w:hAnsi="Arial"/>
          <w:sz w:val="11"/>
          <w:szCs w:val="11"/>
          <w:b w:val="1"/>
          <w:bCs w:val="1"/>
          <w:color w:val="auto"/>
        </w:rPr>
        <w:t>o</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50"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3"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3"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(as defined in Rule 12b-2 of the Exchange Act):</w:t>
      </w:r>
    </w:p>
    <w:p>
      <w:pPr>
        <w:spacing w:after="0" w:line="150" w:lineRule="exact"/>
        <w:rPr>
          <w:sz w:val="24"/>
          <w:szCs w:val="24"/>
          <w:color w:val="auto"/>
        </w:rPr>
      </w:pPr>
    </w:p>
    <w:p>
      <w:pPr>
        <w:ind w:left="160"/>
        <w:spacing w:after="0" w:line="150" w:lineRule="exact"/>
        <w:tabs>
          <w:tab w:leader="none" w:pos="82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Accelerated filer o</w:t>
      </w:r>
    </w:p>
    <w:p>
      <w:pPr>
        <w:spacing w:after="0" w:line="64" w:lineRule="exact"/>
        <w:rPr>
          <w:sz w:val="24"/>
          <w:szCs w:val="24"/>
          <w:color w:val="auto"/>
        </w:rPr>
      </w:pPr>
    </w:p>
    <w:p>
      <w:pPr>
        <w:ind w:left="160"/>
        <w:spacing w:after="0"/>
        <w:tabs>
          <w:tab w:leader="none" w:pos="8220" w:val="left"/>
        </w:tabs>
        <w:rPr>
          <w:sz w:val="20"/>
          <w:szCs w:val="20"/>
          <w:color w:val="auto"/>
        </w:rPr>
      </w:pPr>
      <w:r>
        <w:rPr>
          <w:rFonts w:ascii="Arial" w:cs="Arial" w:eastAsia="Arial" w:hAnsi="Arial"/>
          <w:sz w:val="13"/>
          <w:szCs w:val="13"/>
          <w:color w:val="auto"/>
        </w:rPr>
        <w:t>Non-accelerated filer o (Do not check if a smaller reporting company)</w:t>
      </w:r>
      <w:r>
        <w:rPr>
          <w:sz w:val="20"/>
          <w:szCs w:val="20"/>
          <w:color w:val="auto"/>
        </w:rPr>
        <w:tab/>
      </w:r>
      <w:r>
        <w:rPr>
          <w:rFonts w:ascii="Arial" w:cs="Arial" w:eastAsia="Arial" w:hAnsi="Arial"/>
          <w:sz w:val="11"/>
          <w:szCs w:val="11"/>
          <w:color w:val="auto"/>
        </w:rPr>
        <w:t>Smaller reporting company o</w:t>
      </w:r>
    </w:p>
    <w:p>
      <w:pPr>
        <w:spacing w:after="0" w:line="1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o No </w:t>
      </w:r>
      <w:r>
        <w:rPr>
          <w:rFonts w:ascii="MS PGothic" w:cs="MS PGothic" w:eastAsia="MS PGothic" w:hAnsi="MS PGothic"/>
          <w:sz w:val="13"/>
          <w:szCs w:val="13"/>
          <w:color w:val="auto"/>
        </w:rPr>
        <w:t>☑</w:t>
      </w:r>
    </w:p>
    <w:p>
      <w:pPr>
        <w:spacing w:after="0" w:line="149" w:lineRule="exact"/>
        <w:rPr>
          <w:sz w:val="24"/>
          <w:szCs w:val="24"/>
          <w:color w:val="auto"/>
        </w:rPr>
      </w:pPr>
    </w:p>
    <w:p>
      <w:pPr>
        <w:jc w:val="both"/>
        <w:ind w:right="20"/>
        <w:spacing w:after="0" w:line="297" w:lineRule="auto"/>
        <w:rPr>
          <w:sz w:val="20"/>
          <w:szCs w:val="20"/>
          <w:color w:val="auto"/>
        </w:rPr>
      </w:pPr>
      <w:r>
        <w:rPr>
          <w:rFonts w:ascii="Arial" w:cs="Arial" w:eastAsia="Arial" w:hAnsi="Arial"/>
          <w:sz w:val="12"/>
          <w:szCs w:val="12"/>
          <w:color w:val="auto"/>
        </w:rPr>
        <w:t>The aggregate market value of the voting stock held by non-affiliates of the registrant as of June 30, 2015 was $569,714,482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104"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22, 2016, there were 18,839,824 outstanding shares of the registrant’s shares of beneficial interest (excluding 6,572,924 shares held as treasury stock).</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48" w:lineRule="exact"/>
        <w:rPr>
          <w:sz w:val="24"/>
          <w:szCs w:val="24"/>
          <w:color w:val="auto"/>
        </w:rPr>
      </w:pPr>
    </w:p>
    <w:p>
      <w:pPr>
        <w:jc w:val="both"/>
        <w:spacing w:after="0" w:line="247" w:lineRule="auto"/>
        <w:rPr>
          <w:sz w:val="20"/>
          <w:szCs w:val="20"/>
          <w:color w:val="auto"/>
        </w:rPr>
      </w:pPr>
      <w:r>
        <w:rPr>
          <w:rFonts w:ascii="Arial" w:cs="Arial" w:eastAsia="Arial" w:hAnsi="Arial"/>
          <w:sz w:val="13"/>
          <w:szCs w:val="13"/>
          <w:color w:val="auto"/>
        </w:rPr>
        <w:t>Portions of the registrant’s Definitive Proxy Statement to be filed subsequent to the date hereof with the Securities and Exchange Commission pursuant to Regulation 14A in connection with the registrant’s Annual Meeting of Shareholders to be held on May 18, 2016 are incorporated by reference into Part III of this Report. Such Definitive Proxy Statement will be filed with the Securities and Exchange Commission not later than 120 days after the conclusion of the registrant’s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170180</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84455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580" w:type="dxa"/>
            <w:vAlign w:val="bottom"/>
            <w:tcBorders>
              <w:bottom w:val="single" w:sz="8" w:color="0000EE"/>
            </w:tcBorders>
            <w:gridSpan w:val="2"/>
          </w:tcPr>
          <w:p>
            <w:pPr>
              <w:spacing w:after="0" w:line="189" w:lineRule="exact"/>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1480" w:type="dxa"/>
            <w:vAlign w:val="bottom"/>
            <w:gridSpan w:val="8"/>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980" w:type="dxa"/>
            <w:vAlign w:val="bottom"/>
            <w:gridSpan w:val="4"/>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BUSINESS</w:t>
              </w:r>
            </w:hyperlink>
          </w:p>
        </w:tc>
        <w:tc>
          <w:tcPr>
            <w:tcW w:w="7440" w:type="dxa"/>
            <w:vAlign w:val="bottom"/>
            <w:gridSpan w:val="22"/>
          </w:tcPr>
          <w:p>
            <w:pPr>
              <w:spacing w:after="0"/>
              <w:rPr>
                <w:sz w:val="22"/>
                <w:szCs w:val="22"/>
                <w:color w:val="auto"/>
              </w:rPr>
            </w:pPr>
          </w:p>
        </w:tc>
        <w:tc>
          <w:tcPr>
            <w:tcW w:w="900" w:type="dxa"/>
            <w:vAlign w:val="bottom"/>
            <w:gridSpan w:val="3"/>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700" w:type="dxa"/>
            <w:vAlign w:val="bottom"/>
            <w:gridSpan w:val="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ITEM 1A.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00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00" w:type="dxa"/>
            <w:vAlign w:val="bottom"/>
            <w:gridSpan w:val="6"/>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1B.</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00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PROPERTIES</w:t>
              </w:r>
            </w:hyperlink>
          </w:p>
        </w:tc>
        <w:tc>
          <w:tcPr>
            <w:tcW w:w="1760" w:type="dxa"/>
            <w:vAlign w:val="bottom"/>
            <w:gridSpan w:val="8"/>
          </w:tcPr>
          <w:p>
            <w:pPr>
              <w:spacing w:after="0"/>
              <w:rPr>
                <w:sz w:val="21"/>
                <w:szCs w:val="21"/>
                <w:color w:val="auto"/>
              </w:rPr>
            </w:pPr>
          </w:p>
        </w:tc>
        <w:tc>
          <w:tcPr>
            <w:tcW w:w="5480" w:type="dxa"/>
            <w:vAlign w:val="bottom"/>
            <w:gridSpan w:val="13"/>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3.</w:t>
              </w:r>
            </w:hyperlink>
          </w:p>
        </w:tc>
        <w:tc>
          <w:tcPr>
            <w:tcW w:w="980" w:type="dxa"/>
            <w:vAlign w:val="bottom"/>
            <w:gridSpan w:val="4"/>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LEGAL PROCEEDINGS</w:t>
              </w:r>
            </w:hyperlink>
          </w:p>
        </w:tc>
        <w:tc>
          <w:tcPr>
            <w:tcW w:w="6420" w:type="dxa"/>
            <w:vAlign w:val="bottom"/>
            <w:gridSpan w:val="17"/>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4.</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00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60" w:type="dxa"/>
            <w:vAlign w:val="bottom"/>
            <w:gridSpan w:val="1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5.</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MARKET FOR REGISTRANT’S COMMON EQUITY, RELATED STOCKHOLDER MATTERS AND ISSUER</w:t>
              </w:r>
            </w:hyperlink>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0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6.</w:t>
              </w:r>
            </w:hyperlink>
          </w:p>
        </w:tc>
        <w:tc>
          <w:tcPr>
            <w:tcW w:w="980" w:type="dxa"/>
            <w:vAlign w:val="bottom"/>
            <w:gridSpan w:val="4"/>
          </w:tcPr>
          <w:p>
            <w:pPr>
              <w:spacing w:after="0"/>
              <w:rPr>
                <w:sz w:val="21"/>
                <w:szCs w:val="21"/>
                <w:color w:val="auto"/>
              </w:rPr>
            </w:pPr>
          </w:p>
        </w:tc>
        <w:tc>
          <w:tcPr>
            <w:tcW w:w="310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5200" w:type="dxa"/>
            <w:vAlign w:val="bottom"/>
            <w:gridSpan w:val="12"/>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7.</w:t>
              </w:r>
            </w:hyperlink>
          </w:p>
        </w:tc>
        <w:tc>
          <w:tcPr>
            <w:tcW w:w="980" w:type="dxa"/>
            <w:vAlign w:val="bottom"/>
            <w:gridSpan w:val="4"/>
          </w:tcPr>
          <w:p>
            <w:pPr>
              <w:spacing w:after="0"/>
              <w:rPr>
                <w:sz w:val="21"/>
                <w:szCs w:val="21"/>
                <w:color w:val="auto"/>
              </w:rPr>
            </w:pPr>
          </w:p>
        </w:tc>
        <w:tc>
          <w:tcPr>
            <w:tcW w:w="77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MANAGEMENT’S DISCUSSION AND ANALYSIS OF FINANCIAL CONDITION AND RESULTS OF</w:t>
              </w:r>
            </w:hyperlink>
          </w:p>
        </w:tc>
        <w:tc>
          <w:tcPr>
            <w:tcW w:w="520" w:type="dxa"/>
            <w:vAlign w:val="bottom"/>
            <w:gridSpan w:val="4"/>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300" w:type="dxa"/>
            <w:vAlign w:val="bottom"/>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OPERATIONS</w:t>
              </w:r>
            </w:hyperlink>
          </w:p>
        </w:tc>
        <w:tc>
          <w:tcPr>
            <w:tcW w:w="1000" w:type="dxa"/>
            <w:vAlign w:val="bottom"/>
            <w:gridSpan w:val="4"/>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00" w:type="dxa"/>
            <w:vAlign w:val="bottom"/>
            <w:gridSpan w:val="6"/>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ITEM 7A.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100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ITEM 8.</w:t>
              </w:r>
            </w:hyperlink>
          </w:p>
        </w:tc>
        <w:tc>
          <w:tcPr>
            <w:tcW w:w="80" w:type="dxa"/>
            <w:vAlign w:val="bottom"/>
          </w:tcPr>
          <w:p>
            <w:pPr>
              <w:spacing w:after="0"/>
              <w:rPr>
                <w:sz w:val="21"/>
                <w:szCs w:val="21"/>
                <w:color w:val="auto"/>
              </w:rPr>
            </w:pPr>
          </w:p>
        </w:tc>
        <w:tc>
          <w:tcPr>
            <w:tcW w:w="900" w:type="dxa"/>
            <w:vAlign w:val="bottom"/>
            <w:gridSpan w:val="3"/>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160" w:type="dxa"/>
            <w:vAlign w:val="bottom"/>
            <w:gridSpan w:val="6"/>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20" w:type="dxa"/>
            <w:vAlign w:val="bottom"/>
            <w:gridSpan w:val="5"/>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ITEM 9.</w:t>
              </w:r>
            </w:hyperlink>
          </w:p>
        </w:tc>
        <w:tc>
          <w:tcPr>
            <w:tcW w:w="980" w:type="dxa"/>
            <w:vAlign w:val="bottom"/>
            <w:gridSpan w:val="4"/>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CHANGES IN AND DISAGREEMENTS WITH ACCOUNTANTS ON ACCOUNTING AND FINANCIAL</w:t>
              </w:r>
            </w:hyperlink>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1000" w:type="dxa"/>
            <w:vAlign w:val="bottom"/>
            <w:gridSpan w:val="4"/>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00" w:type="dxa"/>
            <w:vAlign w:val="bottom"/>
            <w:gridSpan w:val="6"/>
          </w:tcPr>
          <w:p>
            <w:pPr>
              <w:spacing w:after="0"/>
              <w:rPr>
                <w:rFonts w:ascii="Arial" w:cs="Arial" w:eastAsia="Arial" w:hAnsi="Arial"/>
                <w:sz w:val="18"/>
                <w:szCs w:val="18"/>
                <w:color w:val="0000EE"/>
                <w:w w:val="87"/>
              </w:rPr>
            </w:pPr>
            <w:hyperlink w:anchor="page97">
              <w:r>
                <w:rPr>
                  <w:rFonts w:ascii="Arial" w:cs="Arial" w:eastAsia="Arial" w:hAnsi="Arial"/>
                  <w:sz w:val="18"/>
                  <w:szCs w:val="18"/>
                  <w:color w:val="0000EE"/>
                  <w:w w:val="87"/>
                </w:rPr>
                <w:t>ITEM 9A.</w:t>
              </w:r>
            </w:hyperlink>
          </w:p>
        </w:tc>
        <w:tc>
          <w:tcPr>
            <w:tcW w:w="900" w:type="dxa"/>
            <w:vAlign w:val="bottom"/>
            <w:gridSpan w:val="3"/>
          </w:tcPr>
          <w:p>
            <w:pPr>
              <w:spacing w:after="0"/>
              <w:rPr>
                <w:sz w:val="21"/>
                <w:szCs w:val="21"/>
                <w:color w:val="auto"/>
              </w:rPr>
            </w:pPr>
          </w:p>
        </w:tc>
        <w:tc>
          <w:tcPr>
            <w:tcW w:w="83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100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00" w:type="dxa"/>
            <w:vAlign w:val="bottom"/>
            <w:gridSpan w:val="6"/>
          </w:tcPr>
          <w:p>
            <w:pPr>
              <w:spacing w:after="0"/>
              <w:rPr>
                <w:rFonts w:ascii="Arial" w:cs="Arial" w:eastAsia="Arial" w:hAnsi="Arial"/>
                <w:sz w:val="18"/>
                <w:szCs w:val="18"/>
                <w:color w:val="0000EE"/>
                <w:w w:val="87"/>
              </w:rPr>
            </w:pPr>
            <w:hyperlink w:anchor="page98">
              <w:r>
                <w:rPr>
                  <w:rFonts w:ascii="Arial" w:cs="Arial" w:eastAsia="Arial" w:hAnsi="Arial"/>
                  <w:sz w:val="18"/>
                  <w:szCs w:val="18"/>
                  <w:color w:val="0000EE"/>
                  <w:w w:val="87"/>
                </w:rPr>
                <w:t>ITEM 9B.</w:t>
              </w:r>
            </w:hyperlink>
          </w:p>
        </w:tc>
        <w:tc>
          <w:tcPr>
            <w:tcW w:w="900" w:type="dxa"/>
            <w:vAlign w:val="bottom"/>
            <w:gridSpan w:val="3"/>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OTHER INFORMATION</w:t>
              </w:r>
            </w:hyperlink>
          </w:p>
        </w:tc>
        <w:tc>
          <w:tcPr>
            <w:tcW w:w="5700" w:type="dxa"/>
            <w:vAlign w:val="bottom"/>
            <w:gridSpan w:val="14"/>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III</w:t>
              </w:r>
            </w:hyperlink>
          </w:p>
        </w:tc>
        <w:tc>
          <w:tcPr>
            <w:tcW w:w="134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600" w:type="dxa"/>
            <w:vAlign w:val="bottom"/>
            <w:gridSpan w:val="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10.</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DIRECTORS, EXECUTIVE OFFICERS AND CORPORATE GOVERNANCE</w:t>
              </w:r>
            </w:hyperlink>
          </w:p>
        </w:tc>
        <w:tc>
          <w:tcPr>
            <w:tcW w:w="100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00" w:type="dxa"/>
            <w:vAlign w:val="bottom"/>
            <w:gridSpan w:val="6"/>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ITEM 11.</w:t>
              </w:r>
            </w:hyperlink>
          </w:p>
        </w:tc>
        <w:tc>
          <w:tcPr>
            <w:tcW w:w="900" w:type="dxa"/>
            <w:vAlign w:val="bottom"/>
            <w:gridSpan w:val="3"/>
          </w:tcPr>
          <w:p>
            <w:pPr>
              <w:spacing w:after="0"/>
              <w:rPr>
                <w:sz w:val="21"/>
                <w:szCs w:val="21"/>
                <w:color w:val="auto"/>
              </w:rPr>
            </w:pPr>
          </w:p>
        </w:tc>
        <w:tc>
          <w:tcPr>
            <w:tcW w:w="5800" w:type="dxa"/>
            <w:vAlign w:val="bottom"/>
            <w:gridSpan w:val="1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2500" w:type="dxa"/>
            <w:vAlign w:val="bottom"/>
            <w:gridSpan w:val="7"/>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Borders>
              <w:left w:val="single" w:sz="8" w:color="0000EE"/>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12.</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w:t>
              </w:r>
            </w:hyperlink>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STOCKHOLDER MATTERS</w:t>
              </w:r>
            </w:hyperlink>
          </w:p>
        </w:tc>
        <w:tc>
          <w:tcPr>
            <w:tcW w:w="280" w:type="dxa"/>
            <w:vAlign w:val="bottom"/>
            <w:gridSpan w:val="2"/>
          </w:tcPr>
          <w:p>
            <w:pPr>
              <w:spacing w:after="0"/>
              <w:rPr>
                <w:sz w:val="17"/>
                <w:szCs w:val="17"/>
                <w:color w:val="auto"/>
              </w:rPr>
            </w:pPr>
          </w:p>
        </w:tc>
        <w:tc>
          <w:tcPr>
            <w:tcW w:w="100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13.</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TRANSACTIONS, AND DIRECTOR INDEPENDENCE</w:t>
              </w:r>
            </w:hyperlink>
          </w:p>
        </w:tc>
        <w:tc>
          <w:tcPr>
            <w:tcW w:w="1000" w:type="dxa"/>
            <w:vAlign w:val="bottom"/>
            <w:gridSpan w:val="4"/>
            <w:vMerge w:val="restart"/>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14.</w:t>
              </w:r>
            </w:hyperlink>
          </w:p>
        </w:tc>
        <w:tc>
          <w:tcPr>
            <w:tcW w:w="83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100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060" w:type="dxa"/>
            <w:vAlign w:val="bottom"/>
            <w:gridSpan w:val="10"/>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600" w:type="dxa"/>
            <w:vAlign w:val="bottom"/>
            <w:gridSpan w:val="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15.</w:t>
              </w:r>
            </w:hyperlink>
          </w:p>
        </w:tc>
        <w:tc>
          <w:tcPr>
            <w:tcW w:w="830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FINANCIAL STATEMENT SCHEDULES</w:t>
              </w:r>
            </w:hyperlink>
          </w:p>
        </w:tc>
        <w:tc>
          <w:tcPr>
            <w:tcW w:w="100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gridSpan w:val="1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600" w:type="dxa"/>
            <w:vAlign w:val="bottom"/>
            <w:gridSpan w:val="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SCHEDULE II.</w:t>
              </w:r>
            </w:hyperlink>
          </w:p>
        </w:tc>
        <w:tc>
          <w:tcPr>
            <w:tcW w:w="830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VALUATION AND QUALIFYING ACCOUNTS</w:t>
              </w:r>
            </w:hyperlink>
          </w:p>
        </w:tc>
        <w:tc>
          <w:tcPr>
            <w:tcW w:w="100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460" w:type="dxa"/>
            <w:vAlign w:val="bottom"/>
          </w:tcPr>
          <w:p>
            <w:pPr>
              <w:spacing w:after="0"/>
              <w:rPr>
                <w:sz w:val="24"/>
                <w:szCs w:val="24"/>
                <w:color w:val="auto"/>
              </w:rPr>
            </w:pPr>
          </w:p>
        </w:tc>
        <w:tc>
          <w:tcPr>
            <w:tcW w:w="1140" w:type="dxa"/>
            <w:vAlign w:val="bottom"/>
            <w:tcBorders>
              <w:top w:val="single" w:sz="8" w:color="0000EE"/>
            </w:tcBorders>
            <w:gridSpan w:val="8"/>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SIGNATURES</w:t>
              </w:r>
            </w:hyperlink>
          </w:p>
        </w:tc>
        <w:tc>
          <w:tcPr>
            <w:tcW w:w="4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4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40" w:type="dxa"/>
            <w:vAlign w:val="bottom"/>
            <w:gridSpan w:val="13"/>
          </w:tcPr>
          <w:p>
            <w:pPr>
              <w:ind w:left="35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FORWARD-LOOKING STATEMENTS</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company, and its wholly-owned subsidiaries.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3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Altisource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incorporated under the laws of the Grand Duchy of Luxembourg.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2015 highlights and significant items include:</w:t>
      </w:r>
    </w:p>
    <w:p>
      <w:pPr>
        <w:spacing w:after="0" w:line="225"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Recognized service revenue of $940.9 million, which increased slightly compared to the year ended December 31,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Recognized total revenue of $1,051.5 million, a 3% decrease compared to the year ended December 31,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Selected by two top ten banks to provide services for their portfolios, including the selection by a top four bank in the fourth quarter of 2015;</w:t>
      </w:r>
    </w:p>
    <w:p>
      <w:pPr>
        <w:spacing w:after="0" w:line="20" w:lineRule="exact"/>
        <w:rPr>
          <w:rFonts w:ascii="Arial" w:cs="Arial" w:eastAsia="Arial" w:hAnsi="Arial"/>
          <w:sz w:val="17"/>
          <w:szCs w:val="17"/>
          <w:color w:val="auto"/>
        </w:rPr>
      </w:pPr>
    </w:p>
    <w:p>
      <w:pPr>
        <w:ind w:left="660" w:right="20" w:hanging="328"/>
        <w:spacing w:after="0" w:line="265" w:lineRule="auto"/>
        <w:tabs>
          <w:tab w:leader="none" w:pos="660" w:val="left"/>
        </w:tabs>
        <w:numPr>
          <w:ilvl w:val="1"/>
          <w:numId w:val="2"/>
        </w:numPr>
        <w:rPr>
          <w:rFonts w:ascii="Arial" w:cs="Arial" w:eastAsia="Arial" w:hAnsi="Arial"/>
          <w:sz w:val="17"/>
          <w:szCs w:val="17"/>
          <w:color w:val="auto"/>
        </w:rPr>
      </w:pPr>
      <w:r>
        <w:rPr>
          <w:rFonts w:ascii="Arial" w:cs="Arial" w:eastAsia="Arial" w:hAnsi="Arial"/>
          <w:sz w:val="17"/>
          <w:szCs w:val="17"/>
          <w:color w:val="auto"/>
        </w:rPr>
        <w:t>In the fourth quarter of 2015, recorded non-cash impairment losses of $71.8 million in our Technology Services segment primarily driven by the Company’s current projected Technology Services revenue from Ocwen and investment in technologies provided to Ocwen;</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Recognized diluted earnings per share of $2.02, a 64% decrease compared to the year ended December 31, 2014;</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Recognized adjusted diluted earnings per share</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of $6.96, a 3% decrease compared to the year ended December 31, 2014;</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Generated cash flows from operations of $195.4 million, a 1% decrease compared to the year ended December 31, 2014;</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Repurchased 2.1 million shares of common stock at an average price of $27.60 per share;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Repurchased portions of our senior secured term loan with an aggregate par value of $49.0 million at a weighted average discount of 10.3%, resulting in net gains totaling $3.8 million on the early extinguishment of debt;</w:t>
      </w:r>
    </w:p>
    <w:p>
      <w:pPr>
        <w:ind w:left="660" w:hanging="328"/>
        <w:spacing w:after="0" w:line="181"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strengthen the Real Estate Investor Solutions initiative, we acquired RentRange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Investability</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for $24.8 million; and</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 July 17, 2015, acquired CastleLine for $33.4 million.</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5"/>
          <w:szCs w:val="15"/>
          <w:color w:val="auto"/>
        </w:rPr>
        <w:t>This is a non-GAAP measure that is defined and reconciled to the corresponding GAAP measure on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57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Mortgage Services</w:t>
      </w:r>
      <w:r>
        <w:rPr>
          <w:rFonts w:ascii="Arial" w:cs="Arial" w:eastAsia="Arial" w:hAnsi="Arial"/>
          <w:sz w:val="17"/>
          <w:szCs w:val="17"/>
          <w:color w:val="auto"/>
        </w:rPr>
        <w:t>: Provides services that span the mortgage and real estate lifecycle and are typically outsourced by loan servicers, loan originators, home</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and other sellers and buyers of single family homes. We provide most of these services primarily for loan portfolios serviced by Ocwen Financial Corporation and its subsidiaries (“Ocwen”). We also have longstanding relationships with commercial banks, insurance companies, mortgage bankers and other companies involved in the mortgage industry. Within the Mortgage Services segment, we provide the following services:</w:t>
      </w:r>
    </w:p>
    <w:p>
      <w:pPr>
        <w:spacing w:after="0" w:line="171"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7"/>
          <w:szCs w:val="17"/>
          <w:i w:val="1"/>
          <w:iCs w:val="1"/>
          <w:color w:val="auto"/>
        </w:rPr>
        <w:t xml:space="preserve">Asset management services </w:t>
      </w:r>
      <w:r>
        <w:rPr>
          <w:rFonts w:ascii="Arial" w:cs="Arial" w:eastAsia="Arial" w:hAnsi="Arial"/>
          <w:sz w:val="17"/>
          <w:szCs w:val="17"/>
          <w:color w:val="auto"/>
        </w:rPr>
        <w:t>- Asset management services principally include property preservation, property inspection, real estate owned (“REO”)</w:t>
      </w:r>
      <w:r>
        <w:rPr>
          <w:rFonts w:ascii="Arial" w:cs="Arial" w:eastAsia="Arial" w:hAnsi="Arial"/>
          <w:sz w:val="17"/>
          <w:szCs w:val="17"/>
          <w:i w:val="1"/>
          <w:iCs w:val="1"/>
          <w:color w:val="auto"/>
        </w:rPr>
        <w:t xml:space="preserve"> </w:t>
      </w:r>
      <w:r>
        <w:rPr>
          <w:rFonts w:ascii="Arial" w:cs="Arial" w:eastAsia="Arial" w:hAnsi="Arial"/>
          <w:sz w:val="17"/>
          <w:szCs w:val="17"/>
          <w:color w:val="auto"/>
        </w:rPr>
        <w:t>asset management, the Hubzu</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Owners.com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real estate portals and real estate brokerage services. We also provide property management, lease management and renovation management services for single family rental properties. Through our recent acquisition of GoldenGator, LLC (doing business as RentRange), REIsmart, LLC (doing business as Investability) and Onit Solutions, LLC, a support company for RentRange and Investability (collectively, the “Acquired RentRange and Investability Businesses”), we provide rental home data and information to the financial services and real estate industries and an online residential real estate investor search and acquisition platform.</w:t>
      </w:r>
    </w:p>
    <w:p>
      <w:pPr>
        <w:spacing w:after="0" w:line="191"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i w:val="1"/>
          <w:iCs w:val="1"/>
          <w:color w:val="auto"/>
        </w:rPr>
        <w:t xml:space="preserve">Insurance services </w:t>
      </w:r>
      <w:r>
        <w:rPr>
          <w:rFonts w:ascii="Arial" w:cs="Arial" w:eastAsia="Arial" w:hAnsi="Arial"/>
          <w:sz w:val="17"/>
          <w:szCs w:val="17"/>
          <w:color w:val="auto"/>
        </w:rPr>
        <w:t>- Insurance services include an array of insurance services including pre-foreclosure, REO and refinance title searches, title</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agency services, settlement and escrow services and loss draft claims processing. Prior to the fourth quarter of 2014 discontinuation, we provided insurance program management and insurance brokerage services for REO and lender placed insurance companies. Through the recent acquisition of CastleLine Holdings, LLC and its subsidiaries (“CastleLine”), we provide financial products (including insurance) and services to parties involved in the origination, underwriting, purchase and securitization of residential mortgages.</w:t>
      </w:r>
    </w:p>
    <w:p>
      <w:pPr>
        <w:spacing w:after="0" w:line="173"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i w:val="1"/>
          <w:iCs w:val="1"/>
          <w:color w:val="auto"/>
        </w:rPr>
        <w:t xml:space="preserve">Residential property valuation services </w:t>
      </w:r>
      <w:r>
        <w:rPr>
          <w:rFonts w:ascii="Arial" w:cs="Arial" w:eastAsia="Arial" w:hAnsi="Arial"/>
          <w:sz w:val="17"/>
          <w:szCs w:val="17"/>
          <w:color w:val="auto"/>
        </w:rPr>
        <w:t>- Residential property valuation services principally include traditional appraisal products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appraisal management company and alternative valuation products, some of which are provided through our network of real estate professionals. We generally provide these services for residential loan servicers, residential lenders and investors in single family homes.</w:t>
      </w:r>
    </w:p>
    <w:p>
      <w:pPr>
        <w:spacing w:after="0" w:line="16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both"/>
        <w:ind w:left="340" w:firstLine="324"/>
        <w:spacing w:after="0" w:line="261"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include products, services and solutions utilized in the origination,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and purchase of primarily residential mortgages. Through the Mortgage Partnership of America, L.L.C. (“MPA”) and our Altisource Origination Services business, which provides outsourced business services to mortgage market participants, including due diligence, fulfillment, contract underwriting and quality control services, we are focused largely on the residential mortgage market. MPA serves as the manager of Best Partners Mortgage Cooperative, Inc., doing business as the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mortgage cooperative (“Lenders One”), a national end-to-end marketplace for mortgage bankers and other mortgage market participants that provides its members with opportunities to: (i) expand revenue, (ii) reduce loan underwriting costs, (iii) increase operational efficiency and (iv) receive critical education and training. We provide other origination related services in the residential property valuation business and insurance services businesses. In September 2014, we launched Best Partners Mortgage Brokers Cooperative, Inc., doing business as the Wholesale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Mortgage Cooperative (“Wholesale One”) for the wholesale mortgage market. Wholesale One assists mortgage brokers and other third party originators with tools to improve their businesses and obtain better access to the capital markets. In April 2015, we launched Best Partners Residential Investor Cooperative, Inc., doing business as the Residential Investor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cooperative (“Residential Investor One”). Residential Investor One was formed to deliver savings and efficiencies to individual and institutional residential real estate investors.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insurance and hotel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technical support and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services as well as insurance call center services and administrative support.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Provides a portfolio of software, data analytics and infrastructure management services that support the efficient and compliant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mortgage and real estate activities and marketplace transactions across the mortgage and real estate lifecycles. We currently provide our information technology (“IT”) infrastructure management services to Ocwen, Altisource Residential Corporation (“Residential”) and Altisource Asset Management Corporation (“AAMC”) through managed services agreements, and our other segments in a shared services model. Our software and analytics solutions primarily include the following software solutions, as described briefly below:</w:t>
      </w:r>
    </w:p>
    <w:p>
      <w:pPr>
        <w:spacing w:after="0" w:line="188"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platform that offers an efficient and compliant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loss mitigation and loan modifications. This solution spans the loan servicing lifecycle from loan boarding to satisfaction including automation for collections, borrower communications, payment processing and reporting.</w:t>
      </w:r>
    </w:p>
    <w:p>
      <w:pPr>
        <w:spacing w:after="0" w:line="204" w:lineRule="exact"/>
        <w:rPr>
          <w:sz w:val="20"/>
          <w:szCs w:val="20"/>
          <w:color w:val="auto"/>
        </w:rPr>
      </w:pPr>
    </w:p>
    <w:p>
      <w:pPr>
        <w:jc w:val="both"/>
        <w:ind w:left="340" w:firstLine="648"/>
        <w:spacing w:after="0" w:line="216" w:lineRule="auto"/>
        <w:rPr>
          <w:sz w:val="20"/>
          <w:szCs w:val="20"/>
          <w:color w:val="auto"/>
        </w:rPr>
      </w:pPr>
      <w:r>
        <w:rPr>
          <w:rFonts w:ascii="Arial" w:cs="Arial" w:eastAsia="Arial" w:hAnsi="Arial"/>
          <w:sz w:val="18"/>
          <w:szCs w:val="18"/>
          <w:i w:val="1"/>
          <w:iCs w:val="1"/>
          <w:color w:val="auto"/>
        </w:rPr>
        <w:t>REALSynergy</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commercial real estate and multi-family loan servicing application that provides servicing and asset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w:t>
      </w:r>
    </w:p>
    <w:p>
      <w:pPr>
        <w:spacing w:after="0" w:line="203" w:lineRule="exact"/>
        <w:rPr>
          <w:sz w:val="20"/>
          <w:szCs w:val="20"/>
          <w:color w:val="auto"/>
        </w:rPr>
      </w:pPr>
    </w:p>
    <w:p>
      <w:pPr>
        <w:jc w:val="both"/>
        <w:ind w:left="340" w:firstLine="648"/>
        <w:spacing w:after="0" w:line="216"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technology platform that provides servicers with an automated default management and home retention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and defaulted loans.</w:t>
      </w:r>
    </w:p>
    <w:p>
      <w:pPr>
        <w:spacing w:after="0" w:line="203" w:lineRule="exact"/>
        <w:rPr>
          <w:sz w:val="20"/>
          <w:szCs w:val="20"/>
          <w:color w:val="auto"/>
        </w:rPr>
      </w:pPr>
    </w:p>
    <w:p>
      <w:pPr>
        <w:jc w:val="both"/>
        <w:ind w:left="340" w:firstLine="648"/>
        <w:spacing w:after="0" w:line="232"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services marketplace platform that automates and simplifies vendor selection and the ordering, tracking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fulfilling of vendor provided services principally related to real estate and mortgage marketplaces. This technology solution, whether accessed through the web or integrated into existing business processing applications, connects to a marketplace of services through a single platform and delivers an efficient method for managing a large scale network of vendors.</w:t>
      </w:r>
    </w:p>
    <w:p>
      <w:pPr>
        <w:spacing w:after="0" w:line="202"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payors with the ability to automatically adjudicate invoices according to compliance rules and for electronic payments to be fulfilled subject to approval review rules and workflows.</w:t>
      </w:r>
    </w:p>
    <w:p>
      <w:pPr>
        <w:spacing w:after="0" w:line="204" w:lineRule="exact"/>
        <w:rPr>
          <w:sz w:val="20"/>
          <w:szCs w:val="20"/>
          <w:color w:val="auto"/>
        </w:rPr>
      </w:pPr>
    </w:p>
    <w:p>
      <w:pPr>
        <w:jc w:val="both"/>
        <w:ind w:left="340" w:firstLine="648"/>
        <w:spacing w:after="0" w:line="232"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that consists of three primary modules: REALDoc Capture, which converts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images into processable data, indexes documents and provides customizable workflows based on data attributes; REALDoc Correspondence, which provides a scalable correspondence generation, management and delivery platform; and REALDoc Vault, which provides a scalable and distributed storage platform and secure document viewer.</w:t>
      </w:r>
    </w:p>
    <w:p>
      <w:pPr>
        <w:spacing w:after="0" w:line="202" w:lineRule="exact"/>
        <w:rPr>
          <w:sz w:val="20"/>
          <w:szCs w:val="20"/>
          <w:color w:val="auto"/>
        </w:rPr>
      </w:pPr>
    </w:p>
    <w:p>
      <w:pPr>
        <w:jc w:val="both"/>
        <w:ind w:left="340" w:firstLine="648"/>
        <w:spacing w:after="0" w:line="226" w:lineRule="auto"/>
        <w:rPr>
          <w:sz w:val="20"/>
          <w:szCs w:val="20"/>
          <w:color w:val="auto"/>
        </w:rPr>
      </w:pPr>
      <w:r>
        <w:rPr>
          <w:rFonts w:ascii="Arial" w:cs="Arial" w:eastAsia="Arial" w:hAnsi="Arial"/>
          <w:sz w:val="18"/>
          <w:szCs w:val="18"/>
          <w:i w:val="1"/>
          <w:iCs w:val="1"/>
          <w:color w:val="auto"/>
        </w:rPr>
        <w:t>REALAnalytics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A data analytics and delivery platform that utilizes advanced econometric modeling and behavioral economics to assist</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and real estate service providers in optimizing risk management, value measurement, loss mitigation and consumer behavior outcomes across the mortgage and real estate lifecycle.</w:t>
      </w:r>
    </w:p>
    <w:p>
      <w:pPr>
        <w:spacing w:after="0" w:line="204" w:lineRule="exact"/>
        <w:rPr>
          <w:sz w:val="20"/>
          <w:szCs w:val="20"/>
          <w:color w:val="auto"/>
        </w:rPr>
      </w:pPr>
    </w:p>
    <w:p>
      <w:pPr>
        <w:jc w:val="both"/>
        <w:ind w:left="340" w:firstLine="324"/>
        <w:spacing w:after="0" w:line="235" w:lineRule="auto"/>
        <w:rPr>
          <w:sz w:val="20"/>
          <w:szCs w:val="20"/>
          <w:color w:val="auto"/>
        </w:rPr>
      </w:pPr>
      <w:r>
        <w:rPr>
          <w:rFonts w:ascii="Arial" w:cs="Arial" w:eastAsia="Arial" w:hAnsi="Arial"/>
          <w:sz w:val="17"/>
          <w:szCs w:val="17"/>
          <w:i w:val="1"/>
          <w:iCs w:val="1"/>
          <w:color w:val="auto"/>
        </w:rPr>
        <w:t>Equator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An integrated real estate management platform consisting of the following modules: EQ Workstation</w:t>
      </w:r>
      <w:r>
        <w:rPr>
          <w:rFonts w:ascii="Arial" w:cs="Arial" w:eastAsia="Arial" w:hAnsi="Arial"/>
          <w:sz w:val="24"/>
          <w:szCs w:val="24"/>
          <w:color w:val="auto"/>
          <w:vertAlign w:val="superscript"/>
        </w:rPr>
        <w:t>®</w:t>
      </w:r>
      <w:r>
        <w:rPr>
          <w:rFonts w:ascii="Arial" w:cs="Arial" w:eastAsia="Arial" w:hAnsi="Arial"/>
          <w:sz w:val="17"/>
          <w:szCs w:val="17"/>
          <w:color w:val="auto"/>
        </w:rPr>
        <w:t>, EQ Marketplace</w:t>
      </w:r>
      <w:r>
        <w:rPr>
          <w:rFonts w:ascii="Arial" w:cs="Arial" w:eastAsia="Arial" w:hAnsi="Arial"/>
          <w:sz w:val="24"/>
          <w:szCs w:val="24"/>
          <w:color w:val="auto"/>
          <w:vertAlign w:val="superscript"/>
        </w:rPr>
        <w:t>®</w:t>
      </w:r>
      <w:r>
        <w:rPr>
          <w:rFonts w:ascii="Arial" w:cs="Arial" w:eastAsia="Arial" w:hAnsi="Arial"/>
          <w:sz w:val="17"/>
          <w:szCs w:val="17"/>
          <w:color w:val="auto"/>
        </w:rPr>
        <w:t>, EQ</w:t>
      </w:r>
      <w:r>
        <w:rPr>
          <w:rFonts w:ascii="Arial" w:cs="Arial" w:eastAsia="Arial" w:hAnsi="Arial"/>
          <w:sz w:val="17"/>
          <w:szCs w:val="17"/>
          <w:i w:val="1"/>
          <w:iCs w:val="1"/>
          <w:color w:val="auto"/>
        </w:rPr>
        <w:t xml:space="preserve"> </w:t>
      </w:r>
      <w:r>
        <w:rPr>
          <w:rFonts w:ascii="Arial" w:cs="Arial" w:eastAsia="Arial" w:hAnsi="Arial"/>
          <w:sz w:val="17"/>
          <w:szCs w:val="17"/>
          <w:color w:val="auto"/>
        </w:rPr>
        <w:t>Midsource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EQ Portal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that can be used separately or together as an 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7" w:lineRule="exact"/>
        <w:rPr>
          <w:sz w:val="20"/>
          <w:szCs w:val="20"/>
          <w:color w:val="auto"/>
        </w:rPr>
      </w:pPr>
    </w:p>
    <w:p>
      <w:pPr>
        <w:jc w:val="both"/>
        <w:ind w:left="340" w:firstLine="324"/>
        <w:spacing w:after="0" w:line="250" w:lineRule="auto"/>
        <w:rPr>
          <w:sz w:val="20"/>
          <w:szCs w:val="20"/>
          <w:color w:val="auto"/>
        </w:rPr>
      </w:pPr>
      <w:r>
        <w:rPr>
          <w:rFonts w:ascii="Arial" w:cs="Arial" w:eastAsia="Arial" w:hAnsi="Arial"/>
          <w:sz w:val="17"/>
          <w:szCs w:val="17"/>
          <w:i w:val="1"/>
          <w:iCs w:val="1"/>
          <w:color w:val="auto"/>
        </w:rPr>
        <w:t>Mortgage Builder</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loan origination platform consisting of the following modules: Architect</w:t>
      </w:r>
      <w:r>
        <w:rPr>
          <w:rFonts w:ascii="Arial" w:cs="Arial" w:eastAsia="Arial" w:hAnsi="Arial"/>
          <w:sz w:val="24"/>
          <w:szCs w:val="24"/>
          <w:color w:val="auto"/>
          <w:vertAlign w:val="superscript"/>
        </w:rPr>
        <w:t>®</w:t>
      </w:r>
      <w:r>
        <w:rPr>
          <w:rFonts w:ascii="Arial" w:cs="Arial" w:eastAsia="Arial" w:hAnsi="Arial"/>
          <w:sz w:val="17"/>
          <w:szCs w:val="17"/>
          <w:color w:val="auto"/>
        </w:rPr>
        <w:t>, Surveyance</w:t>
      </w:r>
      <w:r>
        <w:rPr>
          <w:rFonts w:ascii="Arial" w:cs="Arial" w:eastAsia="Arial" w:hAnsi="Arial"/>
          <w:sz w:val="24"/>
          <w:szCs w:val="24"/>
          <w:color w:val="auto"/>
          <w:vertAlign w:val="superscript"/>
        </w:rPr>
        <w:t>®</w:t>
      </w:r>
      <w:r>
        <w:rPr>
          <w:rFonts w:ascii="Arial" w:cs="Arial" w:eastAsia="Arial" w:hAnsi="Arial"/>
          <w:sz w:val="17"/>
          <w:szCs w:val="17"/>
          <w:color w:val="auto"/>
        </w:rPr>
        <w:t>, Colonnade</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LoanXEngine™</w:t>
      </w:r>
      <w:r>
        <w:rPr>
          <w:rFonts w:ascii="Arial" w:cs="Arial" w:eastAsia="Arial" w:hAnsi="Arial"/>
          <w:sz w:val="17"/>
          <w:szCs w:val="17"/>
          <w:i w:val="1"/>
          <w:iCs w:val="1"/>
          <w:color w:val="auto"/>
        </w:rPr>
        <w:t xml:space="preserve"> </w:t>
      </w:r>
      <w:r>
        <w:rPr>
          <w:rFonts w:ascii="Arial" w:cs="Arial" w:eastAsia="Arial" w:hAnsi="Arial"/>
          <w:sz w:val="17"/>
          <w:szCs w:val="17"/>
          <w:color w:val="auto"/>
        </w:rPr>
        <w:t>for mortgage banks, community banks, credit unions and other financial institutions. The Architect platform is a cloud-based, all-inclusive origination platform that manages loans from prequalification through interim servicing and delivery. The Surveyance platform is a mobile origination solution that provides originators with the ability to service their clients remotely. The Colonnade platform is a loan servicing solution and the LoanXEngine platform provides customer relationship management and product pricing and eligibility solutions.</w:t>
      </w:r>
    </w:p>
    <w:p>
      <w:pPr>
        <w:spacing w:after="0" w:line="195" w:lineRule="exact"/>
        <w:rPr>
          <w:sz w:val="20"/>
          <w:szCs w:val="20"/>
          <w:color w:val="auto"/>
        </w:rPr>
      </w:pPr>
    </w:p>
    <w:p>
      <w:pPr>
        <w:jc w:val="both"/>
        <w:ind w:left="340" w:firstLine="324"/>
        <w:spacing w:after="0" w:line="229" w:lineRule="auto"/>
        <w:rPr>
          <w:sz w:val="20"/>
          <w:szCs w:val="20"/>
          <w:color w:val="auto"/>
        </w:rPr>
      </w:pPr>
      <w:r>
        <w:rPr>
          <w:rFonts w:ascii="Arial" w:cs="Arial" w:eastAsia="Arial" w:hAnsi="Arial"/>
          <w:sz w:val="18"/>
          <w:szCs w:val="18"/>
          <w:i w:val="1"/>
          <w:iCs w:val="1"/>
          <w:color w:val="auto"/>
        </w:rPr>
        <w:t>Pointillist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cloud-based customer intelligence platform that empowers marketers to identify critical customer paths to purchase, upsell and</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The Pointillist marketing analytics platform is designed to reveal how consumer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experiences drive business outcomes and delivers a better understanding of how customer behavior drives key results across channels and over time.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interest expense and costs related to corporate support functions including executive, finance, law,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risk and sales and marketing costs not allocated to the business units, and also includes eliminations of transactions between the reportable segments. Corporate Items and Eliminations also include the cost of certain facilities.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Wholesale One and Residential Investor One, consolidated entities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customers include one of the largest servicers in the United States, a government-sponsored enterprise (“GSE”), utility companies, commercial banks, servicers, investors, non-bank originators and correspondent lenders, mortgage bankers and financial services companies. During 2015, we were selected by two top 10 banks to provide services for their portfolios in addition to several other key customer additions across our businesses as well in 2015. Our largest customer, Ocwen, accounted for 60% of our total revenue for the year ended December 31, 2015.</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7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65%</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2015, 2014 and 2013, we generated revenue from Ocwen of $631.6 million, $650.7 million and $499.3 million, respectively. Services provided to Ocwen during such periods and reported in the Mortgage Services segment included real estate asset management and sales, residential property valuation, trustee management services, property inspection, property preservation and insurance services. Services provided to Ocwen and reported in the Financial Services segment included mortgage charge-off collections. Services provided to Ocwen and reported in the Technology Services segment included IT infrastructure management and software applications including our software platforms. As of December 31, 2015, accounts receivable from Ocwen totaled $38.2 million, $20.4 million of which was billed and $17.8 million of which was unbilled.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service agreements at rates we believe to be comparable market rates as we believe they are consistent with the fees we charge to other customers and/or fees charged by our competitors for comparable services.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years ended December 31, 2015, 2014 and 2013, we recognized revenue of $216.9 million, $256.0 million and $161.9 million, respectively, related to the portfolios serviced by Ocwen when a party other than Ocwen selected Altisource as the service provider. These amounts are not included in deriving revenue from Ocwen as a percentage of revenue in the table above.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services are provided to customers primarily located in the United States. Financial information for our segments can be found in Note 25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sales and marketing personnel and relationship managers with subject matter expertise. These individuals maintain relationships throughout the industry sectors we serve and play an important role in generating new client business as well as identifying opportunities to expand our services with existing clients. Additional opportunities are also generated through requests for proposal processes.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sales and marketing focus is developing new relationships and expanding existing relationships and services provided to financial institutions, residential home investors and loan originators, correspondents and brokers including members of Lenders One and Wholesale One. We are also focused on attracting customers to Owners.com and Investability.com. Given the highly diverse nature of the industries we serve, the time and effort we spend in expanding relationships or winning new relationships is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necessary and appropriate, have obtained licenses from third parties to intellectual property relating to our services, processes and businesses. These intellectual property rights are important factors in the success of our businesses.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we have been awarded one patent that expires in 2023, four patents that expire in 2024, seven patents that expire in 2025, two patents that expire in 2026, one patent that expires in 2029 and one patent that expires in 2030. In addition, we have registered trademarks, or recently filed applications for the registration of trademarks, in a number of jurisdictions including the United States, the European Union (“EU”), India and nine other jurisdictions. These trademarks generally can be renewed indefinitely, provided they are being used in commerce.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all measures we deem reasonable and necessary to develop and protect our patents, trademarks, copyrights, trade secrets and other intellectual property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industry verticals in which we engage are highly competitive and generally consist of a few national companies as well as a large number of regional, local and in-house providers resulting in a fragmented market with disparate service offerings. Our Mortgage Services segment competes with national and regional third party service providers and in-house servicing operations of large mortgage lenders and servicers. We also compete with companies providing online real estate auction services and real estate brokerage firms. Our Financial Services segment competes with other large receivables management and customer care companies as well as a fragmented group of smaller companies and law firms focused on collections and customer care. Our Technology Services segment competes with data processing and software development companies and in-house technology and software operations of other loan servicers.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diverse nature of services we and our competitors offer, we cannot determine our position in the market with certainty, but we believe we represent only a small portion of very large markets. Given our size, some of our competitors may offer more diversified services, operate in broader geographic markets or have greater financial resources than we do. In addition, some of our larger customers retain multiple providers and continuously evaluate our performance against our competitors.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Competitive factors in our Mortgage Services business include the compliance, quality and timeliness of our services, the size and competence of our network of vendors and the breadth of the services we offer. Competitive factors in our Financial Services business include the ability to achieve a collection rate comparable to our competitors; the compliance, quality, timeliness and personal nature of the service; the consistency and professionalism of the service; and the recruitment, training and retention of our workforce. Competitive factors in our Technology Services business include the quality of the technology-based applications or services; compliance; application features and functions; ease of delivery and integration; our ability to maintain, enhance and support the applications or services; our ability to recruit and retain software and other technical employees; and the cost of obtaining, maintaining and enforcing our patents.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we had the following number of employees: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United</w:t>
            </w:r>
          </w:p>
        </w:tc>
        <w:tc>
          <w:tcPr>
            <w:tcW w:w="14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India</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Philippines</w:t>
            </w:r>
          </w:p>
        </w:tc>
        <w:tc>
          <w:tcPr>
            <w:tcW w:w="13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Uruguay</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Luxembourg</w:t>
            </w:r>
          </w:p>
        </w:tc>
        <w:tc>
          <w:tcPr>
            <w:tcW w:w="1240" w:type="dxa"/>
            <w:vAlign w:val="bottom"/>
          </w:tcPr>
          <w:p>
            <w:pPr>
              <w:jc w:val="right"/>
              <w:ind w:right="13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States</w:t>
            </w:r>
          </w:p>
        </w:tc>
        <w:tc>
          <w:tcPr>
            <w:tcW w:w="140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8"/>
                <w:szCs w:val="18"/>
                <w:color w:val="auto"/>
              </w:rPr>
              <w:t>Total employees</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6,469</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continuing ability to attract, hire and retain skilled and experienced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of our revenues are seasonal. More specifically, Mortgage Services’ revenue is impacted by REO sales and lawn maintenance, which tend to be at their lowest levels during fall and winter months and highest during spring and summer months. Financial Services’ asset recovery management revenue tends to be higher in the first quarter, as borrowers may utilize tax refunds and bonuses to pay debts, and generally declines throughout the rest of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and the business of our customers are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and the state and local agencies that license or oversee certain of our auction, real estate brokerage, mortgage and debt collection services, trustee services and insurance services. We also must comply with a number of federal, state and local consumer protection laws including, among others, the Gramm-Leach-Bliley Act (“GLBA”), the Fair Debt Collection Practices Act (“FDCPA”), Unfair, Deceptive or Abusive Acts and Practices statutes (“UDAAP”), the Real Estate Settlement Procedures Act (“RESPA”), the Truth in Lending Act (“TILA”), the Fair Credit Reporting Act (“FCRA”), the Telephone Consumer Protection Act (“TCPA”), the Homeowners Protection Act (“HPA”), the California Homeowner Bill of Rights (“CHBR”), the Fair Housing Act and the Secure and Fair Enforcement for Mortgage Licensing (“SAFE”) Act. We are also subject to the requirements of the Foreign Corrupt Practices Act (“FCPA”) and comparable foreign laws, due to our activities in foreign jurisdictions.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Our failure to comply with applicable laws and regulations could subject the Company to significant penalties, fines, settlements, costs and consent orders affecting us or our customers that may curtail or restrict the business as it is currently conducted and could have an adverse effect on our financial condition or results of operations.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over the Internet at the SEC’s website at </w:t>
      </w:r>
      <w:r>
        <w:rPr>
          <w:rFonts w:ascii="Arial" w:cs="Arial" w:eastAsia="Arial" w:hAnsi="Arial"/>
          <w:sz w:val="18"/>
          <w:szCs w:val="18"/>
          <w:i w:val="1"/>
          <w:iCs w:val="1"/>
          <w:u w:val="single" w:color="auto"/>
          <w:color w:val="380BB5"/>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1-800-SEC-0330 for further information on the public reference room.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of easily finding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results of operations and financial condition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Ocwen is our largest customer and the loss of Ocwen as a customer or a reduction in the size of Ocwen could adversely affect our business and results of operations.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year ended December 31, 2015, we generated approximately 60% of our revenue from Ocwen. Additionally, 21% of our 2015 revenue was earned related to the portfolios serviced by Ocwen when a party other than Ocwen selected Altisource as the service provider. Ocwen purchases certain services from our Mortgage Services, Financial Services and Technology Services segments under service agreements that extend through August 2025, subject to termination under certain conditions. In addition, Ocwen purchases certain origination services from Altisource under an agreement that extends through January 2017, subject to termination under certain conditions. During the fourth quarter of 2015, Altisource recorded an estimated loss in connection with an anticipated payment to Ocwen for obtaining a release of liability for Altisource related to Ocwen’s settlement of a particular case. While currently being negotiated, the ultimate resolution of the matter is not expected to result in a material loss in excess of the amount accrued.</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Ocwen has been and is subject to a number of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the New York Department of Financial Services (“NYDFS”), which is assessing the adequacy and effectiveness of Ocwen’s operations, including IT systems, (iii) required to perform benchmarking pricing studies for transactions with related parties (as that term is set forth in Ocwen’s consent order with the NYDFS), which are subject to periodic review by the monitor imposed by the NYDFS and (iv) subject to requirements under an agreement with the CFPB and various states attorneys general and agencies that imposed specific servicing guidelines and oversight by an independent national monitor. Additionally, as Ocwen has publicly disclosed, it has reached a resolution with the staff of the SEC related to an investigation of certain matters, including Ocwen’s business dealings with related party entities, including Altisource, and its amendments to its 2013 Annual Report on Form 10-K and Quarterly Report on Form 10-Q for the quarterly period ended March 31, 2014, pursuant to which it will pay a civil monetary penalty and consent to the entry of an administrative order requiring that it cease and desist from violations of certain provisions of the Securities Exchange Act of 1934.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2015, Home Loan Servicing Solutions, Ltd. (“HLSS”) completed the sale of substantially all of its assets to New Residential Investment Corp. (“NRZ”). As a result, as of September 30, 2015, NRZ owns the rights to approximately 77% of Ocwen’s non-government-sponsored enterprise (“non-GSE”) servicing rights. In connection with the sale, Ocwen and HLSS/NRZ amended their agreement to, among other things, eliminate HLSS/NRZ’s ability to transfer servicing away from Ocwen for a servicer rating downgrade for two years (unless HLSS/NRZ determine in good faith that a trustee, or other party entitled to terminate, intends to terminate Ocwen as the servicer) and extend the term of the initial six-year agreements by up to an additional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years. Under the amended agreement, HLSS/NRZ has the right (not necessarily the ability) to transfer servicing away from Ocwen if, among other circumstances, Ocwen fails to maintain certain minimum servicer ratings on or after April 6, 2017. As of December 31, 2015, we believe Ocwen’s servicer ratings were below the minimum rating.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Ocwen does not achieve the minimum required servicer ratings prior to April 6, 2017, HLSS/NRZ has the right to transfer certain of Ocwen’s servicing pursuant to its contract. Further, certain bondholders of Ocwen-serviced residential mortgage-backed securities (“RMBS”) have alleged that Ocwen, as servicer of certain mortgage-backed securities trusts, defaulted on these servicing agreements. Bondholders of RMBS may attempt to replace Ocwen as servicer as a result of such ratings downgrades or the alleged defaults.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disclosed in its 2015 Annual Report on Form 10-K that it is facing certain challenges and uncertainties that could have significant adverse effects on its business, liquidity and financial activities.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and varied effects on Ocwen’s business and our continuing relationships with Ocwen. For example, Ocwen may be required to alter the way it conducts business, including the parties it contracts with for services (including IT and software services), it may be required to seek changes to its existing pricing structure with us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following events occurred, Altisource’s revenue would be significantly lower and our results of operations would be adversely affected, including from the impairment or write-off of goodwill, intangible assets, property and equipment, other assets and accounts receivable:</w:t>
      </w:r>
    </w:p>
    <w:p>
      <w:pPr>
        <w:spacing w:after="0" w:line="1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 and Altisource fails to be retained as a service provider</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attract and retain other customers.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Given our close and continuing relationship with Ocwen and the regulatory scrutiny related to the way in which Ocwen does business with Altisource, we may encounter difficulties in attracting new customers and retaining existing customers. Should these and other potential customers view Altisource as part of Ocwen or as too closely related to or dependent upon Ocwen, they may be unwilling to utilize our services and our growth could be inhibited as a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key customer relationships, other than Ocwen, the loss of which could affect our business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no individual client, other than Ocwen, represents more than 10% of our consolidated revenue, we are exposed to customer concentration. Most of our customers are not contractually obligated to continue to use our services at historical levels or at all. The loss of any of these key customers or their failure to pay us could reduce our revenue and adversely affect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strength of the economy and the housing market can affect demand for our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performance and growth of our origination services business is dependent on the volume of loan originations by third parties. In the event of an economic slowdown, increase in interest rates or any other factor that would likely lead to a decrease in the level of origination transactions, including refinancing transactions, our origination services growth prospects could be adversely affected. Also, in a strengthening economy and housing market, reduced delinquencies negatively impact our default business. Further, in the event that adverse economic conditions or other factors lead to a decline in levels of home ownership and a reduction in the aggregate number of United States mortgage loans outstanding, our revenues from our software applications could be adversely affected.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are more established, better known and have substantial resources, and some have widely-used technology platforms which they seek to use as a competitive advantage to drive sales of other products and services. In addition, we expect the markets in which we compete will continue to attract new competitors and new technologies. These new technologies may render our existing technologies obsolete, resulting in operating inefficiencies and increased competitive pressure. There can be no assurance we will be able to compete successfully against current or future competitors or that competitive pressures we face in the markets in which we operate will not adversely affect our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intellectual property rights are valuable and any inability to protect them or challenges to our right to use them could reduce the value of our services or increase our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in every case. The unauthorized use of our intellectual property or significant impairment of our intellectual property rights could harm our business, make it more expensive to do business or hurt our ability to compete. Protecting our intellectual property rights is costly and time consuming.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seek to obtain patent protection for certain of our innovations, it is possible we may not be able to protect all of the innovations for which we seek protection.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an issued patent may be deemed invalid or unenforceable.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as our technology solutions and services develop, we may become increasingly subject to infringement claims by others. Any claims, whether with or without merit, could:</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 expensive and time-consuming to defend;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cause us to cease making, licensing or using technology solutions that incorporate the challenged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redesign our technology solutions, if feasible;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 management’s attention and resources;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necessary technologies.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failures, defects or inadequacies, development delays or installation difficulties, security breaches, acts of vandalism or the introduction of harmful code could damage our business operations and increase our costs.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Disruptions, failures, defects or inadequacies in our technology or software we purchase from third parties, delays in the development of, or installation difficulties with, our technology, or security breaches, acts of vandalism, system attacks or the introduction of malicious code to our technology, may interrupt or delay our ability to provide services to our customers. Any sustained and repeated disruptions in these services may have an adverse impact on our and our customers’ results of operations. Further, Ocwen or other of our customers may require changes and improvements to the systems we provide to them to manage the volume and complexity of their businesses, which changes and improvements may be costly and time consuming to implement and may create disruptions in our provision of services to customers, which may have an adverse impact on our business operations and financial condition, and increase our costs. Additionally, the improper implementation or use of Altisource technology by customers could impact the operation of that technology, and potentially cause harm to our reputation, loss of customers, negative publicity or exposure to liability claims.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s databases containing proprietary information and personal information of our customers, vendors and employees could be breached, which could subject us to adverse publicity, costly government enforcement actions or private litigation and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business and operation of our technology, we maintain proprietary information in tangible and electronic forms and electronically receive, process, store and transmit personally identifiable information (“PII”) and confidential and sensitive business information of our customers, vendors and employees. We rely on the security of our facilities, networks, databases, systems and processes and, in certain circumstances, those of third parties, such as vendors, to protect our proprietary information and PII in our possession and information about our customers, vendors and employees. Hackers, criminals and others are constantly devising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schemes to circumvent security safeguards and other large companies have suffered serious data security breaches. If unauthorized parties gain access to our networks or databases, or those of our vendors, they may be able to steal, publish, delete, or modify our sensitive proprietary information and sensitive third party information, including PII. In addition, employees may intentionally or inadvertently cause data or security breaches that result in unauthorized release of such PII, proprietary or confidential information. In such circumstances, our business could suffer and we could be held liable to our customers, vendors, other parties or employees, as well as be subject to notification requirements or regulatory or other actions for breaching privacy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 that could adversely affect our financial condition, results of operations and reputation. Furthermore, new laws or regulations could be implemented limiting our use of data or imposing new liabilities for data breaches that could have an adverse effect on us and our results of operations.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long development and sales cycles for many of our services, analytics and technology solutions and if we fail to close sales after expending significant time and resources to do so, our business, financial condition and results of operations may be adversely affected.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long development and sales cycles for many of our services, analytics and technology solutions. We may expend significant time and resources in pursuing a particular service, technology solution or customer that does not generate revenue. We may encounter delays when developing new services or technology solutions.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an adverse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failure of any of the insurance underwriting loss limitation methods we use could have adverse effects on our results</w:t>
      </w:r>
      <w:r>
        <w:rPr>
          <w:rFonts w:ascii="Arial" w:cs="Arial" w:eastAsia="Arial" w:hAnsi="Arial"/>
          <w:sz w:val="18"/>
          <w:szCs w:val="18"/>
          <w:color w:val="auto"/>
        </w:rPr>
        <w: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through its subsidiary Association of Certified Mortgage Originators Risk Retention Group, Inc., provides certified loan insurance to CastleLine customers. Altisource reduces a portion of its insurance loss risk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the frequency and severity of claims could be greater than contemplated in our pricing and risk management methods.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counterparty risk when purchasing reinsurance from third party reinsurers. The insolvency or unwillingness of any of our present or future reinsurers to make timely payments to us under the terms of our reinsurance agreements could have an adverse effect on us. Further, there is no certainty that we will be able to purchase the reinsurance we desire in the future or the reinsurance we desire may not be on terms we consider acceptable or with reinsurers with whom we want to do business.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regulation, and failure to comply with existing or new regulations may adversely impact us.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FTC, the CFPB, the SEC, the HUD and the state and local agencies that license or oversee certain of our auction, real estate brokerage, mortgage and debt collection services, trustee services and insurance services. We also must comply with a number of federal, state and local consumer protection laws including, among others, the GLBA, the FDCPA, UDAAP, RESPA, TILA, the FCRA, the TCPA, the HPA, the CHBR, the Fair Housing Act, the SAFE Act, the Mortgage Act, the FCPA and the Dodd-Frank Act. These requirements can and do change as statutes and regulations are enacted, promulgated or amended. We are also subject to licensing and regulation as a provider of certain services including, among others, services as a mortgage origination underwriter, valuation provider, appraisal management company, asset manager, property manager, title insurance agent, insurance broker and underwriter, real estate broker, auctioneer, foreclosure trustee and debt collector in a number of states. Our employees and subsidiaries may be required to be licensed by various state commissions for the particular type of service sold and to participate in regular continuing education programs. We incur significant ongoing costs to comply with licensing requirements and governmental regulations and to respond to government and regulatory confidential inquiries, audits, regulatory examinations and other similar matters.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Participants in the industries in which we operate are subject to a high level of government and regulatory scrutiny. This scrutiny has included review by federal and state governmental authorities of all aspects of the mortgage servicing and lending industries and the debt collection industry, including an increased legislative and regulatory focus on consumer protection practices.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failure to comply with applicable laws and regulations could subject the Company to significant penalties, fines, settlements, costs and consent orders against us or our customers that may curtail or restrict our business as it is currently conducted and could have an adverse effect on our financial condition or result of operations. If governmental authorities continue to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significant penalties, fines, settlements, costs, consent orders and litigation, including class action lawsuits or administrative enforcement actions. Any of these outcomes could have an adverse effect on our financial condition or results of operations. Furthermore, even if we believe we complied with such laws and regulations, we may choose to settle enforcement actions or lawsuits in order to avoid the potentially significant costs of defending such actions or lawsuits and to further avoid the risk of increased damages if we ultimately were to receive an unfavorable outcome.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Responding to such audits, examinations and inquiries will cause us to incur costs, including legal fees or other charges, which may be material in amount. If any such audits, examinations or inquiries result in allegations of noncompliance, we could incur significant penalties, fines, settlements, costs and consent orders that may curtail, restrict or otherwise have an adverse effect on our business and results of operations. Furthermore, even if we believe we complied with applicable laws and regulations, we may choose to settle such allegations with the governmental authorities in order to avoid the potentially significant costs of defending such allegations and to further avoid the risk of increased damages if we ultimately were to receive an unfavorable outcome.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National servicing standards and federal and state government scrutiny and regulation and other requirements require very specific loan modification and foreclosure procedures that have further reduced the number of loans entering the foreclosure process and have negatively impacted our default services revenue and profit. It is unclear when or if volumes will increase in the future.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customers are subject to government regulation, requiring our customers to, among other things, oversee their vendors and maintain documentation that demonstrates their oversight. If our performance does not meet such requirements, our results of operations could be adversely affected.</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are subject to a variety of federal, state and local government regulations, including those promulgated by the CFPB. Certain regulations require our customers to oversee their vendors and document the procedures performed to demonstrate that oversight. Altisource, as a vendor, is subject to oversight by our customers. If we do not meet the standards established by our customers or if any other oversight procedures result in a negative outcome for Altisource, we may lose customers or may no longer be granted referrals for certain services, negatively impacting our business and results of operations. Even if Altisource satisfies its contractual obligations to its clients, regulators may allege that products or services provided by Altisource fail to meet applicable regulatory requirements.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rely on third party vendors for many aspects of our business. If our vendor oversight activities are ineffective, we fail to meet customer or regulatory requirements or we face difficulties managing our relationships with third party vendors, our results of operations could be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third party vendors to provide goods and services in relation to many aspects of our operations. Our dependence on these vendors makes our operations vulnerable to such third parties’ failure to perform adequately under our agreements with them. In addition, where a vendor provides services that we are required to provide under a contract with a client, we are generally responsible for such performance and could be held accountable by the client for any failure of performance by our vendors. We evaluate the competency and solvency of our key third party vendors. We perform ongoing vendor oversight activities to identify any performance or other issues related to these vendors. If our vendor oversight activities are ineffective or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In addition, Altisource may be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 be subject to adverse regulatory action, negatively impacting our business and results of operations. Such failures could adversely affect the reliability and quality of the services we provide our customers and could adversely affect our results of operations.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financial institutions at which we hold cash and cash equivalents as well as escrow and trust funds fail, it could have an adverse impact on our Company.</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hold our cash and cash equivalents at various financial institutions. In addition, 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These amounts are held in escrow and trust accounts for limited periods of time and are not included in the accompanying consolidated balance sheets. We may become liable for funds owed to third parties as a result of the failure of one or more of these financial institutions, in addition to loss of our cash and cash equivalents, and there is no guarantee we would recover the funds deposited, whether through Federal Deposit Insurance Corporation coverage, private insurance or otherwise.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damages or indemnifications, or modify our products or processes.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we may be subject to costly and time-consuming legal proceedings that claim legal violations or wrongful conduct. These lawsuits may involve clients, our clients’ customers, vendors, competitors and/or other large groups of plaintiffs and, if resulting in findings of violations, could result in substantial damages or indemnification obligations. Additionally, we may be forced to settle some claims out of court and change existing company practices, services and processes that are currently revenue generating. This could lead to unexpected costs or a loss of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debt makes us more sensitive to the effects of economic change; our level of debt and provisions in our debt agreements could limit our ability to react to changes in the economy or our industry.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debt makes us more vulnerable to changes in our results of operations because a portion of our cash flows from operations is dedicated to servicing our debt and is not available for other purposes. Our debt is secured by virtually all of our assets and from time to time trades at a substantial discount to face value. Our ability to raise additional debt is largely limited and in many circumstances would be subject to lender approval and would require modification of our current debt agreements. Additionally, increases in interest rates will negatively impact our cash flows as the interest rate on our debt is variable. The provisions of our debt agreement could have other negative consequences to us including the following:</w:t>
      </w:r>
    </w:p>
    <w:p>
      <w:pPr>
        <w:spacing w:after="0" w:line="1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expenditures, debt service requirements or other general corporate purposes;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us to use a portion of our excess cash flow, as defined in the debt agreement, to repay debt in the event our debt to EBITDA ratios, as defined in the debt agreement, exceed certain thresholds;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the business.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This may make it more difficult for us to obtain financing on terms that are acceptable to us, or at all. Without any such financing or equity issuance, we could be forced to sell assets to make up for any shortfall in our payment obligations under unfavorable circumstances. If necessary, we may not be able to sell assets quickly enough or for sufficient amounts to enable us to meet our obligations.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our debt agreement contains covenants that limit our flexibility in planning for, or reacting to changes in, our business and our industry, including limitations on incurring additional indebtedness, making investments, granting liens and merging or consolidating with other companies. Complying with these covenants may impair our ability to finance our future operations or capital needs or to engage in other favorable business activities.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comply with the covenants contained in our debt agreement, including as a result of events beyond our control, could result in an event of default which could adversely affect our operating results and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agreement requires us to comply with various operational, reporting and other covenants that limit us from engaging in certain types of transactions. If there were an event of default under our debt agreement that was not cured or waived, the holders of the defaulted debt could cause all amounts outstanding with respect to that debt to be immediately due and payable. We cannot assure you that our assets or cash flows would be sufficient to fully repay borrowings under our outstanding debt instruments,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either upon maturity or if accelerated, upon an event of default or that we would be able to refinance or restructure the payments on those debt instruments.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maintain certain debt to EBITDA ratios contained in our debt agreement could result in required payments to the lenders of a percentage of our excess cash flows, which could adversely affect our ability to use our excess cash flows for other purposes.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debt agreement requires us to distribute to our lenders 50% of our consolidated excess cash flows, as defined in the debt agreement, if our net debt to EBITDA ratio, as defined in the debt agreement, exceeds 3.50 to 1.00 and 25% of our consolidated excess cash flows if our net debt to EBITDA ratio is 3.50 to 1.00 or less, but greater than 3.00 to 1.00. If we were required to distribute a portion of our excess cash flows to our lenders, we may be limited in our ability to grow our business through acquisitions or investments in technology and we may be limited in our ability to repurchase our common stock. We cannot assure you that we will maintain debt to EBITDA ratios at levels that will not require us to distribute a portion of our excess cash flows to lenders.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preparing our fiscal 2015 financial statements, management identified a material weakness in our internal control over financial reporting related to the review of impairment indicators of long-lived assets, including premises and equipment and intangible assets, and the impairment analysis of indefinite-lived assets, primarily goodwill. If we fail to maintain proper and effective internal controls, our ability to prepare accurate and timely financial statements could be impaired, which could adversely affect investor confidence in our reported financial information.</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under Part II. Item 9A. “</w:t>
      </w:r>
      <w:r>
        <w:rPr>
          <w:rFonts w:ascii="Arial" w:cs="Arial" w:eastAsia="Arial" w:hAnsi="Arial"/>
          <w:sz w:val="16"/>
          <w:szCs w:val="16"/>
          <w:i w:val="1"/>
          <w:iCs w:val="1"/>
          <w:color w:val="auto"/>
        </w:rPr>
        <w:t>Controls and Procedures</w:t>
      </w:r>
      <w:r>
        <w:rPr>
          <w:rFonts w:ascii="Arial" w:cs="Arial" w:eastAsia="Arial" w:hAnsi="Arial"/>
          <w:sz w:val="16"/>
          <w:szCs w:val="16"/>
          <w:color w:val="auto"/>
        </w:rPr>
        <w:t>” of this Annual Report, management determined that the Company has a material weakness in its internal controls over financial reporting related to the review of impairment indicators of long-lived assets, including premises and equipment and intangible assets, and the impairment analysis of indefinite-lived assets, primarily goodwill. A material weakness is a deficiency, or combination of deficiencies in internal controls over financial reporting that results in a reasonable possibility that a material misstatement of our annual or interim financial statements will not be prevented or detected on a timely basis. While the Company is developing a remediation plan, the material weakness will not be considered remediated until improvements have been fully implemented and have operated effectively for an adequate period of time. We cannot assure you that our efforts to fully remediate this internal control weakness will be successful or that similar material weaknesses will not recur.</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in the future discover additional areas of our internal controls that need improvement. We cannot be certain that we will be successful in implementing or maintaining adequate internal control over our financial reporting and financial processes. Additionally, the existence of any additional material weaknesses could require management to devote significant time and incur significant expense to remediate any such material weakness, and management may not be able to remediate any such material weakness in a timely manner. The existence of any material weakness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us.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existence of material weaknesses in our internal control over financial reporting may affect our ability to timely file periodic reports under the Securities Exchange Act of 1934. The inability to timely file periodic reports would constitute a failure to comply with the listing requirements of the NASDAQ Global Select Market, which could result in the delisting of our common stock or could result in the SEC revoking the registration of our common stock, which would prevent us from listing or having our stock quoted on the NASDAQ Global Select Market or any other United States stock exchange. This could have an adverse effect on our business and stock price by limiting access to publicly available information regarding us and greatly reducing the ability of our stockholders to sell or trade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grow is affected by our ability to execute on our strategic initiatives, retain and expand our existing client relationships and our ability to attract new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on our strategic initiatives;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or improve the quality and compliance of services we provide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leverage our existing client relationships to sell additional services;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efforts to execute on our strategic initiatives, retain and expand our client relationships and attract new customers do not prove effective, it could have an adverse effect on our business and results of operations and our ability to grow our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ability to expand existing relationships and attract new customers is also affected by broader economic factors and the strength of the overall housing market, which can reduce demand for our services and increase competition for each customer’s business. See </w:t>
      </w:r>
      <w:r>
        <w:rPr>
          <w:rFonts w:ascii="Arial" w:cs="Arial" w:eastAsia="Arial" w:hAnsi="Arial"/>
          <w:sz w:val="18"/>
          <w:szCs w:val="18"/>
          <w:i w:val="1"/>
          <w:iCs w:val="1"/>
          <w:color w:val="auto"/>
        </w:rPr>
        <w:t>“The strength of the economy and the housing</w:t>
      </w:r>
      <w:r>
        <w:rPr>
          <w:rFonts w:ascii="Arial" w:cs="Arial" w:eastAsia="Arial" w:hAnsi="Arial"/>
          <w:sz w:val="18"/>
          <w:szCs w:val="18"/>
          <w:color w:val="auto"/>
        </w:rPr>
        <w:t xml:space="preserve"> </w:t>
      </w:r>
      <w:r>
        <w:rPr>
          <w:rFonts w:ascii="Arial" w:cs="Arial" w:eastAsia="Arial" w:hAnsi="Arial"/>
          <w:sz w:val="18"/>
          <w:szCs w:val="18"/>
          <w:i w:val="1"/>
          <w:iCs w:val="1"/>
          <w:color w:val="auto"/>
        </w:rPr>
        <w:t>market can affect demand for our services.”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If we do not adapt our services to changes in technology or in the marketplace, changing requirements of governmental authorities, or if our ongoing efforts to upgrade our technology and particularly our efforts to complete development of our technology are not successful, we could lose customers and have difficulty attracting new customers for our services, which could have an adverse effect on our business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markets for our services are characterized by constant technological change, our customers’ frequent introduction of new services and evolving industry standards and government regulation. We are currently in the process of, and from time to time will be, developing and introducing new technologies and improvements to existing technologies.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and improved technologies and services. In addition, we may experience difficulties that could delay or prevent the successful development, introduction and marketing of these services. Finally, our services and their enhancements may not adequately meet the demands of the marketplace or governmental authorities and achieve market acceptance. Any of these results could have a negative impact on our financial condition and results of operations and our ability to grow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technology services are provided at the direction and pursuant to the identified requirements of our customers. The failure of our customers to properly identify or account for regulatory requirements applicable to such technology services could expose us to significant penalties, fines, settlements, costs and consent orders that could have an adverse effect on our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objectives are dependent on the timing and market acceptance of our new service offerings.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businesses are dependent on the trend toward outsourcing.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continued growth at historical rates for some of our businesses is dependent on the industry trend toward outsourced services. There can be no assurance this trend will continue as organizations may elect to perform such services themselves or may be prevented from outsourcing services. A significant change in this trend could have an adverse effect on our continued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acquired CastleLine and the Acquired RentRange and Investability Businesses. During 2014, we acquired certain assets and assumed certain liabilities of Mortgage Builder Software, Inc. (“Mortgage Builder”) and acquired certain assets and assumed certain liabilities of Owners Advantage, LLC (“Owners”). During 2013, we acquired fee-based businesses from Ocwen and acquired Equator, LLC (“Equator”).</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In addition, any acquisition may result in the incurrence of additional amortization expense of related intangible assets, which could reduce our profitability.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future, we may consider acquisitions of other businesses that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We may not be able to secure adequate capital as needed on terms that are acceptable to us, or at all, and our ability to secure such capital through debt financing is limited by our current debt agreements. Our failure to effectively pursue or integrate acquisitions, and such acquisitions themselves, may have an adverse effect on our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reduced our operating expenses by utilizing lower cost labor in foreign countries such as India, the Philippines and Uruguay. As of December 31, 2015, 7,334 of our employees were based in India, the Philippines and Uruguay. These countries are subject to relatively higher degrees of political and social instability and may lack the infrastructure to withstand political unrest or natural disasters. The occurrence of natural disasters or political or economic instability in these countries could interfere with work performed by these labor sources, or could result in our having to replace or reduce these labor sources. Such disruptions could decrease efficiency, increase our costs and have an adverse effect on our financial condition or results of operations. Furthermore, the practice of utilizing labor based in foreign countries has come under increased scrutiny in the United States and, as a result, some of our customers may require us to use labor based in the United States. We may not be able to pass on the increased costs of higher-priced United States-based labor to our customers, which ultimately could have an adverse effect on our results of operations.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financial condition or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financial condition or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obtain and enforce judgments against it or its directors and executive officers.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Altisource is a public limited liability company organized under the laws of, and headquartered in,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owned outside of the United States. It may be difficult for investors to obtain and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change of the Luxembourg tax regime or of its interpretation by the Luxembourg tax authorities or others could adversely affect our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Altisource has a lower effective tax rate than some of its competitors. The Company received a tax ruling from the Luxembourg tax authority, which expires in 2019 unless extended or renewed. It is possible that changes in Luxembourg’s administrative taxation practices or applicable regulations may cause an increase in our effective tax rate. In addition, the European Commission (“EC”) has initiated investigations into several EU member states, including Luxembourg, to determine whether these EU member states have provided tax advantages to companies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 These EU member states have the ability to appeal the decision. Changes in the manner in which we are taxed or a challenge in the manner in which we have been taxed could have an adverse effect on our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our directors, executive officers and key personnel.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is dependent on the efforts and abilities of our directors, executive officers and other key employees, many of whom have significant experience in the real estate and mortgage, financial services and technology industries. In particular, we are dependent on the services of our Board of Directors and key executives at our corporate headquarters and personnel at each of our segments. The loss of the services of any of these directors, executives or key personnel, for any reason, could have an adverse effect upon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and retain skilled employees may adversely impact our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labor intensive and places significant importance on our ability to recruit, train and retain skilled employees. Additionally, demand for qualified technical and software professionals conversant in certain technologies may exceed supply as new and additional skills are required to keep pace with evolving computer technology. Our ability to locate and train employees is critical to achieving our growth objective. Our inability to attract and retain skilled employees or an increase in wages or other costs of attracting, training or retaining skilled employees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could have conflicts of interest with Ocwen, Residential, AAMC and certain members of our management, which may be resolved in a manner adverse to us.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significant business relationships with and provide services to Ocwen and Residential. We also provide certain services to AAMC. Our largest shareholder, William C. Erbey, owns or controls common stock in each of Altisource, Ocwen, Residential and AAMC, Residential’s external manager. As of December 31, 2015, Mr. Erbey owned or controlled approximately 31% of the common stock of Altisource, approximately 14% of the common stock of Ocwen, approximately 4% of the common stock of Residential and approximately 31% of the common stock of AAMC. Certain members of our management have equity interests in Ocwen, Residential and/or AAMC. Each of the independent members of our Board of Directors also has immaterial equity interests in Residential and/or AAMC as a result of the distribution of shares of these companies to our shareholders at the time of their separation from Altisource. Such ownership interests could create, or appear to create, potential conflicts of interest with respect to matters potentially or actually involving or affecting us and Ocwen, Residential and AAMC, as the case may be.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we are able to manage potential conflicts with respect to our dealings with Ocwen, Residential and AAMC through our policies, procedures and practices, including through a management review process of the terms of transactions with these companies and through review, approval and oversight of such transactions by our independent directors (independent directors constitute a majority of our Board of Directors and our current Chairman is an independent director). There can be no assurance that such measures will be effective, that we will be able to manage or resolve all potential conflicts with these companies, and, even if we do, that the resolution will be no less favorable to us than if we were dealing with a third party that has none of the connections we have with these companies.</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2015 and the segments primarily occupying each location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Mortgage Services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Financial Services</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 and Support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BFE4FF"/>
            </w:tcBorders>
            <w:gridSpan w:val="4"/>
            <w:shd w:val="clear" w:color="auto" w:fill="BFE4FF"/>
          </w:tcPr>
          <w:p>
            <w:pPr>
              <w:ind w:left="40"/>
              <w:spacing w:after="0"/>
              <w:rPr>
                <w:sz w:val="20"/>
                <w:szCs w:val="20"/>
                <w:color w:val="auto"/>
              </w:rPr>
            </w:pPr>
            <w:r>
              <w:rPr>
                <w:rFonts w:ascii="Arial" w:cs="Arial" w:eastAsia="Arial" w:hAnsi="Arial"/>
                <w:sz w:val="18"/>
                <w:szCs w:val="18"/>
                <w:color w:val="auto"/>
              </w:rPr>
              <w:t>Luxembourg</w:t>
            </w:r>
          </w:p>
        </w:tc>
        <w:tc>
          <w:tcPr>
            <w:tcW w:w="184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40" w:type="dxa"/>
            <w:vAlign w:val="bottom"/>
            <w:gridSpan w:val="4"/>
            <w:shd w:val="clear" w:color="auto" w:fill="BFE4FF"/>
          </w:tcPr>
          <w:p>
            <w:pPr>
              <w:ind w:left="40"/>
              <w:spacing w:after="0" w:line="202" w:lineRule="exact"/>
              <w:rPr>
                <w:sz w:val="20"/>
                <w:szCs w:val="20"/>
                <w:color w:val="auto"/>
              </w:rPr>
            </w:pPr>
            <w:r>
              <w:rPr>
                <w:rFonts w:ascii="Arial" w:cs="Arial" w:eastAsia="Arial" w:hAnsi="Arial"/>
                <w:sz w:val="18"/>
                <w:szCs w:val="18"/>
                <w:color w:val="auto"/>
              </w:rPr>
              <w:t>United States</w:t>
            </w:r>
          </w:p>
        </w:tc>
        <w:tc>
          <w:tcPr>
            <w:tcW w:w="17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70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360" w:type="dxa"/>
            <w:vAlign w:val="bottom"/>
            <w:tcBorders>
              <w:top w:val="single" w:sz="8" w:color="auto"/>
            </w:tcBorders>
            <w:shd w:val="clear" w:color="auto" w:fill="BFE4FF"/>
          </w:tcPr>
          <w:p>
            <w:pPr>
              <w:spacing w:after="0"/>
              <w:rPr>
                <w:sz w:val="4"/>
                <w:szCs w:val="4"/>
                <w:color w:val="auto"/>
              </w:rPr>
            </w:pPr>
          </w:p>
        </w:tc>
        <w:tc>
          <w:tcPr>
            <w:tcW w:w="600" w:type="dxa"/>
            <w:vAlign w:val="bottom"/>
            <w:tcBorders>
              <w:top w:val="single" w:sz="8" w:color="auto"/>
            </w:tcBorders>
            <w:shd w:val="clear" w:color="auto" w:fill="BFE4FF"/>
          </w:tcPr>
          <w:p>
            <w:pPr>
              <w:spacing w:after="0"/>
              <w:rPr>
                <w:sz w:val="4"/>
                <w:szCs w:val="4"/>
                <w:color w:val="auto"/>
              </w:rPr>
            </w:pPr>
          </w:p>
        </w:tc>
        <w:tc>
          <w:tcPr>
            <w:tcW w:w="3240" w:type="dxa"/>
            <w:vAlign w:val="bottom"/>
            <w:tcBorders>
              <w:top w:val="single" w:sz="8" w:color="BFE4FF"/>
            </w:tcBorders>
            <w:shd w:val="clear" w:color="auto" w:fill="BFE4FF"/>
          </w:tcPr>
          <w:p>
            <w:pPr>
              <w:spacing w:after="0"/>
              <w:rPr>
                <w:sz w:val="4"/>
                <w:szCs w:val="4"/>
                <w:color w:val="auto"/>
              </w:rPr>
            </w:pPr>
          </w:p>
        </w:tc>
        <w:tc>
          <w:tcPr>
            <w:tcW w:w="172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7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7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70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Atlanta, GA</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20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8"/>
                <w:szCs w:val="18"/>
                <w:color w:val="auto"/>
              </w:rPr>
              <w:t>Boston, MA</w:t>
            </w:r>
          </w:p>
        </w:tc>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Coppell, TX</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20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8"/>
                <w:szCs w:val="18"/>
                <w:color w:val="auto"/>
              </w:rPr>
              <w:t>Endicott, NY</w:t>
            </w:r>
          </w:p>
        </w:tc>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Fort Washington, PA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20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8"/>
                <w:szCs w:val="18"/>
                <w:color w:val="auto"/>
              </w:rPr>
              <w:t>Irvine, CA</w:t>
            </w:r>
          </w:p>
        </w:tc>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Los Angeles, CA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20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8"/>
                <w:szCs w:val="18"/>
                <w:color w:val="auto"/>
              </w:rPr>
              <w:t>Plano, TX</w:t>
            </w:r>
          </w:p>
        </w:tc>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Sacramento, CA</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200" w:type="dxa"/>
            <w:vAlign w:val="bottom"/>
            <w:tcBorders>
              <w:bottom w:val="single" w:sz="8" w:color="BFE4FF"/>
            </w:tcBorders>
            <w:gridSpan w:val="3"/>
            <w:shd w:val="clear" w:color="auto" w:fill="BFE4FF"/>
          </w:tcPr>
          <w:p>
            <w:pPr>
              <w:ind w:left="140"/>
              <w:spacing w:after="0"/>
              <w:rPr>
                <w:sz w:val="20"/>
                <w:szCs w:val="20"/>
                <w:color w:val="auto"/>
              </w:rPr>
            </w:pPr>
            <w:r>
              <w:rPr>
                <w:rFonts w:ascii="Arial" w:cs="Arial" w:eastAsia="Arial" w:hAnsi="Arial"/>
                <w:sz w:val="18"/>
                <w:szCs w:val="18"/>
                <w:color w:val="auto"/>
              </w:rPr>
              <w:t>Southfield, MI</w:t>
            </w:r>
          </w:p>
        </w:tc>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St. Louis, MO</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BFE4FF"/>
            </w:tcBorders>
            <w:shd w:val="clear" w:color="auto" w:fill="BFE4FF"/>
          </w:tcPr>
          <w:p>
            <w:pPr>
              <w:spacing w:after="0"/>
              <w:rPr>
                <w:sz w:val="21"/>
                <w:szCs w:val="21"/>
                <w:color w:val="auto"/>
              </w:rPr>
            </w:pPr>
          </w:p>
        </w:tc>
        <w:tc>
          <w:tcPr>
            <w:tcW w:w="4200" w:type="dxa"/>
            <w:vAlign w:val="bottom"/>
            <w:tcBorders>
              <w:bottom w:val="single" w:sz="8" w:color="BFE4FF"/>
            </w:tcBorders>
            <w:gridSpan w:val="3"/>
            <w:shd w:val="clear" w:color="auto" w:fill="BFE4FF"/>
          </w:tcPr>
          <w:p>
            <w:pPr>
              <w:ind w:left="120"/>
              <w:spacing w:after="0"/>
              <w:rPr>
                <w:sz w:val="20"/>
                <w:szCs w:val="20"/>
                <w:color w:val="auto"/>
              </w:rPr>
            </w:pPr>
            <w:r>
              <w:rPr>
                <w:rFonts w:ascii="Arial" w:cs="Arial" w:eastAsia="Arial" w:hAnsi="Arial"/>
                <w:sz w:val="18"/>
                <w:szCs w:val="18"/>
                <w:color w:val="auto"/>
              </w:rPr>
              <w:t>Tempe, AZ</w:t>
            </w:r>
          </w:p>
        </w:tc>
        <w:tc>
          <w:tcPr>
            <w:tcW w:w="17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BFE4FF"/>
            </w:tcBorders>
            <w:gridSpan w:val="4"/>
            <w:shd w:val="clear" w:color="auto" w:fill="BFE4FF"/>
          </w:tcPr>
          <w:p>
            <w:pPr>
              <w:ind w:left="40"/>
              <w:spacing w:after="0"/>
              <w:rPr>
                <w:sz w:val="20"/>
                <w:szCs w:val="20"/>
                <w:color w:val="auto"/>
              </w:rPr>
            </w:pPr>
            <w:r>
              <w:rPr>
                <w:rFonts w:ascii="Arial" w:cs="Arial" w:eastAsia="Arial" w:hAnsi="Arial"/>
                <w:sz w:val="18"/>
                <w:szCs w:val="18"/>
                <w:color w:val="auto"/>
              </w:rPr>
              <w:t>Montevideo, Uruguay</w:t>
            </w:r>
          </w:p>
        </w:tc>
        <w:tc>
          <w:tcPr>
            <w:tcW w:w="184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BFE4FF"/>
            </w:tcBorders>
            <w:gridSpan w:val="4"/>
            <w:shd w:val="clear" w:color="auto" w:fill="BFE4FF"/>
          </w:tcPr>
          <w:p>
            <w:pPr>
              <w:ind w:left="40"/>
              <w:spacing w:after="0"/>
              <w:rPr>
                <w:sz w:val="20"/>
                <w:szCs w:val="20"/>
                <w:color w:val="auto"/>
              </w:rPr>
            </w:pPr>
            <w:r>
              <w:rPr>
                <w:rFonts w:ascii="Arial" w:cs="Arial" w:eastAsia="Arial" w:hAnsi="Arial"/>
                <w:sz w:val="18"/>
                <w:szCs w:val="18"/>
                <w:color w:val="auto"/>
              </w:rPr>
              <w:t>Pasay City, Philippines</w:t>
            </w:r>
          </w:p>
        </w:tc>
        <w:tc>
          <w:tcPr>
            <w:tcW w:w="184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BFE4FF"/>
            </w:tcBorders>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40" w:type="dxa"/>
            <w:vAlign w:val="bottom"/>
            <w:gridSpan w:val="4"/>
            <w:shd w:val="clear" w:color="auto" w:fill="BFE4FF"/>
          </w:tcPr>
          <w:p>
            <w:pPr>
              <w:ind w:left="40"/>
              <w:spacing w:after="0" w:line="202" w:lineRule="exact"/>
              <w:rPr>
                <w:sz w:val="20"/>
                <w:szCs w:val="20"/>
                <w:color w:val="auto"/>
              </w:rPr>
            </w:pPr>
            <w:r>
              <w:rPr>
                <w:rFonts w:ascii="Arial" w:cs="Arial" w:eastAsia="Arial" w:hAnsi="Arial"/>
                <w:sz w:val="18"/>
                <w:szCs w:val="18"/>
                <w:color w:val="auto"/>
              </w:rPr>
              <w:t>India</w:t>
            </w:r>
          </w:p>
        </w:tc>
        <w:tc>
          <w:tcPr>
            <w:tcW w:w="172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720" w:type="dxa"/>
            <w:vAlign w:val="bottom"/>
            <w:shd w:val="clear" w:color="auto" w:fill="BFE4FF"/>
          </w:tcPr>
          <w:p>
            <w:pPr>
              <w:spacing w:after="0"/>
              <w:rPr>
                <w:sz w:val="17"/>
                <w:szCs w:val="17"/>
                <w:color w:val="auto"/>
              </w:rPr>
            </w:pPr>
          </w:p>
        </w:tc>
        <w:tc>
          <w:tcPr>
            <w:tcW w:w="100" w:type="dxa"/>
            <w:vAlign w:val="bottom"/>
            <w:shd w:val="clear" w:color="auto" w:fill="BFE4FF"/>
          </w:tcPr>
          <w:p>
            <w:pPr>
              <w:spacing w:after="0"/>
              <w:rPr>
                <w:sz w:val="17"/>
                <w:szCs w:val="17"/>
                <w:color w:val="auto"/>
              </w:rPr>
            </w:pPr>
          </w:p>
        </w:tc>
        <w:tc>
          <w:tcPr>
            <w:tcW w:w="170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BFE4FF"/>
            </w:tcBorders>
            <w:shd w:val="clear" w:color="auto" w:fill="BFE4FF"/>
          </w:tcPr>
          <w:p>
            <w:pPr>
              <w:spacing w:after="0"/>
              <w:rPr>
                <w:sz w:val="4"/>
                <w:szCs w:val="4"/>
                <w:color w:val="auto"/>
              </w:rPr>
            </w:pPr>
          </w:p>
        </w:tc>
        <w:tc>
          <w:tcPr>
            <w:tcW w:w="360" w:type="dxa"/>
            <w:vAlign w:val="bottom"/>
            <w:tcBorders>
              <w:top w:val="single" w:sz="8" w:color="auto"/>
            </w:tcBorders>
            <w:shd w:val="clear" w:color="auto" w:fill="BFE4FF"/>
          </w:tcPr>
          <w:p>
            <w:pPr>
              <w:spacing w:after="0"/>
              <w:rPr>
                <w:sz w:val="4"/>
                <w:szCs w:val="4"/>
                <w:color w:val="auto"/>
              </w:rPr>
            </w:pPr>
          </w:p>
        </w:tc>
        <w:tc>
          <w:tcPr>
            <w:tcW w:w="600" w:type="dxa"/>
            <w:vAlign w:val="bottom"/>
            <w:tcBorders>
              <w:top w:val="single" w:sz="8" w:color="BFE4FF"/>
            </w:tcBorders>
            <w:shd w:val="clear" w:color="auto" w:fill="BFE4FF"/>
          </w:tcPr>
          <w:p>
            <w:pPr>
              <w:spacing w:after="0"/>
              <w:rPr>
                <w:sz w:val="4"/>
                <w:szCs w:val="4"/>
                <w:color w:val="auto"/>
              </w:rPr>
            </w:pPr>
          </w:p>
        </w:tc>
        <w:tc>
          <w:tcPr>
            <w:tcW w:w="3240" w:type="dxa"/>
            <w:vAlign w:val="bottom"/>
            <w:tcBorders>
              <w:top w:val="single" w:sz="8" w:color="BFE4FF"/>
            </w:tcBorders>
            <w:shd w:val="clear" w:color="auto" w:fill="BFE4FF"/>
          </w:tcPr>
          <w:p>
            <w:pPr>
              <w:spacing w:after="0"/>
              <w:rPr>
                <w:sz w:val="4"/>
                <w:szCs w:val="4"/>
                <w:color w:val="auto"/>
              </w:rPr>
            </w:pPr>
          </w:p>
        </w:tc>
        <w:tc>
          <w:tcPr>
            <w:tcW w:w="1720" w:type="dxa"/>
            <w:vAlign w:val="bottom"/>
            <w:tcBorders>
              <w:top w:val="single" w:sz="8" w:color="BFE4FF"/>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c>
          <w:tcPr>
            <w:tcW w:w="17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720" w:type="dxa"/>
            <w:vAlign w:val="bottom"/>
            <w:tcBorders>
              <w:top w:val="single" w:sz="8" w:color="BFE4FF"/>
            </w:tcBorders>
            <w:shd w:val="clear" w:color="auto" w:fill="BFE4FF"/>
          </w:tcPr>
          <w:p>
            <w:pPr>
              <w:spacing w:after="0"/>
              <w:rPr>
                <w:sz w:val="4"/>
                <w:szCs w:val="4"/>
                <w:color w:val="auto"/>
              </w:rPr>
            </w:pPr>
          </w:p>
        </w:tc>
        <w:tc>
          <w:tcPr>
            <w:tcW w:w="100" w:type="dxa"/>
            <w:vAlign w:val="bottom"/>
            <w:tcBorders>
              <w:top w:val="single" w:sz="8" w:color="BFE4FF"/>
            </w:tcBorders>
            <w:shd w:val="clear" w:color="auto" w:fill="BFE4FF"/>
          </w:tcPr>
          <w:p>
            <w:pPr>
              <w:spacing w:after="0"/>
              <w:rPr>
                <w:sz w:val="4"/>
                <w:szCs w:val="4"/>
                <w:color w:val="auto"/>
              </w:rPr>
            </w:pPr>
          </w:p>
        </w:tc>
        <w:tc>
          <w:tcPr>
            <w:tcW w:w="1700" w:type="dxa"/>
            <w:vAlign w:val="bottom"/>
            <w:tcBorders>
              <w:top w:val="single" w:sz="8" w:color="BFE4FF"/>
            </w:tcBorders>
            <w:shd w:val="clear" w:color="auto" w:fill="BFE4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Bangalore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BFE4FF"/>
          </w:tcPr>
          <w:p>
            <w:pPr>
              <w:spacing w:after="0"/>
              <w:rPr>
                <w:sz w:val="21"/>
                <w:szCs w:val="21"/>
                <w:color w:val="auto"/>
              </w:rPr>
            </w:pPr>
          </w:p>
        </w:tc>
        <w:tc>
          <w:tcPr>
            <w:tcW w:w="4200" w:type="dxa"/>
            <w:vAlign w:val="bottom"/>
            <w:gridSpan w:val="3"/>
            <w:shd w:val="clear" w:color="auto" w:fill="BFE4FF"/>
          </w:tcPr>
          <w:p>
            <w:pPr>
              <w:ind w:left="140"/>
              <w:spacing w:after="0"/>
              <w:rPr>
                <w:sz w:val="20"/>
                <w:szCs w:val="20"/>
                <w:color w:val="auto"/>
              </w:rPr>
            </w:pPr>
            <w:r>
              <w:rPr>
                <w:rFonts w:ascii="Arial" w:cs="Arial" w:eastAsia="Arial" w:hAnsi="Arial"/>
                <w:sz w:val="18"/>
                <w:szCs w:val="18"/>
                <w:color w:val="auto"/>
              </w:rPr>
              <w:t>Mumbai</w:t>
            </w:r>
          </w:p>
        </w:tc>
        <w:tc>
          <w:tcPr>
            <w:tcW w:w="1840" w:type="dxa"/>
            <w:vAlign w:val="bottom"/>
            <w:gridSpan w:val="2"/>
            <w:shd w:val="clear" w:color="auto" w:fill="BFE4FF"/>
          </w:tcPr>
          <w:p>
            <w:pPr>
              <w:jc w:val="center"/>
              <w:ind w:right="100"/>
              <w:spacing w:after="0"/>
              <w:rPr>
                <w:sz w:val="20"/>
                <w:szCs w:val="20"/>
                <w:color w:val="auto"/>
              </w:rPr>
            </w:pPr>
            <w:r>
              <w:rPr>
                <w:rFonts w:ascii="Arial" w:cs="Arial" w:eastAsia="Arial" w:hAnsi="Arial"/>
                <w:sz w:val="18"/>
                <w:szCs w:val="18"/>
                <w:color w:val="auto"/>
              </w:rPr>
              <w:t>X</w:t>
            </w:r>
          </w:p>
        </w:tc>
        <w:tc>
          <w:tcPr>
            <w:tcW w:w="1820" w:type="dxa"/>
            <w:vAlign w:val="bottom"/>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820" w:type="dxa"/>
            <w:vAlign w:val="bottom"/>
            <w:gridSpan w:val="2"/>
            <w:shd w:val="clear" w:color="auto" w:fill="BFE4FF"/>
          </w:tcPr>
          <w:p>
            <w:pPr>
              <w:jc w:val="center"/>
              <w:ind w:right="100"/>
              <w:spacing w:after="0"/>
              <w:rPr>
                <w:sz w:val="20"/>
                <w:szCs w:val="20"/>
                <w:color w:val="auto"/>
              </w:rPr>
            </w:pPr>
            <w:r>
              <w:rPr>
                <w:rFonts w:ascii="Arial" w:cs="Arial" w:eastAsia="Arial" w:hAnsi="Arial"/>
                <w:sz w:val="18"/>
                <w:szCs w:val="18"/>
                <w:color w:val="auto"/>
                <w:w w:val="99"/>
              </w:rPr>
              <w:t>X</w:t>
            </w:r>
          </w:p>
        </w:tc>
        <w:tc>
          <w:tcPr>
            <w:tcW w:w="1700" w:type="dxa"/>
            <w:vAlign w:val="bottom"/>
            <w:shd w:val="clear" w:color="auto" w:fill="BFE4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40" w:type="dxa"/>
            <w:vAlign w:val="bottom"/>
            <w:shd w:val="clear" w:color="auto" w:fill="BFE4FF"/>
          </w:tcPr>
          <w:p>
            <w:pPr>
              <w:spacing w:after="0"/>
              <w:rPr>
                <w:sz w:val="2"/>
                <w:szCs w:val="2"/>
                <w:color w:val="auto"/>
              </w:rPr>
            </w:pPr>
          </w:p>
        </w:tc>
        <w:tc>
          <w:tcPr>
            <w:tcW w:w="360" w:type="dxa"/>
            <w:vAlign w:val="bottom"/>
            <w:shd w:val="clear" w:color="auto" w:fill="BFE4FF"/>
          </w:tcPr>
          <w:p>
            <w:pPr>
              <w:spacing w:after="0"/>
              <w:rPr>
                <w:sz w:val="2"/>
                <w:szCs w:val="2"/>
                <w:color w:val="auto"/>
              </w:rPr>
            </w:pPr>
          </w:p>
        </w:tc>
        <w:tc>
          <w:tcPr>
            <w:tcW w:w="600" w:type="dxa"/>
            <w:vAlign w:val="bottom"/>
            <w:shd w:val="clear" w:color="auto" w:fill="BFE4FF"/>
          </w:tcPr>
          <w:p>
            <w:pPr>
              <w:spacing w:after="0"/>
              <w:rPr>
                <w:sz w:val="2"/>
                <w:szCs w:val="2"/>
                <w:color w:val="auto"/>
              </w:rPr>
            </w:pPr>
          </w:p>
        </w:tc>
        <w:tc>
          <w:tcPr>
            <w:tcW w:w="3240" w:type="dxa"/>
            <w:vAlign w:val="bottom"/>
            <w:shd w:val="clear" w:color="auto" w:fill="BFE4FF"/>
          </w:tcPr>
          <w:p>
            <w:pPr>
              <w:spacing w:after="0"/>
              <w:rPr>
                <w:sz w:val="2"/>
                <w:szCs w:val="2"/>
                <w:color w:val="auto"/>
              </w:rPr>
            </w:pPr>
          </w:p>
        </w:tc>
        <w:tc>
          <w:tcPr>
            <w:tcW w:w="17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7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7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70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do not own any real property. We consider these facilities to be suitable and currently adequate for the management and operations of our businesses.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duty by current or former Ocwen Financial Corporation’s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Altisource Portfolio Solutions S.A. intends to vigorously defend the lawsuit and to move to dismiss all claims against it.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certain of its current or former officers and directors, Altisource Portfolio Solutions S.A. and other companies. The suit seeks recovery of an unspecified amount of damages for alleged breaches of fiduciary duty by the current or former Ocwen Financial Corporation’s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the forthcoming motions to dismiss in the second and third cases have not yet been adjudicated, a stay has been entered in the third case, discovery has not occurred in any of the cases and significant legal and factual issues remain to be determined in all three cases.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24 to the consolidated financial statements.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740" w:right="500" w:hanging="715"/>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“ASPS.” The following table sets forth the high and low close of day sales prices for our common stock, for the periods indicated, as reported by the NASDAQ Global Select Market: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988"/>
              <w:spacing w:after="0"/>
              <w:rPr>
                <w:sz w:val="20"/>
                <w:szCs w:val="20"/>
                <w:color w:val="auto"/>
              </w:rPr>
            </w:pPr>
            <w:r>
              <w:rPr>
                <w:rFonts w:ascii="Arial" w:cs="Arial" w:eastAsia="Arial" w:hAnsi="Arial"/>
                <w:sz w:val="14"/>
                <w:szCs w:val="14"/>
                <w:b w:val="1"/>
                <w:bCs w:val="1"/>
                <w:color w:val="auto"/>
              </w:rPr>
              <w:t>2015</w:t>
            </w: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22"/>
                <w:szCs w:val="22"/>
                <w:color w:val="auto"/>
              </w:rPr>
            </w:pPr>
          </w:p>
        </w:tc>
        <w:tc>
          <w:tcPr>
            <w:tcW w:w="16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Low</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High</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32.15</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33.08</w:t>
            </w:r>
          </w:p>
        </w:tc>
      </w:tr>
      <w:tr>
        <w:trPr>
          <w:trHeight w:val="642"/>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89"/>
              </w:rPr>
              <w:t>2014</w:t>
            </w:r>
          </w:p>
        </w:tc>
        <w:tc>
          <w:tcPr>
            <w:tcW w:w="1640" w:type="dxa"/>
            <w:vAlign w:val="bottom"/>
            <w:tcBorders>
              <w:bottom w:val="single" w:sz="8" w:color="auto"/>
            </w:tcBorders>
          </w:tcPr>
          <w:p>
            <w:pPr>
              <w:spacing w:after="0"/>
              <w:rPr>
                <w:sz w:val="24"/>
                <w:szCs w:val="24"/>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22"/>
                <w:szCs w:val="22"/>
                <w:color w:val="auto"/>
              </w:rPr>
            </w:pPr>
          </w:p>
        </w:tc>
        <w:tc>
          <w:tcPr>
            <w:tcW w:w="1540" w:type="dxa"/>
            <w:vAlign w:val="bottom"/>
          </w:tcPr>
          <w:p>
            <w:pPr>
              <w:jc w:val="right"/>
              <w:ind w:right="772"/>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40" w:type="dxa"/>
            <w:vAlign w:val="bottom"/>
          </w:tcPr>
          <w:p>
            <w:pPr>
              <w:jc w:val="right"/>
              <w:ind w:right="832"/>
              <w:spacing w:after="0"/>
              <w:rPr>
                <w:sz w:val="20"/>
                <w:szCs w:val="20"/>
                <w:color w:val="auto"/>
              </w:rPr>
            </w:pPr>
            <w:r>
              <w:rPr>
                <w:rFonts w:ascii="Arial" w:cs="Arial" w:eastAsia="Arial" w:hAnsi="Arial"/>
                <w:sz w:val="14"/>
                <w:szCs w:val="14"/>
                <w:b w:val="1"/>
                <w:bCs w:val="1"/>
                <w:color w:val="auto"/>
              </w:rPr>
              <w:t>High</w:t>
            </w:r>
          </w:p>
        </w:tc>
      </w:tr>
      <w:tr>
        <w:trPr>
          <w:trHeight w:val="243"/>
        </w:trPr>
        <w:tc>
          <w:tcPr>
            <w:tcW w:w="68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7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164.48</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June 30</w:t>
            </w: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125.84</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w:t>
            </w: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119.95</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101.99</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holders of record of our common stock as of February 22, 2016 was 69. The number of beneficial shareholders is substantially greater than the number of holders as a large portion of our common stock is held through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cash dividends on our common stock and we do not anticipate paying cash dividends in the foreseeable future. The provisions of our senior secured term loan agreement, as amended, limit, among other things, our ability to pay dividends. Luxembourg law also limits our ability to pay dividends, including statutory reporting requirements and dividend amount limitations based on annual net income and net income carried forward, less any amounts placed in reserve.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 500 Index and the NASDAQ Composite Index for the five year period ending on December 31, 2015. The graph assumes an investment of $100 at the beginning of this period and does not include the effects of the post-distribution values of Residential and AAMC, which were distributed to Altisource shareholders in December 2012.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128905</wp:posOffset>
            </wp:positionV>
            <wp:extent cx="5831840"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184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12/31/10</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6/30/11</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12/31/11</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6/30/12</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12/31/12</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6/30/13</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12/31/13</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6/30/14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12/31/14</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06/30/15</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12/31/15</w:t>
            </w: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Altisource</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100.00</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  128.18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174.78</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8"/>
              </w:rPr>
              <w:t>$  255.07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  301.81</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5"/>
              </w:rPr>
              <w:t>$  328.46</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5"/>
              </w:rPr>
              <w:t>$  552.53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8"/>
              </w:rPr>
              <w:t>$  399.09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5"/>
              </w:rPr>
              <w:t>$  117.69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5"/>
              </w:rPr>
              <w:t>$  107.24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96.87</w:t>
            </w:r>
          </w:p>
        </w:tc>
        <w:tc>
          <w:tcPr>
            <w:tcW w:w="0" w:type="dxa"/>
            <w:vAlign w:val="bottom"/>
          </w:tcPr>
          <w:p>
            <w:pPr>
              <w:spacing w:after="0"/>
              <w:rPr>
                <w:sz w:val="1"/>
                <w:szCs w:val="1"/>
                <w:color w:val="auto"/>
              </w:rPr>
            </w:pPr>
          </w:p>
        </w:tc>
      </w:tr>
      <w:tr>
        <w:trPr>
          <w:trHeight w:val="264"/>
        </w:trPr>
        <w:tc>
          <w:tcPr>
            <w:tcW w:w="148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105.01</w:t>
            </w:r>
          </w:p>
        </w:tc>
        <w:tc>
          <w:tcPr>
            <w:tcW w:w="12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108.31</w:t>
            </w:r>
          </w:p>
        </w:tc>
        <w:tc>
          <w:tcPr>
            <w:tcW w:w="120" w:type="dxa"/>
            <w:vAlign w:val="bottom"/>
          </w:tcPr>
          <w:p>
            <w:pPr>
              <w:spacing w:after="0"/>
              <w:rPr>
                <w:sz w:val="22"/>
                <w:szCs w:val="22"/>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113.40</w:t>
            </w:r>
          </w:p>
        </w:tc>
        <w:tc>
          <w:tcPr>
            <w:tcW w:w="12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127.72</w:t>
            </w:r>
          </w:p>
        </w:tc>
        <w:tc>
          <w:tcPr>
            <w:tcW w:w="12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146.97</w:t>
            </w:r>
          </w:p>
        </w:tc>
        <w:tc>
          <w:tcPr>
            <w:tcW w:w="10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155.87</w:t>
            </w:r>
          </w:p>
        </w:tc>
        <w:tc>
          <w:tcPr>
            <w:tcW w:w="1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163.71</w:t>
            </w:r>
          </w:p>
        </w:tc>
        <w:tc>
          <w:tcPr>
            <w:tcW w:w="1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164.05</w:t>
            </w:r>
          </w:p>
        </w:tc>
        <w:tc>
          <w:tcPr>
            <w:tcW w:w="1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162.52</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Composite</w:t>
            </w:r>
          </w:p>
        </w:tc>
        <w:tc>
          <w:tcPr>
            <w:tcW w:w="8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104.55</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98.20</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110.64</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113.82</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128.29</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157.44</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166.17</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178.53</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187.98</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188.75</w:t>
            </w: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Index</w:t>
            </w: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2016 annual meeting of shareholders to be filed pursuant to Regulation 14A under the Securities Exchange Act of 1934.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20, 2015, our shareholders approved a new share repurchase program, which replaced the previous share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prior programs. Under the existing and prior programs, we purchased 2.1 million shares of common stock at an average price of $27.60 per share during the year ended December 31, 2015, 2.5 million shares at an average price of $103.67 per share during the year ended December 31, 2014 and 1.2 million shares at an average price of $116.99 per share during the year ended December 31, 2013. As of December 31, 2015, approximately 1.4 million shares of common stock remain available for repurchase under the new program. Our senior secured term loan limits the amount we can spend on share repurchases and may prevent repurchases in certain circumstances. As of December 31, 2015, approximately $360 million was available to repurchase shares of our common stock under our senior secured term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equity securities during the three months ended December 31, 2015: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2"/>
                <w:szCs w:val="12"/>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w:t>
            </w:r>
          </w:p>
        </w:tc>
        <w:tc>
          <w:tcPr>
            <w:tcW w:w="36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shares</w:t>
            </w:r>
          </w:p>
        </w:tc>
        <w:tc>
          <w:tcPr>
            <w:tcW w:w="36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6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Common stock:</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October 1 — 31, 2015</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1,811,525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jc w:val="right"/>
              <w:ind w:right="160"/>
              <w:spacing w:after="0"/>
              <w:rPr>
                <w:sz w:val="20"/>
                <w:szCs w:val="20"/>
                <w:color w:val="auto"/>
              </w:rPr>
            </w:pPr>
            <w:r>
              <w:rPr>
                <w:rFonts w:ascii="Arial" w:cs="Arial" w:eastAsia="Arial" w:hAnsi="Arial"/>
                <w:sz w:val="18"/>
                <w:szCs w:val="18"/>
                <w:color w:val="auto"/>
              </w:rPr>
              <w:t>November 1 — 30, 2015</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178,000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1820" w:type="dxa"/>
            <w:vAlign w:val="bottom"/>
          </w:tcPr>
          <w:p>
            <w:pPr>
              <w:jc w:val="right"/>
              <w:ind w:right="41"/>
              <w:spacing w:after="0"/>
              <w:rPr>
                <w:sz w:val="20"/>
                <w:szCs w:val="20"/>
                <w:color w:val="auto"/>
              </w:rPr>
            </w:pPr>
            <w:r>
              <w:rPr>
                <w:rFonts w:ascii="Arial" w:cs="Arial" w:eastAsia="Arial" w:hAnsi="Arial"/>
                <w:sz w:val="18"/>
                <w:szCs w:val="18"/>
                <w:color w:val="auto"/>
              </w:rPr>
              <w:t>178,000</w:t>
            </w:r>
          </w:p>
        </w:tc>
        <w:tc>
          <w:tcPr>
            <w:tcW w:w="100" w:type="dxa"/>
            <w:vAlign w:val="bottom"/>
          </w:tcPr>
          <w:p>
            <w:pPr>
              <w:spacing w:after="0"/>
              <w:rPr>
                <w:sz w:val="21"/>
                <w:szCs w:val="21"/>
                <w:color w:val="auto"/>
              </w:rPr>
            </w:pPr>
          </w:p>
        </w:tc>
        <w:tc>
          <w:tcPr>
            <w:tcW w:w="1820" w:type="dxa"/>
            <w:vAlign w:val="bottom"/>
          </w:tcPr>
          <w:p>
            <w:pPr>
              <w:jc w:val="right"/>
              <w:ind w:right="40"/>
              <w:spacing w:after="0"/>
              <w:rPr>
                <w:sz w:val="20"/>
                <w:szCs w:val="20"/>
                <w:color w:val="auto"/>
              </w:rPr>
            </w:pPr>
            <w:r>
              <w:rPr>
                <w:rFonts w:ascii="Arial" w:cs="Arial" w:eastAsia="Arial" w:hAnsi="Arial"/>
                <w:sz w:val="18"/>
                <w:szCs w:val="18"/>
                <w:color w:val="auto"/>
              </w:rPr>
              <w:t>1,633,525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December 1 — 31, 2015</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201,945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201,945</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1,431,580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shares of common stock</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379,945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379,945</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1,431,580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80" w:hanging="258"/>
        <w:spacing w:after="0"/>
        <w:tabs>
          <w:tab w:leader="none" w:pos="2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201" w:lineRule="exact"/>
        <w:rPr>
          <w:rFonts w:ascii="Arial" w:cs="Arial" w:eastAsia="Arial" w:hAnsi="Arial"/>
          <w:sz w:val="25"/>
          <w:szCs w:val="25"/>
          <w:color w:val="auto"/>
          <w:vertAlign w:val="superscript"/>
        </w:rPr>
      </w:pPr>
    </w:p>
    <w:p>
      <w:pPr>
        <w:ind w:left="280" w:hanging="258"/>
        <w:spacing w:after="0" w:line="216" w:lineRule="auto"/>
        <w:tabs>
          <w:tab w:leader="none" w:pos="2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On May 20, 2015, our shareholders authorized a new share repurchase program that replaced the prior program and authorized us to purchase up to 3.0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as of and for the years ended December 31, 2015, 2014, 2013, 2012 and 2011 has been derived from our 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historical results presented below may not be indicative of our future performance.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and our consolidated financial statements and notes thereto in Item 8 of Part II,</w:t>
      </w:r>
      <w:r>
        <w:rPr>
          <w:rFonts w:ascii="Arial" w:cs="Arial" w:eastAsia="Arial" w:hAnsi="Arial"/>
          <w:sz w:val="18"/>
          <w:szCs w:val="18"/>
          <w:i w:val="1"/>
          <w:iCs w:val="1"/>
          <w:color w:val="auto"/>
        </w:rPr>
        <w:t xml:space="preserve"> “Financial Statements and Supplementary Data.”</w:t>
      </w: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1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33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1,051,466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1,078,916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568,360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423,687</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687,327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707,180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492,480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366,201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275,849</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202,159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147,838</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220,868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201,733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113,810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74,712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62,131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Impairment losses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Change in the fair value of Equator earn out liability</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127,447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85,707</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160" w:type="dxa"/>
            <w:vAlign w:val="bottom"/>
            <w:gridSpan w:val="2"/>
          </w:tcPr>
          <w:p>
            <w:pPr>
              <w:ind w:left="160"/>
              <w:spacing w:after="0"/>
              <w:rPr>
                <w:sz w:val="20"/>
                <w:szCs w:val="20"/>
                <w:color w:val="auto"/>
              </w:rPr>
            </w:pPr>
            <w:r>
              <w:rPr>
                <w:rFonts w:ascii="Arial" w:cs="Arial" w:eastAsia="Arial" w:hAnsi="Arial"/>
                <w:sz w:val="18"/>
                <w:szCs w:val="18"/>
                <w:color w:val="auto"/>
              </w:rPr>
              <w:t>Loss on sale of HLSS equity securities, net of dividends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received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37"/>
        </w:trPr>
        <w:tc>
          <w:tcPr>
            <w:tcW w:w="5160" w:type="dxa"/>
            <w:vAlign w:val="bottom"/>
            <w:gridSpan w:val="2"/>
          </w:tcPr>
          <w:p>
            <w:pPr>
              <w:ind w:left="40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 and non-controlling interests</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53,060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147,265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142,333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124,649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85,910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115,911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77,967</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(6,855)</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Altisource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129,973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110,627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71,112</w:t>
            </w:r>
          </w:p>
        </w:tc>
      </w:tr>
      <w:tr>
        <w:trPr>
          <w:trHeight w:val="230"/>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r>
      <w:tr>
        <w:trPr>
          <w:trHeight w:val="217"/>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Transactions with related parties included above:</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666,800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502,087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338,227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245,262</w:t>
            </w: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3"/>
                <w:szCs w:val="23"/>
                <w:color w:val="auto"/>
              </w:rPr>
            </w:pPr>
          </w:p>
        </w:tc>
        <w:tc>
          <w:tcPr>
            <w:tcW w:w="10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19,983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13,469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5,180</w:t>
            </w:r>
          </w:p>
        </w:tc>
      </w:tr>
      <w:tr>
        <w:trPr>
          <w:trHeight w:val="270"/>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36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2"/>
                <w:szCs w:val="12"/>
                <w:color w:val="auto"/>
              </w:rPr>
              <w:t>(1)</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3"/>
                <w:szCs w:val="23"/>
                <w:color w:val="auto"/>
              </w:rPr>
            </w:pPr>
          </w:p>
        </w:tc>
        <w:tc>
          <w:tcPr>
            <w:tcW w:w="104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162"/>
        </w:trPr>
        <w:tc>
          <w:tcPr>
            <w:tcW w:w="5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70"/>
        </w:trPr>
        <w:tc>
          <w:tcPr>
            <w:tcW w:w="51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Non-GAAP Financial Measures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4"/>
        </w:trPr>
        <w:tc>
          <w:tcPr>
            <w:tcW w:w="5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Adjusted net income attributable to Altisource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143,475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169,141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156,458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115,304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75,914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gridSpan w:val="2"/>
          </w:tcPr>
          <w:p>
            <w:pPr>
              <w:ind w:left="160"/>
              <w:spacing w:after="0"/>
              <w:rPr>
                <w:sz w:val="20"/>
                <w:szCs w:val="20"/>
                <w:color w:val="auto"/>
              </w:rPr>
            </w:pPr>
            <w:r>
              <w:rPr>
                <w:rFonts w:ascii="Arial" w:cs="Arial" w:eastAsia="Arial" w:hAnsi="Arial"/>
                <w:sz w:val="18"/>
                <w:szCs w:val="18"/>
                <w:color w:val="auto"/>
              </w:rPr>
              <w:t>Adjusted 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857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182" w:lineRule="exact"/>
        <w:rPr>
          <w:sz w:val="20"/>
          <w:szCs w:val="20"/>
          <w:color w:val="auto"/>
        </w:rPr>
      </w:pPr>
    </w:p>
    <w:p>
      <w:pPr>
        <w:jc w:val="both"/>
        <w:ind w:left="260" w:hanging="252"/>
        <w:spacing w:after="0" w:line="252" w:lineRule="auto"/>
        <w:tabs>
          <w:tab w:leader="none" w:pos="209"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 xml:space="preserve">Through January 16, 2015, William C. Erbey served as our Chairman as well as the Executive Chairman of Ocwen and Chairman of each of HLSS, Residential and AAMC. Effective January 16, 2015, Mr. Erbey stepped down as the Executive Chairman of Ocwen and Chairman of each of Altisource, HLSS, Residential and AAMC and is no longer a member of the Board of Directors for any of these companies. Consequently, these companies are no longer related parties of Altisource, as defined by Financial Accounting Standards Board’s Accounting Standards Codification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disclosures in the table above are limited to the periods that each of Ocwen, HLSS, Residential and AAMC were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of Altisource and are not necessarily reflective of current activities with these former related parties. See Note 4 to the consolidated financial statements for more details.</w:t>
      </w:r>
    </w:p>
    <w:p>
      <w:pPr>
        <w:spacing w:after="0" w:line="5" w:lineRule="exact"/>
        <w:rPr>
          <w:rFonts w:ascii="Arial" w:cs="Arial" w:eastAsia="Arial" w:hAnsi="Arial"/>
          <w:sz w:val="24"/>
          <w:szCs w:val="24"/>
          <w:color w:val="auto"/>
          <w:vertAlign w:val="superscript"/>
        </w:rPr>
      </w:pPr>
    </w:p>
    <w:p>
      <w:pPr>
        <w:ind w:left="180" w:hanging="172"/>
        <w:spacing w:after="0" w:line="214"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Theses are non-GAAP measures that are defined and reconciled to the corresponding GAAP measures on page 26.</w:t>
      </w:r>
    </w:p>
    <w:p>
      <w:pPr>
        <w:sectPr>
          <w:pgSz w:w="11900" w:h="16838" w:orient="portrait"/>
          <w:cols w:equalWidth="0" w:num="1">
            <w:col w:w="11420"/>
          </w:cols>
          <w:pgMar w:left="240" w:top="125" w:right="239" w:bottom="15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5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2"/>
                <w:szCs w:val="22"/>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2011</w:t>
            </w:r>
          </w:p>
        </w:tc>
      </w:tr>
      <w:tr>
        <w:trPr>
          <w:trHeight w:val="243"/>
        </w:trPr>
        <w:tc>
          <w:tcPr>
            <w:tcW w:w="5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32,125</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105,023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112,183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104,787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88,955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52,005</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82,801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90,851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99,414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14,915</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64,950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Loan to Ocwen</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727,982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224,159</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Long-term debt, net (including current portion)</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534,362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588,614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395,256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198,027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675,712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746,778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572,311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269,397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58,216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Significant events affecting our historical earnings trends from 2013 through 2015, including acquisitions, are described in Item 7 of Part II,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net income attributable to Altisource and adjusted diluted earnings per share are non-GAAP measures used by management, existing shareholders and potential shareholders to measure Altisource’s performance. Adjusted net income attributable to Altisource is calculated by adding intangible asset amortization expense (net of tax) and impairment losses (net of tax) and deducting gains associated with reductions of the Equator earn out liability (net of tax) to GAAP net income attributable to Altisource. Adjusted diluted earnings per share is calculated by dividing net income attributable to Altisource plus intangible asset amortization expense (net of tax) plus impairment losses (net of tax) less gains associated with reductions of the Equator earn out liability (net of tax) to GAAP net income attributable to Altisource by the weighted average number of diluted shares. Reconciliations of the non-GAAP measures to the corresponding GAAP measures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For the years ended December 31,</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20" w:type="dxa"/>
            <w:vAlign w:val="bottom"/>
          </w:tcPr>
          <w:p>
            <w:pPr>
              <w:spacing w:after="0"/>
              <w:rPr>
                <w:sz w:val="22"/>
                <w:szCs w:val="22"/>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2011</w:t>
            </w:r>
          </w:p>
        </w:tc>
      </w:tr>
      <w:tr>
        <w:trPr>
          <w:trHeight w:val="270"/>
        </w:trPr>
        <w:tc>
          <w:tcPr>
            <w:tcW w:w="5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71,112</w:t>
            </w:r>
          </w:p>
        </w:tc>
      </w:tr>
      <w:tr>
        <w:trPr>
          <w:trHeight w:val="243"/>
        </w:trPr>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amortization expense,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70,630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34,884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liability,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6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Altisource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143,475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169,141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156,458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115,304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75,914</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43"/>
        </w:trPr>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 amortization expense, net of tax,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Impairment loss, net of tax, per diluted share</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liability, net of tax, per diluted share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6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Calculation of the impact of intangible amortization expense,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Intangible amortization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41,135</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37,680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28,176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5,291</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 benefit from 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37"/>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Intangible asset amortization expense, net of tax</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38,187</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4,802</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 share count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20,619</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25,685</w:t>
            </w:r>
          </w:p>
        </w:tc>
      </w:tr>
      <w:tr>
        <w:trPr>
          <w:trHeight w:val="297"/>
        </w:trPr>
        <w:tc>
          <w:tcPr>
            <w:tcW w:w="5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Intangible asset amortization expense, net of tax, per diluted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r>
      <w:tr>
        <w:trPr>
          <w:trHeight w:val="230"/>
        </w:trPr>
        <w:tc>
          <w:tcPr>
            <w:tcW w:w="5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Calculation of the impact of impairment loss, net of tax</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71,785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Tax benefit from impairment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70,630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24,962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25,685</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304"/>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Impairment loss, net of tax, per diluted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Calculation of gain on Equator earn out liability, net of tax</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Tax provision from the gain on Equator earn out liability</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Equator earn out liability,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Diluted share count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20,619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23,634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24,962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25,685</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64"/>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Gain on Equator earn out liability, net of tax, per diluted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22"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122"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580" w:hanging="647"/>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66"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growth initiatives.</w:t>
      </w:r>
    </w:p>
    <w:p>
      <w:pPr>
        <w:spacing w:after="0" w:line="16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31, provides an analysis of our consolidated results of operations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2015.</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35, provides an analysis of each business segment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as well as Corporate Items and Eliminations. In addition, we discuss significant transactions, events and trends that may affect the comparability of the results being analyzed.</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44,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We also discuss restrictions on cash movements, future commitments and capital resources.</w:t>
      </w:r>
    </w:p>
    <w:p>
      <w:pPr>
        <w:spacing w:after="0" w:line="170"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47,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66"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This section, beginning on page 50, provides a discussion of off-balance sheet arrangements to the extent they exist. In addition,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tabular discussion of contractual obligations, discuss any significant commitments or contingencies and customer concentration.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classify our businesses into three reportable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loan originators, home investors and other sellers and buyers of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provides a portfolio of software, data analytics and infrastructure management services that support the efficient and compliant management of mortgage and real estate activities and marketplace transactions across the mortgage and real estate lifecycles. In addition,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include interest expense and costs related to corporate support functions including executive, finance, law, compliance, human resources, vendor management, risk, sales and marketing costs not allocated to the business units and eliminations of transactions between the reportable segments.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directly on to our customers without any additional markup. Non-controlling interests represent the earnings of Lenders One, Wholesale One and Residential Investor One, consolidated entities not owned by Altisource, and are included in revenue and reduced from net income to arrive at net income attributable to Altisource.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leveraging our technology platform and global operations. Altisource is focused on becoming the premier provider of real estate and mortgage marketplaces and related services to a broad and diversified customer base. Within the real estate and mortgage markets, we facilitate transactions and provide products, solutions and services related to home sales, home purchases, home rentals, home maintenance, mortgage origination and mortgage servicing.</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Strategically, we are focused on (1) our four key business initiatives, (2) continuing to strengthen our compliance management system and (3) maintaining strong performance and relationships with our strategic customers.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four key business initiatives position Altisource to grow and diversify our customer and revenue base. We believe these initiatives address very large markets and directly leverage our core competencies and distinct competitive advantages. Our four strategic growth initiatives and a brief description of each are as follows: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185" w:lineRule="exact"/>
        <w:rPr>
          <w:sz w:val="20"/>
          <w:szCs w:val="20"/>
          <w:color w:val="auto"/>
        </w:rPr>
      </w:pPr>
    </w:p>
    <w:p>
      <w:pPr>
        <w:jc w:val="both"/>
        <w:ind w:left="660" w:hanging="328"/>
        <w:spacing w:after="0" w:line="28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 to grow our Servicer Solutions business (the products, services and technologies typically used or licensed by loan servicers): We are focused on growing our Servicer Solutions business by expanding services purchased by our existing customer base and attracting new customers. Even as delinquencies return to historical norms, we believe there is a very large addressable market for the services we provide, as well as a strong and increasing customer focus on regulatory compliance and operational quality. We are one of only a few service providers with a comprehensive offering of services and technologies on a national scale. We believe we are well positioned to gain market share as customers consolidate to larger, full-service vendors and continue to outsource services that have historically been performed in-house.</w:t>
      </w:r>
    </w:p>
    <w:p>
      <w:pPr>
        <w:spacing w:after="0" w:line="4" w:lineRule="exact"/>
        <w:rPr>
          <w:rFonts w:ascii="Arial" w:cs="Arial" w:eastAsia="Arial" w:hAnsi="Arial"/>
          <w:sz w:val="16"/>
          <w:szCs w:val="16"/>
          <w:color w:val="auto"/>
        </w:rPr>
      </w:pPr>
    </w:p>
    <w:p>
      <w:pPr>
        <w:jc w:val="both"/>
        <w:ind w:left="660" w:hanging="328"/>
        <w:spacing w:after="0" w:line="26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 to grow our Origination Solutions business (the products, services and technologies typically used or licensed by participants in the loan origination market): We are focused on building an industry leading, integrated origination services platform that provides end-to-end solutions (products, services and technology) to our customers. We plan to grow our Origination Solutions business by expanding our product offerings to our existing client base and actively adding new customers. We are leveraging our enterprise wide sales organization to offer our origination services to larger bank and non-bank originators and correspondents and plan to expand our middle market sales organization to address other prospects. We believe we are well positioned to gain market share as customers consolidate to larger full-service vendors and by offering our existing customers (e.g., the members of Lenders One, the customers of Mortgage Builder and CastleLine and our preferred vendors and partners) an attractive suite of products and services that meet their growing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185" w:lineRule="exact"/>
        <w:rPr>
          <w:sz w:val="20"/>
          <w:szCs w:val="20"/>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grow Owners.com, our consumer real estate offering (the products, services and technologies typically used by self-directed home buyers and sellers): Owners.com provides self-directed consumers with a full suite of real estate services from which to choose. We are focused on growing Owners.com by building brand awareness, driving customer engagement and increasing consumer adoption of our buy side brokerage services. With a growing segment of the population demonstrating a desire to engage in self-directed transactions, we believe Owners.com is well positioned to become a market leader.</w:t>
      </w:r>
    </w:p>
    <w:p>
      <w:pPr>
        <w:spacing w:after="0" w:line="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grow our Real Estate Investor Solutions business (the products, services and technologies typically used by participants in residential real estate investments): We are focused on growing our Real Estate Investor Solutions business by supporting the growth of our existing customers, expanding services purchased by our existing customer base and attracting new customers. With our national real estate brokerage operation, vendor network, property management and renovation footprint, existing customer base and growing suite of technologies, we believe we are well positioned to grow.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20, 2015, our shareholders approved a new share repurchase program, which replaced the previous share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prior programs. Under the existing and prior programs, we purchased 2.1 million shares of common stock at an average price of $27.60 per share during the year ended December 31, 2015, 2.5 million shares at an average price of $103.67 per share during the year ended December 31, 2014 and 1.2 million shares at an average price of $116.99 per share during the year ended December 31, 2013. As of December 31, 2015, approximately 1.4 million shares of common stock remain available for repurchase under the new program. Our senior secured term loan limits the amount we can spend on share repurchases and may prevent repurchases in certain circumstances. As of December 31, 2015, approximately $360 million was available to repurchase shares of our common stock under our senior secured term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320" w:lineRule="exact"/>
        <w:rPr>
          <w:sz w:val="20"/>
          <w:szCs w:val="20"/>
          <w:color w:val="auto"/>
        </w:rPr>
      </w:pPr>
    </w:p>
    <w:p>
      <w:pPr>
        <w:jc w:val="both"/>
        <w:ind w:left="66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2.0 million for the year ended December 31, 2015 compared to 2.2 million and 1.2 million for the years ended December 31, 2014 and 2013, respectively. The average number of delinquent non-GSE loans serviced by Ocwen on REALServicing was 279 thousand for the year ended December 31, 2015 compared to 352 thousand and 296 thousand for the years ended December 31, 2014 and 2013, respectively;</w:t>
      </w:r>
    </w:p>
    <w:p>
      <w:pPr>
        <w:spacing w:after="0" w:line="2"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fourth quarter of 2015, we recorded non-cash impairment losses of $71.8 million in our Technology Services segment primarily driven by the Company’s current projected Technology Services revenue from Ocwen and investment in technologies provided to Ocwen;</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year ended December 31, 2015, we repurchased portions of our senior secured term loan with an aggregate par value of $49.0 million at a weighted average discount of 10.3%, resulting in net gains totaling $3.8 million on the early extinguishment of debt;</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9, 2015, we acquired the Acquired RentRange and Investability Businesses for $24.8 million, composed of $17.5 million in cash and 247 thousand shares of restricted common stock of the Company with a value of $7.3 million as of the closing date;</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17, 2015, we acquired CastleLine for $33.4 million.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21, 2014, we acquired Owners for an initial purchase price of $19.8 million plus contingent earn out consideration of up to an additional $7.0 million over two years, subject to Owners achieving annual performance targets;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fourth quarter of 2014, we discontinued our lender placed insurance brokerage line of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September 12, 2014, we acquired Mortgage Builder for an initial purchase price of $15.7 million plus contingent earn out consideration of up to an additional $7.0 million over three years, subject to Mortgage Builder achieving annual performance targets;</w:t>
      </w: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Bad debt expense was higher in 2014, driven primarily from the default management services business. A change in many of our default management services customers’ business models and fourth quarter of 2014 discussions with these customers led us to believe that a portion of the accounts receivable balance was no longer collectible;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November 15, 2013, we acquired Equator for an initial purchase price of $63.4 million plus contingent earn out consideration of up to an additional $80 million over three years (“Equator Earn Out”), subject to Equator achieving annual performance targets. During 2014, the fair value of the Equator contingent consideration was reduced by $37.9 million with a corresponding increase in earnings. As a result of the adjustment in the fair value of the Equator contingent consideration, we determined that the Equator goodwill was impaired and recorded an estimated impairment loss of $37.5 million in 2014. In 2015, we paid the former owners of Equator $0.5 million to extinguish any liability for the Equator Earn Out. In connection with this settlement, we reduced the liability for the Equator Earn Out to $0 and recognized a $7.6 million increase in earnings;</w:t>
      </w:r>
    </w:p>
    <w:p>
      <w:pPr>
        <w:spacing w:after="0" w:line="4"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April 12, 2013, we completed the Residential Capital, LLC (“ResCap”) fee-based business transaction with Ocwen for an aggregate purchase price of $128.8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Residential Capital, Inc. (“Homeward”) fee-based businesses from Ocwen for an aggregate purchase price of $75.8 million;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2013, we increased our borrowings under the senior secured term loan to $400.0 million and refinanced the loan which included, among other changes, lowering the interest rate of the term loans. On August 1, 2014, we amended our senior secured term loan agreement and increased our borrowings by $200.0 million to $594.5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assessment and recording of the non-cash impairment losses described above, we identified a material weakness in our internal controls over the review of impairment indicators of long-lived assets, including premises and equipment and intangible assets, and the impairment analysis of indefinite-lived assets, primarily goodwill. We intend to implement remediation measures to address this material weakness, but currently do not have an expected timetable for the completion of the remediation. See Part II. Item 9A. “</w:t>
      </w:r>
      <w:r>
        <w:rPr>
          <w:rFonts w:ascii="Arial" w:cs="Arial" w:eastAsia="Arial" w:hAnsi="Arial"/>
          <w:sz w:val="16"/>
          <w:szCs w:val="16"/>
          <w:i w:val="1"/>
          <w:iCs w:val="1"/>
          <w:color w:val="auto"/>
        </w:rPr>
        <w:t>Controls and Procedures</w:t>
      </w:r>
      <w:r>
        <w:rPr>
          <w:rFonts w:ascii="Arial" w:cs="Arial" w:eastAsia="Arial" w:hAnsi="Arial"/>
          <w:sz w:val="16"/>
          <w:szCs w:val="16"/>
          <w:color w:val="auto"/>
        </w:rPr>
        <w:t>” of this Annual Report for additional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discussion of our consolidated results of operations for the years ended December 31, 2015, 2014 and 2013.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results of operations for the years ended December 31:</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4"/>
                <w:szCs w:val="14"/>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9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676,222</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653,093</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493,500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88,328</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98,312</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92,479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215,482</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227,300</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100,724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(39,112)</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(40,026)</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940,920</w:t>
            </w:r>
          </w:p>
        </w:tc>
        <w:tc>
          <w:tcPr>
            <w:tcW w:w="100" w:type="dxa"/>
            <w:vAlign w:val="bottom"/>
            <w:tcBorders>
              <w:top w:val="single" w:sz="8" w:color="auto"/>
            </w:tcBorders>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938,679</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662,059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107,344</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137,634</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3,202</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2,603</w:t>
            </w:r>
          </w:p>
        </w:tc>
        <w:tc>
          <w:tcPr>
            <w:tcW w:w="1240" w:type="dxa"/>
            <w:vAlign w:val="bottom"/>
            <w:gridSpan w:val="2"/>
          </w:tcPr>
          <w:p>
            <w:pPr>
              <w:jc w:val="right"/>
              <w:ind w:right="9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1,051,466</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1,078,916</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768,357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687,327</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707,180</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492,480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364,139</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371,736</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220,868</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201,733</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113,810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71,785</w:t>
            </w:r>
          </w:p>
        </w:tc>
        <w:tc>
          <w:tcPr>
            <w:tcW w:w="122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37,473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Change in the fair value of Equator earn out liability</w:t>
            </w: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(7,591)</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(37,924)</w:t>
            </w:r>
          </w:p>
        </w:tc>
        <w:tc>
          <w:tcPr>
            <w:tcW w:w="120" w:type="dxa"/>
            <w:vAlign w:val="bottom"/>
          </w:tcPr>
          <w:p>
            <w:pPr>
              <w:spacing w:after="0"/>
              <w:rPr>
                <w:sz w:val="21"/>
                <w:szCs w:val="21"/>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79,077</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170,454</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162,067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(28,208)</w:t>
            </w:r>
          </w:p>
        </w:tc>
        <w:tc>
          <w:tcPr>
            <w:tcW w:w="122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(23,363)</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(20,291)</w:t>
            </w: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Loss on sale of HLSS equity securities, net of dividends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received</w:t>
            </w:r>
          </w:p>
        </w:tc>
        <w:tc>
          <w:tcPr>
            <w:tcW w:w="26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0"/>
                <w:szCs w:val="20"/>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0"/>
                <w:szCs w:val="20"/>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w:t>
            </w:r>
          </w:p>
        </w:tc>
        <w:tc>
          <w:tcPr>
            <w:tcW w:w="12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(26,017)</w:t>
            </w:r>
          </w:p>
        </w:tc>
        <w:tc>
          <w:tcPr>
            <w:tcW w:w="100" w:type="dxa"/>
            <w:vAlign w:val="bottom"/>
            <w:tcBorders>
              <w:top w:val="single" w:sz="8" w:color="auto"/>
            </w:tcBorders>
          </w:tcPr>
          <w:p>
            <w:pPr>
              <w:spacing w:after="0"/>
              <w:rPr>
                <w:sz w:val="20"/>
                <w:szCs w:val="20"/>
                <w:color w:val="auto"/>
              </w:rPr>
            </w:pP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(23,189)</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53,060</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147,265</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142,333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(8,260)</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(10,178)</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44,800</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137,087</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133,793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(3,202)</w:t>
            </w:r>
          </w:p>
        </w:tc>
        <w:tc>
          <w:tcPr>
            <w:tcW w:w="1220" w:type="dxa"/>
            <w:vAlign w:val="bottom"/>
            <w:gridSpan w:val="2"/>
          </w:tcPr>
          <w:p>
            <w:pPr>
              <w:jc w:val="right"/>
              <w:ind w:right="13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(2,603)</w:t>
            </w:r>
          </w:p>
        </w:tc>
        <w:tc>
          <w:tcPr>
            <w:tcW w:w="1240" w:type="dxa"/>
            <w:vAlign w:val="bottom"/>
            <w:gridSpan w:val="2"/>
          </w:tcPr>
          <w:p>
            <w:pPr>
              <w:jc w:val="right"/>
              <w:ind w:right="9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41,598</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134,484</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129,973</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2.13</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6.22</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2.02</w:t>
            </w:r>
          </w:p>
        </w:tc>
        <w:tc>
          <w:tcPr>
            <w:tcW w:w="1220" w:type="dxa"/>
            <w:vAlign w:val="bottom"/>
            <w:tcBorders>
              <w:bottom w:val="single" w:sz="8" w:color="CCEEFF"/>
            </w:tcBorders>
            <w:gridSpan w:val="2"/>
          </w:tcPr>
          <w:p>
            <w:pPr>
              <w:jc w:val="right"/>
              <w:ind w:right="76"/>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5.69</w:t>
            </w:r>
          </w:p>
        </w:tc>
        <w:tc>
          <w:tcPr>
            <w:tcW w:w="1240" w:type="dxa"/>
            <w:vAlign w:val="bottom"/>
            <w:tcBorders>
              <w:bottom w:val="single" w:sz="8" w:color="CCEEFF"/>
            </w:tcBorders>
            <w:gridSpan w:val="2"/>
          </w:tcPr>
          <w:p>
            <w:pPr>
              <w:jc w:val="right"/>
              <w:ind w:right="15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Non-GAAP Financial Measures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Adjusted 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143,475</w:t>
            </w:r>
          </w:p>
        </w:tc>
        <w:tc>
          <w:tcPr>
            <w:tcW w:w="12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169,141</w:t>
            </w:r>
          </w:p>
        </w:tc>
        <w:tc>
          <w:tcPr>
            <w:tcW w:w="12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156,458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Adjusted diluted 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6.96</w:t>
            </w:r>
          </w:p>
        </w:tc>
        <w:tc>
          <w:tcPr>
            <w:tcW w:w="1220" w:type="dxa"/>
            <w:vAlign w:val="bottom"/>
            <w:gridSpan w:val="2"/>
          </w:tcPr>
          <w:p>
            <w:pPr>
              <w:jc w:val="right"/>
              <w:ind w:right="7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7.16</w:t>
            </w:r>
          </w:p>
        </w:tc>
        <w:tc>
          <w:tcPr>
            <w:tcW w:w="1240" w:type="dxa"/>
            <w:vAlign w:val="bottom"/>
            <w:gridSpan w:val="2"/>
          </w:tcPr>
          <w:p>
            <w:pPr>
              <w:jc w:val="right"/>
              <w:ind w:right="15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857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182" w:lineRule="exact"/>
        <w:rPr>
          <w:sz w:val="20"/>
          <w:szCs w:val="20"/>
          <w:color w:val="auto"/>
        </w:rPr>
      </w:pPr>
    </w:p>
    <w:p>
      <w:pPr>
        <w:ind w:right="3080" w:firstLine="8"/>
        <w:spacing w:after="0" w:line="531" w:lineRule="auto"/>
        <w:tabs>
          <w:tab w:leader="none" w:pos="178"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These are non-GAAP measures that are defined and reconciled to the corresponding GAAP measures on page 26 N/M — not meaningful.</w:t>
      </w:r>
    </w:p>
    <w:p>
      <w:pPr>
        <w:sectPr>
          <w:pgSz w:w="11900" w:h="16838" w:orient="portrait"/>
          <w:cols w:equalWidth="0" w:num="1">
            <w:col w:w="11420"/>
          </w:cols>
          <w:pgMar w:left="240" w:top="125" w:right="239" w:bottom="163"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63"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recognized service revenue of $940.9 million, $938.7 million and $662.1 million for the years ended December 31, 2015, 2014 and 2013, respectively. The increase in service revenue for the year ended December 31, 2015 was primarily due to the revenue expansion in the asset management services businesses primarily from growth in both the number of non-Ocwen and Ocwen REO properties sold on Hubzu, increased volumes of property preservation services for Residential, higher revenue from software development and a full year of revenue from the September 2014 acquisition of Mortgage Builder. In addition, in early 2015, the pricing model to one of our customers for REO preservation services within asset management services changed. Historically, we billed (1) a fixed fee per REO asset (which was recognized as service revenue) and (2) actual vendor costs (which were recognized as reimbursable expenses revenue). For new REO referrals, effective early 2015, our pricing is on a per service basis (which is recognized as service revenue). This results in certain services that were historically reimbursable expense revenue becoming service revenue. As a result, asset management services revenue at Mortgage Services increased, partially offset by a decrease in reimbursable expenses revenue. These increases were largely offset by the discontinuation of the lender placed insurance brokerage line of business in the fourth quarter of 2014, lower Equator revenue from the full amortization of acquisition related deferred revenue in 2014, fewer property valuation services referrals, decreased property inspection volumes, lower mortgage charge-off collections and a decrease in IT infrastructure services. The growth in service revenue for the year ended December 31, 2014 was primarily driven by Ocwen’s growth, higher auction mix for houses sold on Hubzu, revenue from Equator, which we acquired in November 2013, and growth in our Financial Services business from new customers in our customer relationship management business. These increases were partially offset by a decline in the default management services business driven by lower levels of foreclosure starts and the fourth quarter of 2013 loss of an origination management services customer which eliminated its affinity relationship with Altisource and its other similar vendor partners.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Mortgage Services’ revenue is impacted by REO sales and lawn maintenance, which tend to be at their lowest level during the fall and winter months and at their highest level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and depreciation and amortization of operating assets.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recognized cost of revenue of $687.3 million, $707.2 million and $492.5 million for the years ended December 31, 2015, 2014 and 2013, respectively. The decrease in cost of revenue for the year ended December 31, 2015 was primarily attributable to the March 31, 2015 termination of the Data Access and Services Agreement with Ocwen in the Mortgage Services segment and lower technology and telecommunications costs, partially offset by an increase in compensation and benefits, outside fees and services and depreciation and amortization costs. Outside fees and services increased and reimbursable expenses declined as a result of the change in billing discussed in the revenue section above. Technology and telecommunications costs decreased due to cost savings initiatives implemented in 2015. Recognizing that our service revenue from Ocwen was not expected to grow in the near term due to challenges faced by Ocwen in late 2014 and early 2015, we developed and executed on a plan that included eliminating certain non-revenue generating businesses, reducing vendor costs and eliminating staff. Compensation and benefits costs were higher in 2015 compared to 2014 primarily due to increased United States headcount to support growth in certain of our Mortgage Services businesses. Additionally, severance costs of $4.3 million for the year ended December 31, 2015 were incurred in connection with the elimination of staff as a result of the cost reduction initiatives implemented during the first half of 2015. The increase in cost of revenue for the year ended December 31, 2014 was primarily attributable to revenue growth during the same period and the increased investment in the development of our technology.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$364.1 million, representing 39% of service revenue, for the year ended December 31, 2015 compared to $371.7 million, representing 40% of service revenue, for the year ended December 31, 2014 and $275.9 million, representing 42% of service revenue, for the year ended December 31, 2013.</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as a percentage of service revenue declined slightly in 2015 compared to 2014 primarily due to service revenue growth in the higher margin Mortgage Services segment offset by a decline in gross profit as a percentage of service revenue in the Financial Services and Technology Services segments. Mortgage Services’ slight decline in gross profit margins was driven by service revenue growth of the lower margin property preservation and inspection business within asset management services and the November 2014 discontinuation of the higher margin lender placed insurance brokerage business within insurance services, partially offset by Hubzu revenue growth within asset management services and the March 31, 2015 termination of the Data Access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Services Agreement with Ocwen. The decline in gross profit as a percentage of service revenue in the Financial Services and Technology Services segments was from revenue mix and the full amortization of the Equator acquisition related deferred revenue within software services in November 2014.</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service revenue declined in 2014 compared to 2013 from a shift in revenue across segments with higher growth in the lower margin Technology Services segment. Margin expansion in the Mortgage Services segment was partially offset by margin decreases in the other segments. In the Mortgage Services segment, we expanded our gross profit margin by fully utilizing employees that we were carrying in 2013 in anticipation of new business and performing certain services with our employees that were previously performed by outside vendors. In the Financial Services segment, the gross profit margin decline was driven by revenue mix as the higher margin mortgage charge-off collections business within asset recovery management represented a lower percentage of revenue in the Financial Services segment in 2014. In the Technology Services segment, gross profit margin decreased primarily due to our continued investment in our technology to support our growth, partially offset by higher gross profit margin in the Equator business within software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Income from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are composed of selling, general and administrative (“SG&amp;A”) expenses, impairment losses and changes in the fair value of the Equator earn out liability. Selling, general and administration expenses include payroll for personnel employed in executive, finance, law, compliance, human resources, vendor management, risk, sales and marketing roles. This category also includes occupancy costs, professional fees and depreciation and amortization of intangible assets.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SG&amp;A of $220.9 million, $201.7 million and $113.8 million for the years ended December 31, 2015, 2014 and 2013, respectively. The increase in SG&amp;A in 2015 compared to 2014 was primarily driven by higher compensation and benefits costs from an expansion of certain support functions, severance costs incurred in connection with cost savings initiatives, higher legal costs related to legal and regulatory matters, increased corporate marketing expenses associated with our customer and revenue diversification initiatives, increased amortization of intangible assets related to the Homeward and ResCap fee-based business acquisitions and the Mortgage Builder acquisition and an estimated loss recorded in the fourth quarter of 2015 in connection with an anticipated payment to Ocwen for obtaining a release of liability for Altisource related to Ocwen’s settlement of a particular case. These increased costs were partially offset in 2015 by lower bad debt expense.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 in SG&amp;A in 2014 compared to 2013 was primarily driven by higher marketing costs related to Hubzu within asset management services, higher compensation and benefits costs to support growth, higher occupancy costs from increased headcount to support growth and higher legal and compliance related costs. Increased amortization of intangible assets was primarily driven by the Homeward and ResCap fee-based business acquisitions and the Equator acquisition, which closed in March 2013, April 2013 and November 2013, respectively. Bad debt expense increased during 2014, driven primarily by the default management services business. A change in many of our default management services customers’ business models and fourth quarter 2014 discussions with these customers led us to believe that a portion of these accounts receivable were no longer collectible. Marketing costs were $24.1 million and $5.0 million for the years ended December 31, 2014 and 2013, respectively. Amortization expense was $37.7 million and $28.2 million for the years ended December 31, 2014 and 2013, respectively.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impairment losses of $71.8 million and $37.5 million for the years ended December 31, 2015 and 2014, respectively (no comparative amount in 2013). In the fourth quarter of 2015, we recorded non-cash impairment losses of $71.8 million in our Technology Services segment primarily driven by the Company’s current projected Technology Services revenue from Ocwen and investment in technologies provided to Ocwen. These losses are composed of an estimated $55.7 million impairment of goodwill, $11.9 million impairment of intangible assets from the 2013 Homeward and ResCap fee-based business acquisitions and $4.1 million impairment of software assets included in premises and equipment.</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2014, as a result of the adjustment in the fair value of the Equator contingent consideration described below and based on our goodwill assessment in 2014, we determined that the Equator goodwill was impaired and recorded an impairment loss of $37.5 million for the year ended December 31, 2014.</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gains on the change in the fair value of Equator earn out liability of $7.6 million and $37.9 million for the years ended December 31, 2015 and 2014, respectively (no comparative amount in 2013). The liability for contingent consideration is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 During 2014, the fair value of the contingent consideration related to the Equator acquisition was reduced by $37.9 million with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corresponding increase in earnings based on management’s revised estimates that expected earnings of Equator will be lower than projected at the time of acquisition.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operations decreased to $79.1 million, representing 8% of service revenue, for the year ended December 31, 2015 compared to $170.5 million, representing 18% of service revenue, for the year ended December 31, 2014 and $162.1 million, representing 24% of service revenue, for the year ended December 31, 2013. The decrease in operating income margin is primarily driven by the non-cash impairment losses, lower gross profit margins and increases in SG&amp;A, partially offset by gains on the change in fair value of Equator earn out liability, as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income (expense), net principally includes interest expense, interest income, loss on the sale of HLSS equity securities, net of dividends received, and gains on the early extinguishment of debt. Interest expense for the year ended December 31, 2015 was $28.2 million, an increase of $4.8 million compared to the year ended December 31, 2014, resulting from the additional $200.0 million senior secured term loan borrowings on August 1, 2014, partially offset by lower interest expense associated with the 2015 repurchases of a portion of our senior secured term loan with an aggregate par value of $49.0 million. Interest expense for the year ended December 31, 2014 was $23.4 million, an increase of $3.1 million compared to the year ended December 31, 2013, resulting from the additional $200.0 million senior secured term loan borrowings on August 1, 2014, and the additional $200.0 million senior secured term loan borrowings on May 7, 2013, partially offset by lower interest rates from the senior secured term loan refinancing on December 9, 2013. We recognized interest income of $0.1 million for each of the years ended December 31, 2015 and 2014. Additionally, we recognized interest income of $0.9 million for the year ended December 31, 2013, primarily from a $75.0 million loan to Ocwen, which was repaid in February 2013.</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2015, we repurchased portions of our senior secured term loan with an aggregate par value of $49.0 million at a weighted average discount of 10.3%, resulting in net gains totaling $3.8 million on the early extinguishment of debt (no comparative amounts for 2014 and 2013).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On April 6, 2015, HLSS completed the sale of substantially all of its assets and adopted a plan of complete liquidation and dissolution. During 2015, we received liquidating dividends and other dividends from HLSS totaling $20.4 million and sold all of our 1.6 million shares of HLSS common stock in the open market for $7.7 million. As a result of these transactions, we recognized a net loss of $1.9 million for the year ended December 31, 2015 (no comparative amounts for 2014 and 2013) in connection with our investment in HLSS.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recognized an income tax provision of $8.3 million, $10.2 million and $8.5 million for the years ended December 31, 2015, 2014 and 2013, respectively. Our effective tax rate was 15.6%, 6.9% and 6.0% for the years ended December 31, 2015, 2014 and 2013, respectively. The effective tax rate in all three periods differs from the Luxembourg statutory tax rate of 29.2% primarily due to the effect of certain deductions allowed in Luxembourg pursuant to a tax ruling, which expires in 2019 unless extended or renewed, the mix of income and losses with varying tax rates in multiple taxing jurisdictions and the recognition of research and development tax credits. The higher 2015 effective tax rate is driven by impairment losses which resulted in a change in the jurisdictional mix of income. The impairment losses are related to assets owned by a subsidiary with a lower effective tax rate.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management services. We reflect these as service revenue in the Technology Services segment and technology and telecommunications costs within cost of revenue and SG&amp;A in the segment receiving the services. Certain prior year amounts reported by the Mortgage Services and Technology Services segments have been reclassified to conform with the current year presentation.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10"/>
          </w:tcPr>
          <w:p>
            <w:pPr>
              <w:ind w:left="640"/>
              <w:spacing w:after="0"/>
              <w:rPr>
                <w:sz w:val="20"/>
                <w:szCs w:val="20"/>
                <w:color w:val="auto"/>
              </w:rPr>
            </w:pPr>
            <w:r>
              <w:rPr>
                <w:rFonts w:ascii="Arial" w:cs="Arial" w:eastAsia="Arial" w:hAnsi="Arial"/>
                <w:sz w:val="14"/>
                <w:szCs w:val="14"/>
                <w:b w:val="1"/>
                <w:bCs w:val="1"/>
                <w:color w:val="auto"/>
              </w:rPr>
              <w:t>For the year ended December 31, 2015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Mortgage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676,222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88,328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215,482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940,920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107,224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107,344</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3,202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786,648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88,448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215,482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1,051,466</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474,169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60,806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187,835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687,327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312,479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27,642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364,139</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105,153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18,707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29,902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67,106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71,785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Change in the fair value of Equator earn out liability</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207,326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8,935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79,077</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(26,017)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non-controlling</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92"/>
              <w:spacing w:after="0"/>
              <w:rPr>
                <w:sz w:val="20"/>
                <w:szCs w:val="20"/>
                <w:color w:val="auto"/>
              </w:rPr>
            </w:pPr>
            <w:r>
              <w:rPr>
                <w:rFonts w:ascii="Arial" w:cs="Arial" w:eastAsia="Arial" w:hAnsi="Arial"/>
                <w:sz w:val="18"/>
                <w:szCs w:val="18"/>
                <w:color w:val="auto"/>
              </w:rPr>
              <w:t>207,832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93"/>
              <w:spacing w:after="0"/>
              <w:rPr>
                <w:sz w:val="20"/>
                <w:szCs w:val="20"/>
                <w:color w:val="auto"/>
              </w:rPr>
            </w:pPr>
            <w:r>
              <w:rPr>
                <w:rFonts w:ascii="Arial" w:cs="Arial" w:eastAsia="Arial" w:hAnsi="Arial"/>
                <w:sz w:val="18"/>
                <w:szCs w:val="18"/>
                <w:color w:val="auto"/>
              </w:rPr>
              <w:t>8,993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2"/>
              <w:spacing w:after="0"/>
              <w:rPr>
                <w:sz w:val="20"/>
                <w:szCs w:val="20"/>
                <w:color w:val="auto"/>
              </w:rPr>
            </w:pPr>
            <w:r>
              <w:rPr>
                <w:rFonts w:ascii="Arial" w:cs="Arial" w:eastAsia="Arial" w:hAnsi="Arial"/>
                <w:sz w:val="18"/>
                <w:szCs w:val="18"/>
                <w:color w:val="auto"/>
              </w:rPr>
              <w:t>(66,388)</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(97,377)</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2"/>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77"/>
        </w:trPr>
        <w:tc>
          <w:tcPr>
            <w:tcW w:w="44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9"/>
        </w:trPr>
        <w:tc>
          <w:tcPr>
            <w:tcW w:w="44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Mortgage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653,093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98,312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227,300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938,679</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137,447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137,634</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2,603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793,143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98,499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1,078,916</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486,387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64,338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192,426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707,180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306,756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34,161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371,736</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94,686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18,791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32,393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55,863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201,733</w:t>
            </w: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Change in the fair value of Equator earn out liability</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212,070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15,370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170,454</w:t>
            </w: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(23,189)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non-controlling</w:t>
            </w: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2"/>
              <w:spacing w:after="0"/>
              <w:rPr>
                <w:sz w:val="20"/>
                <w:szCs w:val="20"/>
                <w:color w:val="auto"/>
              </w:rPr>
            </w:pPr>
            <w:r>
              <w:rPr>
                <w:rFonts w:ascii="Arial" w:cs="Arial" w:eastAsia="Arial" w:hAnsi="Arial"/>
                <w:sz w:val="18"/>
                <w:szCs w:val="18"/>
                <w:color w:val="auto"/>
              </w:rPr>
              <w:t>212,274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3"/>
              <w:spacing w:after="0"/>
              <w:rPr>
                <w:sz w:val="20"/>
                <w:szCs w:val="20"/>
                <w:color w:val="auto"/>
              </w:rPr>
            </w:pPr>
            <w:r>
              <w:rPr>
                <w:rFonts w:ascii="Arial" w:cs="Arial" w:eastAsia="Arial" w:hAnsi="Arial"/>
                <w:sz w:val="18"/>
                <w:szCs w:val="18"/>
                <w:color w:val="auto"/>
              </w:rPr>
              <w:t>15,432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12"/>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(83,342)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2"/>
              <w:spacing w:after="0"/>
              <w:rPr>
                <w:sz w:val="20"/>
                <w:szCs w:val="20"/>
                <w:color w:val="auto"/>
              </w:rPr>
            </w:pPr>
            <w:r>
              <w:rPr>
                <w:rFonts w:ascii="Arial" w:cs="Arial" w:eastAsia="Arial" w:hAnsi="Arial"/>
                <w:sz w:val="18"/>
                <w:szCs w:val="18"/>
                <w:color w:val="auto"/>
              </w:rPr>
              <w:t>147,265</w:t>
            </w:r>
          </w:p>
        </w:tc>
        <w:tc>
          <w:tcPr>
            <w:tcW w:w="0" w:type="dxa"/>
            <w:vAlign w:val="bottom"/>
          </w:tcPr>
          <w:p>
            <w:pPr>
              <w:spacing w:after="0"/>
              <w:rPr>
                <w:sz w:val="1"/>
                <w:szCs w:val="1"/>
                <w:color w:val="auto"/>
              </w:rPr>
            </w:pPr>
          </w:p>
        </w:tc>
      </w:tr>
      <w:tr>
        <w:trPr>
          <w:trHeight w:val="277"/>
        </w:trPr>
        <w:tc>
          <w:tcPr>
            <w:tcW w:w="4440" w:type="dxa"/>
            <w:vAlign w:val="bottom"/>
            <w:gridSpan w:val="3"/>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40" w:type="dxa"/>
            <w:vAlign w:val="bottom"/>
            <w:gridSpan w:val="3"/>
          </w:tcPr>
          <w:p>
            <w:pPr>
              <w:ind w:left="180"/>
              <w:spacing w:after="0"/>
              <w:rPr>
                <w:sz w:val="20"/>
                <w:szCs w:val="20"/>
                <w:color w:val="auto"/>
              </w:rPr>
            </w:pPr>
            <w:r>
              <w:rPr>
                <w:rFonts w:ascii="Arial" w:cs="Arial" w:eastAsia="Arial" w:hAnsi="Arial"/>
                <w:sz w:val="18"/>
                <w:szCs w:val="18"/>
                <w:color w:val="auto"/>
              </w:rPr>
              <w:t>Income from operations/service revenue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125"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43"/>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493,500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92,479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100,724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(24,644)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662,059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599,319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92,958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100,724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768,357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376,639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55,328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82,612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492,480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222,680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37,630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275,877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46,522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15,571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12,435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39,282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113,810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176,158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162,067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non-controlling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176,022</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4"/>
              <w:spacing w:after="0"/>
              <w:rPr>
                <w:sz w:val="20"/>
                <w:szCs w:val="20"/>
                <w:color w:val="auto"/>
              </w:rPr>
            </w:pPr>
            <w:r>
              <w:rPr>
                <w:rFonts w:ascii="Arial" w:cs="Arial" w:eastAsia="Arial" w:hAnsi="Arial"/>
                <w:sz w:val="18"/>
                <w:szCs w:val="18"/>
                <w:color w:val="auto"/>
              </w:rPr>
              <w:t>22,049</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3"/>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(61,422)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3"/>
              <w:spacing w:after="0"/>
              <w:rPr>
                <w:sz w:val="20"/>
                <w:szCs w:val="20"/>
                <w:color w:val="auto"/>
              </w:rPr>
            </w:pPr>
            <w:r>
              <w:rPr>
                <w:rFonts w:ascii="Arial" w:cs="Arial" w:eastAsia="Arial" w:hAnsi="Arial"/>
                <w:sz w:val="18"/>
                <w:szCs w:val="18"/>
                <w:color w:val="auto"/>
              </w:rPr>
              <w:t>142,333</w:t>
            </w:r>
          </w:p>
        </w:tc>
        <w:tc>
          <w:tcPr>
            <w:tcW w:w="0" w:type="dxa"/>
            <w:vAlign w:val="bottom"/>
          </w:tcPr>
          <w:p>
            <w:pPr>
              <w:spacing w:after="0"/>
              <w:rPr>
                <w:sz w:val="1"/>
                <w:szCs w:val="1"/>
                <w:color w:val="auto"/>
              </w:rPr>
            </w:pPr>
          </w:p>
        </w:tc>
      </w:tr>
      <w:tr>
        <w:trPr>
          <w:trHeight w:val="277"/>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8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879"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463,780</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356,433</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197,999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96,688</w:t>
            </w:r>
          </w:p>
        </w:tc>
        <w:tc>
          <w:tcPr>
            <w:tcW w:w="1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154,830</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119,835</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67,672</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101,173</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103,300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26,930</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22,728</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41,812</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21,152</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17,929</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676,222</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653,093</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493,500</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96,761</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130,864</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96,944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7,436</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4,408</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2,871</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2,032</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46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107,224</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137,447</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101,999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3,202</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2,603</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786,648</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793,143</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599,319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service revenue of $676.2 million for the year ended December 31, 2015, a 4% increase compared to the year ended December 31, 2014. The increase was primarily due to revenue expansion in the asset management services businesses primarily from the growth in both the number of non-Ocwen and Ocwen REO properties sold on Hubzu and increased volumes of property preservation services for Residential, partially offset by a decrease in property inspection volumes, all within asset management services. In addition, in early 2015, the pricing model to one of our customers for REO preservation services within asset management services changed. Historically, we billed (1) a fixed fee per REO asset (which was recognized as service revenue) and (2) actual vendor costs (which were recognized as reimbursable expenses revenue). For new REO referrals, effective early 2015, our pricing is on a per service basis (which is recognized as service revenue). This results in certain services that were historically reimbursable expense revenue becoming service revenue. As a result, asset management service revenue increased, partially offset by a decrease in reimbursable expenses revenue. These increases were partially offset by a decrease in insurance services revenue from the discontinuation of the lender placed insurance brokerage line of business in the fourth quarter of 2014 and fewer referrals within residential property valuation.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$653.1 million for the year ended December 31, 2014, a 32% increase compared to the year ended December 31, 2013. The growth in asset management services and insurance services was primarily due to Ocwen’s growth as loans from its servicing acquisitions are boarded on REALServicing. The growth in asset management services was also from the higher auction mix of houses sold on Hubzu. Growth in the insurance services business was partially offset by the discontinuation of the lender placed insurance brokerage line of business in the fourth quarter of 2014. The decline in default management services revenue was driven primarily by lower levels of foreclosure starts. The lower origination management services revenue was primarily due to the loss of a customer in the fourth quarter of 2013 who eliminated its affinity relationship with Altisource and its other similar vendor partners along with a close to 40% decline in U.S. origination volume.</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within the asset management services business are generally lowest during the fall and winter months and highest during the spring and summer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85,474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76,125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245,739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240,070</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189,065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107,224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137,447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101,999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32,122</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30,305</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19,150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474,169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486,387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376,639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2015 of $474.2 million decreased by 3% compared to the year ended December 31, 2014, primarily attributable to the termination of the Data Access and Services Agreement with Ocwen as of March 31, 2015 and non-recurring costs incurred in 2014 to build and develop our insurance services business. These reductions were partially offset by an increase in compensation and benefits costs from increased headcount in the United States. The decline in reimbursable expenses was from the change in billing discussed above and resulted in an increase in outside fees and services.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for the year ended December 31, 2014 of $486.4 million increased by 29% compared to the year ended December 31, 2013, primarily driven by the growth of Ocwen’s loan servicing portfolio on REALServicing. The overall increase in cost of revenue was consistent with the increase in service revenue. However, compensation and benefits costs and outside fees and services expense as a percentage of service revenue decreased as we experienced the benefit of our workforce efficiency initiatives on higher referral volumes, transition of the performance of certain services to lower cost geographies and vendor cost reduction initiatives.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profit increased to $312.5 million, representing 46% of service revenue, for the year ended December 31, 2015 compared to $306.8 million, representing 47% of service revenue, for the year ended December 31, 2014 and $222.7 million, representing 45% of service revenue, for the year ended December 31, 2013. Gross profit as a percentage of service revenue in 2015 decreased slightly compared to 2014 primarily due to service revenue growth of the lower margin property preservation and inspection business within asset management services and the November 2014 discontinuation of the higher margin lender placed insurance brokerage business within insurance services, partially offset by Hubzu revenue growth within asset management services and the March 31, 2015 termination of the Data Access and Services Agreement with Ocwen. We expanded our gross profit margin in 2014 by fully utilizing employees that we were carrying in 2013 in anticipation of new business and performing certain services with our employees that were previously performed by outside vendors. The increase in gross profit margin was also driven by the impact of revenue mix, partially offset by higher staff levels in our origination services and rental property management business within asset management services in preparation for anticipated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4,168</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11,344</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8,295</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11,789</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10,085</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31,601</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27,770</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21,058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2,457</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2,031</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24,559</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23,777</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19,235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21,002</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105,153</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94,686</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46,522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SG&amp;A for the year ended December 31, 2015 of $105.2 million increased by 11% compared to the year ended December 31, 2014, primarily due to an increase in professional services from higher legal and regulatory related costs. In addition, compensation and benefits costs increased primarily due to increased sales and marketing expenses to support our revenue and customer diversification initiatives and the amortization of intangible assets increased due to higher revenues from the Homeward and ResCap fee-based business acquisitions compared to projections. During the fourth quarter of 2015, Altisource recorded an estimated loss in connection with an anticipated payment to Ocwen for obtaining a release of liability for Altisource related to Ocwen’s settlement of a particular case. While currently being negotiated, the ultimate resolution of the matter is not expected to result in a material loss in excess of the amount accrued. These increases were partially offset by lower bad debt expense, primarily as a result of the prior year default management services expense recorded in the fourth quarter of 2014 from a change in many of our default management services customers’ business models, with no corresponding change in 2015.</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for the year ended December 31, 2014 of $94.7 million increased by 104% compared to the year ended December 31, 2013, primarily driven by marketing costs largely related to Hubzu within asset management services, higher legal costs, an increase in the allocation of costs incurred at certain corporate support groups and bad debt expense in 2014, and increased amortization of intangible assets recorded in connection with the acquisition of the Homeward and ResCap fee-based businesses. Bad debt expense increased in 2014 by $12.0 million, driven primarily from the default management services business. A change in many of our default management services customers’ business models and fourth quarter 2014 discussions with these customers led us to believe that a portion of the accounts receivable balance was no longer collectible.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from operations decreased to $207.3 million, representing 31% of service revenue, for the year ended December 31, 2015 compared to $212.1 million, representing 32% of service revenue, for the year ended December 31, 2014 and $176.2 million, representing 36% of service revenue, for the year ended December 31, 2013. In 2015, the operating income margin decreased primarily due to decreased gross profit margin and an increase in SG&amp;A, as discussed above. In 2014, the decrease in operating income margin was primarily driven by higher Hubzu marketing costs within asset management services, increased amortization of intangible assets recorded in connection with the Homeward and ResCap fee-based business acquisitions and the other increases in SG&amp;A, as discussed above, partially offset by the higher gross profit margin.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50,294</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51,411</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45,680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38,034</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46,901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46,799</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88,328</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98,312</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92,479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4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4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7"/>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c>
          <w:tcPr>
            <w:tcW w:w="1440" w:type="dxa"/>
            <w:vAlign w:val="bottom"/>
            <w:gridSpan w:val="2"/>
          </w:tcPr>
          <w:p>
            <w:pPr>
              <w:jc w:val="right"/>
              <w:ind w:right="8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88,448</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98,499</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92,958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service revenue of $88.3 million for the year ended December 31, 2015, a 10% decrease compared to the year ended December 31, 2014, primarily due to lower referrals of mortgage charge-off collections in the asset recovery management business. The customer relationship management business revenue declined modestly with one client’s referral reduction largely offset by other customer growth.</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service revenue of $98.3 million for the year ended December 31, 2014, a 6% increase compared to the year ended December 31, 2013, primarily due to growth in the customer relationship management business from the addition of new clients and expansion of services provided to existing clients.</w:t>
      </w:r>
    </w:p>
    <w:p>
      <w:pPr>
        <w:spacing w:after="0" w:line="1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8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46,086</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47,063</w:t>
            </w:r>
          </w:p>
        </w:tc>
        <w:tc>
          <w:tcPr>
            <w:tcW w:w="1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2,703</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3,361</w:t>
            </w:r>
          </w:p>
        </w:tc>
        <w:tc>
          <w:tcPr>
            <w:tcW w:w="1240" w:type="dxa"/>
            <w:vAlign w:val="bottom"/>
            <w:gridSpan w:val="2"/>
          </w:tcPr>
          <w:p>
            <w:pPr>
              <w:jc w:val="right"/>
              <w:ind w:right="88"/>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2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10,033</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12,277</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1,864</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w:t>
            </w:r>
          </w:p>
        </w:tc>
        <w:tc>
          <w:tcPr>
            <w:tcW w:w="1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60,806</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64,338</w:t>
            </w:r>
          </w:p>
        </w:tc>
        <w:tc>
          <w:tcPr>
            <w:tcW w:w="12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55,328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for the year ended December 31, 2015 of $60.8 million decreased by 5% compared to the year ended December 31, 2014, primarily due to lower technology and telecommunications costs as a result of the implementation of cost savings initiatives in 2015. Cost of revenue for the year ended December 31, 2014 of $64.3 million increased by 16% compared to the year ended December 31, 2013, primarily due to higher compensation and benefits costs and higher technology and telecommunications costs from investments in our IT infrastructure to support revenue growth.</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decreased to $27.6 million, representing 31% of service revenue, for the year ended December 31, 2015 compared to $34.2 million, representing 35% of service revenue, for the year ended December 31, 2014 and $37.6 million, representing 41% of service revenue, for the year ended December 31, 2013. In 2015, gross profit margin decreased due to a change in revenue mix as revenue declined in the higher margin mortgage charge-off business. In 2014, gross profit margin decreased due to higher technology and telecommunications costs from investments in our IT infrastructure and an increase in employee costs due to increases in headcount to support revenue growth and a slight shift in revenue mix.</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c>
          <w:tcPr>
            <w:tcW w:w="146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672</w:t>
            </w:r>
          </w:p>
        </w:tc>
        <w:tc>
          <w:tcPr>
            <w:tcW w:w="14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1,245</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46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7,420</w:t>
            </w:r>
          </w:p>
        </w:tc>
        <w:tc>
          <w:tcPr>
            <w:tcW w:w="146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7,193</w:t>
            </w:r>
          </w:p>
        </w:tc>
        <w:tc>
          <w:tcPr>
            <w:tcW w:w="14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4,056</w:t>
            </w:r>
          </w:p>
        </w:tc>
        <w:tc>
          <w:tcPr>
            <w:tcW w:w="1460" w:type="dxa"/>
            <w:vAlign w:val="bottom"/>
            <w:gridSpan w:val="2"/>
          </w:tcPr>
          <w:p>
            <w:pPr>
              <w:jc w:val="right"/>
              <w:ind w:right="8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5,355</w:t>
            </w:r>
          </w:p>
        </w:tc>
        <w:tc>
          <w:tcPr>
            <w:tcW w:w="1440" w:type="dxa"/>
            <w:vAlign w:val="bottom"/>
            <w:gridSpan w:val="2"/>
          </w:tcPr>
          <w:p>
            <w:pPr>
              <w:jc w:val="right"/>
              <w:ind w:right="8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2,427</w:t>
            </w:r>
          </w:p>
        </w:tc>
        <w:tc>
          <w:tcPr>
            <w:tcW w:w="146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1,870</w:t>
            </w:r>
          </w:p>
        </w:tc>
        <w:tc>
          <w:tcPr>
            <w:tcW w:w="14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2,740</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2,713</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18,707</w:t>
            </w:r>
          </w:p>
        </w:tc>
        <w:tc>
          <w:tcPr>
            <w:tcW w:w="1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18,791</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for the year ended December 31, 2015 of $18.7 million remained flat compared to the year ended December 31, 2014, primarily due to a decrease in amortization of intangible assets driven by lower service revenue from the related mortgage charge-off services, largely offset by an increase in depreciation and amortization expenses from 2014 leasehold improvements in connection with facility relocations and an increase in legal and regulatory related costs. SG&amp;A for the year ended December 31, 2014 of $18.8 million increased by 21% compared to the year ended December 31, 2013, principally from higher occupancy related costs driven by higher headcount and facility relocations.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was $8.9 million, representing 10% of service revenue, for the year ended December 31, 2015 compared to $15.4 million, representing 16% of service revenue, for the year ended December 31, 2014 and $22.1 million, representing 24% of service revenue, for the year ended December 31, 2013. The decrease in operating income as a percentage of service revenue in 2015 was primarily due to the decrease in gross profit margin, as discussed above. The decrease in operating income as a percentage of service revenue in 2014 was the result of lower gross profit margins and an increase in SG&amp;A as a percentage of service revenue, as discussed above.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6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149,291</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151,335</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64,152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66,191</w:t>
            </w:r>
          </w:p>
        </w:tc>
        <w:tc>
          <w:tcPr>
            <w:tcW w:w="14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75,965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36,572</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215,482</w:t>
            </w:r>
          </w:p>
        </w:tc>
        <w:tc>
          <w:tcPr>
            <w:tcW w:w="14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227,300</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100,724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service revenue of $215.5 million for the year ended December 31, 2015, a 5% decrease compared to the year ended December 31, 2014, primarily driven by a decrease in IT infrastructure services, which are typically billed on a cost plus basis, and were lower from reduced investment in infrastructure to better align our costs with revenue. In addition, during the fourth quarter of 2015, we began transitioning resources supporting technology infrastructure to Ocwen as a part of our previously announced separation of technology infrastructure. Software services decreased slightly, primarily at Equator from the full amortization of acquisition related deferred revenue in 2014, partially offset by an increase in software development revenue and increased revenue in connection with the acquisition of Mortgage Builder in September 2014.</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service revenue of $227.3 million for the year ended December 31, 2014, a 126% increase compared to the year ended December 31, 2013, primarily driven by increases in software services as a result of the acquisition of Equator in November 2013, including recognition of acquisition related deferred revenues, increased licensing revenue from REALDoc and growth in Ocwen’s residential loan servicing portfolio on REALServicing. IT infrastructure services revenue also increased in 2014 due to an increase in headcount and costs at both Ocwen and Altisource, which are typically billed on a cost plus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intercompany revenue is included as revenue in the Technology Services segment and as technology and telecommunications costs, a component of cost of revenue and SG&amp;A, in our other reportable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4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(decrease)</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130,279</w:t>
            </w:r>
          </w:p>
        </w:tc>
        <w:tc>
          <w:tcPr>
            <w:tcW w:w="15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132,701</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50,368</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8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36,318</w:t>
            </w:r>
          </w:p>
        </w:tc>
        <w:tc>
          <w:tcPr>
            <w:tcW w:w="15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42,117</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21,215</w:t>
            </w:r>
          </w:p>
        </w:tc>
        <w:tc>
          <w:tcPr>
            <w:tcW w:w="1580" w:type="dxa"/>
            <w:vAlign w:val="bottom"/>
            <w:gridSpan w:val="2"/>
          </w:tcPr>
          <w:p>
            <w:pPr>
              <w:jc w:val="right"/>
              <w:ind w:right="16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17,608</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187,835</w:t>
            </w:r>
          </w:p>
        </w:tc>
        <w:tc>
          <w:tcPr>
            <w:tcW w:w="1580" w:type="dxa"/>
            <w:vAlign w:val="bottom"/>
            <w:gridSpan w:val="2"/>
          </w:tcPr>
          <w:p>
            <w:pPr>
              <w:jc w:val="right"/>
              <w:ind w:right="10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192,426</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82,612</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 for the year ended December 31, 2015 of $187.8 million decreased by 2% compared to the year ended December 31, 2014, primarily due to a decrease in technology and telecommunications costs and compensation and benefits costs in connection with the implementation of cost savings initiatives in 2015, partially offset by an increase in depreciation and amortization expense driven by capital expenditures and compensation and benefits cost increases as a result of the acquisition of Mortgage Builder in September 2014. Recognizing that our service revenue from Ocwen was not expected to grow in the near term due to challenges faced by Ocwen, in late 2014 and early 2015, we developed and executed on a plan that included eliminating certain non-revenue generating businesses, reducing vendor costs and eliminating staff. We recognized $3.2 million of severance expense in the Technology Services segment for the year ended December 31, 2015 in connection with the elimination of staff.</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 for the year ended December 31, 2014 of $192.4 million increased by 133% compared to the year ended December 31, 2013, primarily due to the acquisition of Equator in November 2013 and the hiring of more and higher cost personnel</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the development of our next generation technologies. Technology and telecommunications costs were higher primarily as a result of the acquisition of Equator, the increase in employee headcount and the expansion of facilities. Depreciation and amortization increased as a result of deploying new hardware and software applications as well as the acquisition of Equator.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was $27.6 million, representing 13% of service revenue, for the year ended December 31, 2015 compared to $34.9 million, representing 15% of service revenue, for the year ended December 31, 2014 and $18.1 million, representing 18% of service revenue, for the year ended December 31, 2013. In 2015, gross profit margin as a percentage of service revenue decreased primarily due to lower Equator revenue from the full amortization of acquisition related deferred revenue in 2014. Higher depreciation and amortization costs also contributed to the reduction in gross profit. In 2014, gross profit as a percentage of service revenue decreased due to our continued investment in our next generation technology, partially offset by the acquisition of the higher margin Equator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1,484</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360" w:type="dxa"/>
            <w:vAlign w:val="bottom"/>
            <w:gridSpan w:val="2"/>
          </w:tcPr>
          <w:p>
            <w:pPr>
              <w:jc w:val="right"/>
              <w:ind w:right="37"/>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13,325</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12,250</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5,478</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2,188</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w:t>
            </w:r>
          </w:p>
        </w:tc>
        <w:tc>
          <w:tcPr>
            <w:tcW w:w="13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4,168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7,759</w:t>
            </w:r>
          </w:p>
        </w:tc>
        <w:tc>
          <w:tcPr>
            <w:tcW w:w="120" w:type="dxa"/>
            <w:vAlign w:val="bottom"/>
          </w:tcPr>
          <w:p>
            <w:pPr>
              <w:spacing w:after="0"/>
              <w:rPr>
                <w:sz w:val="21"/>
                <w:szCs w:val="21"/>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32,393</w:t>
            </w:r>
          </w:p>
        </w:tc>
        <w:tc>
          <w:tcPr>
            <w:tcW w:w="1360" w:type="dxa"/>
            <w:vAlign w:val="bottom"/>
            <w:gridSpan w:val="2"/>
          </w:tcPr>
          <w:p>
            <w:pPr>
              <w:jc w:val="right"/>
              <w:ind w:right="37"/>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12,435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year ended December 31, 2015 of $29.9 million decreased by 8% compared to the year ended December 31, 2014, primarily due to lower compensation and benefits costs in connection with cost savings initiatives and lower bad debt expense, partially offset by an increase in occupancy related costs driven by facility expansions and relocations and higher amortization of intangible assets, primarily due to the Mortgage Builder acquisition in September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year ended December 31, 2014 of $32.4 million increased by 160% compared to the year ended December 31, 2013, primarily due to higher administrative employee costs, increased occupancy related costs driven by higher headcount and facility relocations and higher intangible asset amortization related to the Homeward and ResCap fee-based business acquisitions and the Equator acquisition.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impairment losses of $71.8 million and $37.5 million for the years ended December 31, 2015 and 2014, respectively (no comparative amount in 2013). In the fourth quarter of 2015, we recorded non-cash impairment losses of $71.8 million primarily driven by the Company’s current projected Technology Services revenue from Ocwen and investment in technologies provided to Ocwen. These losses are composed of an estimated $55.7 million impairment of goodwill, $11.9 million impairment of intangible assets from the 2013 Homeward and ResCap fee-based business acquisitions and $4.1 million impairment of software assets included in premises and equipment.</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2014, as a result of the adjustment in the fair value of the Equator contingent consideration described below and based on our goodwill assessment in 2014, we determined that the Equator goodwill was impaired and recorded an impairment loss of $37.5 million for the year ended December 31, 2014.</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gains on the change in fair value of the Equator earn out liability of $7.6 million and $37.9 million for the years ended December 31, 2015 and 2014, respectively (no comparative amount in 2013). The liability for contingent consideration is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 During 2014, the fair value of the contingent consideration related to the Equator acquisition was reduced by $37.9 million with a corresponding increase in earnings based on management’s revised estimates that expected earnings of Equator will be lower than projected at the time of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was $(66.4) million, representing (31)% of service revenue, for the year ended December 31, 2015 compared to income from operations of $2.9 million, representing 1% of service revenue, for the year ended December 31, 2014 and income from operations of $5.7 million, representing 6% of service revenue, for the year ended December 31, 2013. The 2015 loss from operations was primarily due to the non-cash impairment losses and the decline in gross profit margin, partially offset by the settlement of the Equator Earn Out and other net reductions in SG&amp;A, as discussed above. Income from operations as a percentage of service revenue decreased in 2014 due to increased employee and occupancy related costs and intangible asset amortization related to the Homeward and ResCap fee-based business acquisitions and the Equator acquisition and the impact of the decline in gross profit margin, as discussed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Items and Eliminations include interest expense, loss on sale of HLSS equity securities, net of dividends received, gain on the early extinguishment of debt and costs related to corporate support functions including executive, finance, law, compliance, human resources, vendor management, risk, sales and marketing costs not allocated to the business units. It also includes eliminations of transactions between the reportable segments.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46,651</w:t>
            </w:r>
          </w:p>
        </w:tc>
        <w:tc>
          <w:tcPr>
            <w:tcW w:w="13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36,762</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9,110</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8,629</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8,734</w:t>
            </w:r>
          </w:p>
        </w:tc>
        <w:tc>
          <w:tcPr>
            <w:tcW w:w="13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2,709</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2,442</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67,106</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55,863</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39,282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26,642</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23,424</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19,595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corporate costs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93,748</w:t>
            </w: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79,287</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58,877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costs for the year ended December 31, 2015 of $93.7 million increased by 18% compared to the year ended December 31, 2014, primarily due to higher compensation and benefit costs as we expanded certain corporate functions, expanded the sales and marketing functions, increased marketing costs incurred in connection with our rebranding initiatives, higher interest expense and a loss on the sale of HLSS equity securities, net of dividends received, partially offset by gains totaling $3.8 million recognized on the early extinguishment of a portion of our senior secured term loan.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costs for the year ended December 31, 2014 of $79.3 million increased by 35% compared to the year ended December 31, 2013, primarily due to higher compensation and employee related costs, legal and compliance related costs and interest expense. We incurred higher compensation and employee related costs as we were expanding certain corporate functions to support our continued growth.</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expense for the year ended December 31, 2015 was $28.2 million, an increase of $4.8 million compared to the year ended December 31, 2014, resulting from the additional $200.0 million senior secured term loan borrowings on August 1, 2014, partially offset by lower interest expense associated with repurchases in 2015 of a portion of our senior secured term loan with an aggregate par value of $49.0 million. Interest expense for the year ended December 31, 2014 was $23.4 million, an increase of $3.1 million compared to the year ended December 31, 2013, resulting from the additional $200.0 million senior secured term loan borrowings on August 1, 2014 and the additional $200.0 million senior secured term loan borrowings on May 7, 2013, partially offset by lower interest rates from the senior secured term loan refinancing on December 9, 2013. We recognized interest income of $0.1 million for each of the years ended December 31, 2015 and 2014. Additionally, we recognized interest income of $0.9 million for the year ended December 31, 2013, primarily from a $75.0 million loan to Ocwen, which was repaid in February 2013.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repurchased portions of our senior secured term loan with an aggregate par value of $49.0 million at a weighted average discount of 10.3%, resulting in net gains totaling $3.8 million on the early extinguishment of debt. These net gains are included in other income (expense), net in the consolidated statements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On April 6, 2015, HLSS completed the sale of substantially all of its assets and adopted a plan of complete liquidation and dissolution. During 2015, we received liquidating dividends and other dividends from HLSS totaling $20.4 million and sold all of our 1.6 million shares of HLSS common stock in the open market for $7.7 million. As a result of these transactions, we recognized a net loss of $1.9 million for the year ended December 31, 2015 (no comparative amounts for 2014 and 2013) in connection with our investment in HLSS.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Intercompany revenue is eliminated in consolidation. Intercompany transactions are primarily related to IT infrastructure services provided by Technology Services to the other segments. Service revenue is reflected in Technology Services and technology and telecommunications costs within cost of revenue and SG&amp;A in the segment receiving the services. The elimination of the service revenue and expenses is reflected in Corporate Items and Eliminations.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revenue eliminations were $39.1 million, $40.0 million and $24.6 million for the years ended December 31, 2015, 2014 and 2013, respectively. Intercompany revenue decreased for the year ended December 31, 2015 compared to the year ended December 31, 2014 and intercompany revenue increased for the year ended December 31, 2014 compared to the year ended December 31, 2013, consistent with changes in IT infrastructure services revenue described in the Technology Services revenue discussion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also use cash to repurchase and repay our senior secured term loan and repurchase shares of our common stock when we believe our shares are attractively priced. We also consider and evaluate business acquisitions that may arise from time to time that are aligned with our strategy.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2015, we used $28.7 million, net of cash acquired, to acquire CastleLine and the Acquired RentRange and Investability Businesses. For the year ended December 31, 2015, we used $109.3 million to repurchase shares of our common stock, repurchase portions of the senior secured term loan and make contractual repayments of our senior secured term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December 31, 2015, $534.4 million, net of unamortized discount of $2.2 million, was outstanding under the senior secured term loan agreement, as amended, compared to $588.6 million, net of unamortized discount of $2.9 million, as of December 31, 2014.</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increases if the leverage ratio exceeds 3.50 to 1.00). No mandatory prepayments were required during the year ended December 31, 2015. The interest rate as of December 31, 2015 was 4.50%.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repurchased portions of our senior secured term loan with an aggregate par value of $49.0 million at a weighted average discount of 10.3%, resulting in net gains totaling $3.8 million on the early extinguishment of debt. These net gains are included in other income (expense), net in the consolidated statements of operations.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Pr>
          <w:p>
            <w:pPr>
              <w:spacing w:after="0"/>
              <w:rPr>
                <w:sz w:val="14"/>
                <w:szCs w:val="14"/>
                <w:color w:val="auto"/>
              </w:rPr>
            </w:pPr>
          </w:p>
        </w:tc>
        <w:tc>
          <w:tcPr>
            <w:tcW w:w="9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195,922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224,673</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190,655</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(27,180)</w:t>
            </w:r>
          </w:p>
        </w:tc>
        <w:tc>
          <w:tcPr>
            <w:tcW w:w="100" w:type="dxa"/>
            <w:vAlign w:val="bottom"/>
          </w:tcPr>
          <w:p>
            <w:pPr>
              <w:spacing w:after="0"/>
              <w:rPr>
                <w:sz w:val="21"/>
                <w:szCs w:val="21"/>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195,352</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197,493</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185,474</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(65,995)</w:t>
            </w: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(101,268)</w:t>
            </w:r>
          </w:p>
        </w:tc>
        <w:tc>
          <w:tcPr>
            <w:tcW w:w="1240" w:type="dxa"/>
            <w:vAlign w:val="bottom"/>
            <w:gridSpan w:val="2"/>
          </w:tcPr>
          <w:p>
            <w:pPr>
              <w:jc w:val="right"/>
              <w:ind w:right="16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(215,944)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(111,391)</w:t>
            </w:r>
          </w:p>
        </w:tc>
        <w:tc>
          <w:tcPr>
            <w:tcW w:w="12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(65,188)</w:t>
            </w:r>
          </w:p>
        </w:tc>
        <w:tc>
          <w:tcPr>
            <w:tcW w:w="12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55,292</w:t>
            </w:r>
          </w:p>
        </w:tc>
        <w:tc>
          <w:tcPr>
            <w:tcW w:w="0" w:type="dxa"/>
            <w:vAlign w:val="bottom"/>
          </w:tcPr>
          <w:p>
            <w:pPr>
              <w:spacing w:after="0"/>
              <w:rPr>
                <w:sz w:val="1"/>
                <w:szCs w:val="1"/>
                <w:color w:val="auto"/>
              </w:rPr>
            </w:pPr>
          </w:p>
        </w:tc>
      </w:tr>
      <w:tr>
        <w:trPr>
          <w:trHeight w:val="237"/>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17,966</w:t>
            </w:r>
          </w:p>
        </w:tc>
        <w:tc>
          <w:tcPr>
            <w:tcW w:w="124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31,037</w:t>
            </w:r>
          </w:p>
        </w:tc>
        <w:tc>
          <w:tcPr>
            <w:tcW w:w="1240" w:type="dxa"/>
            <w:vAlign w:val="bottom"/>
            <w:gridSpan w:val="2"/>
          </w:tcPr>
          <w:p>
            <w:pPr>
              <w:jc w:val="right"/>
              <w:ind w:right="16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24,822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161,361</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130,324</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179,327</w:t>
            </w:r>
          </w:p>
        </w:tc>
        <w:tc>
          <w:tcPr>
            <w:tcW w:w="12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161,361</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130,324</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year ended December 31, 2015, we generated cash flows from operating activities of $195.4 million, or approximately $0.21 for every dollar of service revenue compared to cash flows from operating activities of $197.5 million, or approximately $0.21 for every dollar of service revenue for the year ended December 31, 2014 and $185.5 million of cash flows from operating activities, or approximately $0.28 per dollar of service revenue for the year ended December 31, 2013. The decrease in cash flows from operating activities during 2015 compared to 2014 was principally driven by the decrease in net income after adding back depreciation and amortization and amortization of intangible assets, largely offset by lower unfavorable working capital changes in 2015. Changes in working capital were principally driven by improved timing of collections of accounts receivable in 2015, partially offset by a net decrease in accounts payable and accrued expenses in 2015 largely due to the timing of payments across the relative time periods. Cash flows from operating activities per dollar of service revenue remained flat compared to 2014. The increase in cash flows from operating activities during 2014 compared to 2013 was primarily due to the increase in net income, after adding back depreciation and amortization and amortization of intangible assets, partially offset by unfavorable working capital changes. Changes in working capital in 2014 compared to 2013 were principally due to higher accounts receivable from revenue growth and the timing of collections. The decrease in cash flows from operating activities per dollar of service revenue in 2014 compared to 2013 was primarily the result of lower operating income as a percentage of service revenue and, to a lesser extent, timing differences in converting accounts receivable to cash.</w:t>
      </w:r>
    </w:p>
    <w:p>
      <w:pPr>
        <w:spacing w:after="0" w:line="1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period to another.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flows from investing activities included capital expenditures of $36.2 million, $64.8 million and $34.1 million for the years ended December 31, 2015, 2014 and 2013, respectively, primarily related to facility build-outs, investments in IT infrastructure,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Equator integration and the development of certain software applications. Capital expenditures were higher in 2014 compared to 2013 primarily as a result of increased facility build-outs and office relocations to support growth.</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9, 2015, we acquired the Acquired RentRange and Investability Businesses for $24.8 million. The purchase price was composed of $17.5 million in cash and $7.3 million of restricted common stock of the Company. On July 17, 2015, we acquired CastleLine for $33.4 million. This was composed of $11.2 million of cash at closing, excluding cash balances acquired of $1.1 million. Additionally, the acquisition includes $10.5 million of cash that is payable over four years from the acquisition date and $14.4 million of restricted common stock of the Company. Of the cash payable following acquisition, $3.8 million is contingent on certain future employment conditions of certain of the sellers, and therefore excluded from the purchase price.</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purchased 1.6 million shares of HLSS common stock in the open market for $30.0 million. Also during 2015, we received liquidating dividends and other dividends from HLSS totaling $20.4 million and we sold all of our 1.6 million shares of HLSS common stock in the open market for $7.7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21, 2014, we acquired Owners for $19.8 million plus contingent consideration of up to $7.0 million. On September 12, 2014, we acquired Mortgage Builder for $14.9 million, net of acquired cash of $0.7 million, and contingent consideration of up to $7.0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15, 2013, we acquired Equator for initial consideration of $63.4 million, before a working capital adjustment payment made by us to the sellers in 2014. On March 31, 2013, we sold our 49% interest in Correspondent One S.A. to Ocwen for $12.6 million. On February 15, 2013, Ocwen repaid a $75.0 million loan that it borrowed from us in December 2012.</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2013, we acquired the Homeward fee-based business from Ocwen for $75.8 million, after a working capital and pre-acquisition net income adjustment payment by Ocwen totaling $11.1 million, which we received in September 2013. On April 12, 2013, we entered into an agreement with Ocwen to establish additional terms related to the existing servicing arrangements between Altisource and Ocwen in connection with Ocwen’s acquisition of certain mortgage service platform assets of ResCap. The cash consideration paid by Altisource to Ocwen under the ResCap agreements totaled $128.8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flows from financing activities for the year ended December 31, 2015 primarily included activity associated with share repurchases, debt repurchases and repayments, stock option exercises and payments to non-controlling interests. For the year ended December 31, 2015, we spent $58.9 million to repurchase shares of our common stock and used $50.4 million to repurchase and repay the senior secured term loan. This includes the repurchases of portions of our senior secured term loan with an aggregate par value of $49.0 million at a weighted average discount of 10.3%. For the year ended December 31, 2015, stock option exercises provided proceeds of $1.4 million and we distributed $3.0 million to non-controlling interests.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from financing activities for the year ended December 31, 2014 primarily included activity associated with debt proceeds, share repurchases, stock option exercises and payments to non-controlling interests. On August 1, 2014, we borrowed $200.0 million in connection with amending our senior secured term loan agreement, and received $198.0 million of cash proceeds net of a $2.0 million original issue discount. For the year ended December 31, 2014, we incurred debt issuance costs of $2.6 million, in connection with the debt issuances. For the year ended December 31, 2014, we spent $255.7 million to repurchase shares of our common stock, we repaid $5.0 million of the borrowings under the senior secured term loan and distributed $2.6 million to non-controlling interests. Stock option exercises provided proceeds of $2.7 million.</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Cash flows from financing activities for the year ended December 31, 2013 primarily included activity associated with debt proceeds, debt issuance costs, share repurchases, stock option exercises and payments to non-controlling interests. On May 7, 2013, we amended our senior secure term loan agreement to increase the principal amount of the senior secured term loan by $200.0 million and received $201.0 million, including a $1.0 million original issue premium. We also incurred debt issuance costs of $2.4 million in connection with the amendment. On December 9, 2013, we entered into the Second Amendment, the proceeds of which were used to refinance, in full, the $397.5 million of term loans outstanding and included an original issue discount of $0.5 million. We incurred an additional $0.8 million of debt issuance costs in connection with the Second Amendment. In 2013, we spent $141.0 million to repurchase shares of our common stock and stock option exercises provided proceeds of $6.9 million. Also during 2013, we repaid $3.5 million of the borrowings under the senior secured term loan and $0.2 million of capital lease obligations and distributed $4.2 million to non-controlling interests.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December 31,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12, 2014, we acquired Mortgage Builder. The Mortgage Builder purchase agreement provides for the payment of up to $7.0 million in potential additional consideration based on Adjusted Revenue (as defined in the purchase agreement). We have estimated the fair value of the Mortgage Builder potential additional consideration to be $1.7 million as of December 31, 2015. The amount ultimately paid will depend on Mortgage Builder’s Adjusted Revenue in the three consecutive 12-month periods following closing.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2014, we acquired Owners. The Owners purchase agreement provides for a payment of up to $7.0 million of potential additional consideration based on Adjusted Revenue (as defined in the purchase agreement) earned in the two consecutive 12-month periods following closing. We estimated the fair value of the Owners contingent consideration to be $2.2 million as of December 31, 2015. The amount ultimately paid will depend on Owners’ Adjusted Revenue earned in the two consecutive 12-month periods following closing.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2016, we expect to distribute $0.7 million to the Lenders One members representing non-controlling interests, repay $1.5 million of the senior secured term loan and pay $6.0 million of interest expense under the senior secured term loan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will generate sufficient cash flows from operating activities to fund capital expenditures and required debt and interest payments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recognize revenue from the services we provide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Topic 605”). ASC Topic 605 sets 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Mortgage Services segment, we recognize revenue for the majority of the services we provide when the services have been performed. For default processing services and certain property preservation services, we recognize revenue over the period during which we perform the related services, with full recognition upon recording the related foreclosure deed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Financial Services segment, we generally earn our fees for asset recovery management services as a percentage of the amount we collect on delinquent consumer receivables and charged-off mortgages on behalf of our clients and recognize revenue upon collection from the debtors. We also earn fees for packaging and selling charged-off mortgages and recognize revenue after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 of the notes and once the risks and rewards of the mortgage notes are transferred to the purchasers. In addition, we provide customer relationship management services for which we earn and recognize revenue on a per-person, per-call or per-minute basis as the related services are performed.</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the Technology Services segment, we charge fees for our software services based on the number of loans on the system or on a per-transaction basis. We record transactional revenue when the service is provided and other revenue monthly based on the number of loans processed or services provided. In addition, we charge fees for professional services engagements, which consist primarily of time and materials agreements with customers that are generally billed and recognized as the hours are worked. For Equator’s software applications, we recognize revenue from arrangements with multiple deliverables in accordance with ASC Subtopic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(“ASC 605-25”), and Securities and Exchange Commission Staff Accounting Bulletin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Equator derives its revenue from platform services fees, professional services fees and other services. Equator does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 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Mortgage Builder generally invoices customers on a monthly basis. We also provide IT infrastructure services and charge for these services primarily on a cost plus basis, based on the number of employees that are using the applicable systems and the number and type of licensed platforms used. We record revenue associated with implementation services upon completion of the services and we record revenue from maintenance activity ratably over the related service period.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Significant areas of judgment include the period over which we recognize property preservation revenue and certain default management services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evaluate goodwill for impairment annually during the fourth quarter or more frequently when an event occurs or circumstances change in a manner that indicates the carrying value may not be recoverable. During 2015, we changed the measurement date of our annual goodwill impairment test from November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to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in order to better align our measurement date with our financial projections. There was no impact of this change.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a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2014, management determined that Equator goodwill should be tested for impairment as a result of the decline in the fair value of the Equator Earn Out (see Note 15 to the consolidated financial statements). Consequently, we initiated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quantitative two-step goodwill impairment test by comparing the carrying value of the net assets of Equator to its fair value based on a discounted cash flow analysis. Based on this goodwill assessment, we determined that the fair value of Equator was less than its carrying value and goodwill was impaired. Consequently, we recorded an impairment loss of $37.5 million.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fourth quarter 2014 and 2015 annual goodwill assessments, we elected to bypass the initial analysis of qualitative factors and perform a quantitative two-step goodwill impairment test of all of our reporting units as a result of an impairment of goodwill recorded in an interim period in 2014. We calculated the fair value of each of our reporting units by using a discounted cash flow analysis and concluded that the fair values of the Mortgage Services, Financial Services and Technology Services reporting units exceeded their carrying values by a significant margin in 2014 and that the Mortgage Services and Financial Services reporting units exceeded their carrying values by a significant margin in 2015. In 2015, the fair value of the Technology Services reporting unit was less than its carrying value. Accordingly, we performed step two of the impairment test for the Technology Services reporting unit and determined that an estimated $55.7 million of goodwill was impaired. This goodwill impairment was primarily driven by the Company’s current projected Technology Services revenue from Ocwen and investment in technologies provided to Ocwen. There were no additional goodwill impairments as of December 31, 2015 and 2014, and there was no goodwill impairment in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 names and trademarks and other intangible assets. 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In the fourth quarter of 2015, we recorded a non-cash impairment loss of $11.9 million in our Technology Services segment related to customer relationship intangible assets from the 2013 Homeward and ResCap fee-based business acquisitions. These impairments of intangible assets were primarily driven by the Company’s current projected Technology Services revenue from Ocwen and investment in technologies provided to Ocwen. There were no impairments of intangible assets for the years ended December 31, 2014 and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those acquisitions that meet the definition of a business combination, we allocate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fair value of the assets acquired and liabilities assumed is typically determined by using either estimates of replacement costs or discounted cash flow valuation methods. When determining the fair value of tangible assets acquired, we estimate the cost to replace the asset with a new asset taking into consideration such factors as age, condition and the economic useful life of the asset. When determining the fair value of intangible assets acquired, we estimate the applicable discount rate and the timing and amount of future cash flows, including rate and terms of renewal and attrition. The determination of the final purchase price and the fair values on the acquisition date of the identifiable assets acquired and liabilities assumed may extend over more than one period and result in adjustments to the preliminary estimate recognized.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income taxes principally in Luxembourg, the United States, India, Uruguay and the Philippines.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effective tax rates and higher than anticipated earnings in countries where we have higher effective tax rates, by changes in foreign currency exchange rates or by changes in the relevant tax rate, accounting and other laws, regulations, principles and interpretations. We are subject to audits in various taxing jurisdictions, and such jurisdictions may assess additional income tax during an examination. Although we believe our recorded tax liabilities are sufficient to support our future tax liabilities, the final determination of tax audits and any related litigation could differ from the balances we have accrued.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the future adoption of new accounting pronouncements.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and trust arrangements and operating leases.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accompanying consolidated balance sheets. Amounts held in escrow and trust accounts were $66.6 million and $62.5 million at December 31, 2015 and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property and equipment. The following table sets forth information relating to our contractual obligations as of December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8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7"/>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6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28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Non-cancelable operating lease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536,598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11,890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518,763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Contractual interest payments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116,229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47,291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44,886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Unrecognized tax benefit</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713,629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48,766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85,249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574,754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20" w:firstLine="8"/>
        <w:spacing w:after="0" w:line="387" w:lineRule="auto"/>
        <w:tabs>
          <w:tab w:leader="none" w:pos="243"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Represents estimated future interest payments on our senior secured term loan based on applicable interest rates as of December 31, 2015. For further information, see Notes 14, 22 and 24 to the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7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65%</w:t>
            </w: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years ended December 31, 2015, 2014 and 2013, we generated revenue from Ocwen of $631.6 million, $650.7 million and $499.3 million, respectively. Services provided to Ocwen during such periods and reported in the Mortgage Services segment included real estate asset management and sales, residential property valuation, trustee management services, property inspection, property preservation and insurance services. Services provided to Ocwen and reported in the Financial Services segment included mortgage charge-off collections. Services provided to Ocwen and reported in the Technology Services segment included IT infrastructure management and software applications including our software platforms.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years ended December 31, 2015, 2014 and 2013, we recognized revenue of $216.9 million, $256.0 million and $161.9 million, respectively, related to the portfolios serviced by Ocwen when a party other than Ocwen selected Altisource as the service provider. These amounts are not included in deriving revenue from Ocwen as a percentage of revenue in the table above.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2015, the interest rate charged on the senior secured term loan was 4.50%. The interest rate is calculated based on the Adjusted Eurodollar Rate (as defined in the senior secured term loan agreement) with a minimum floor of 1.00% plus 3.50%.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December 31, 2015, a one percentage point increase in the Eurodollar rate would increase our annual interest expense by approximately $2.3 million, based on the December 31, 2015 Adjusted Eurodollar Rate. There would be no change in our annual interest expense if there was a one percentage point decrease in the Eurodollar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2015, a one percentage point increase or decrease in value of the Indian rupee in relation to the United States dollar would increase or decrease our annual expenses by $1.2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432"/>
        </w:trPr>
        <w:tc>
          <w:tcPr>
            <w:tcW w:w="1036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Reports of Independent Registered Public Accounting Firm</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2015 and 2014</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years ended December 31, 2015, 2014 and 2013</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6540" w:type="dxa"/>
            <w:vAlign w:val="bottom"/>
            <w:gridSpan w:val="4"/>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Equity for the years ended December 31, 2015, 2014 and 2013</w:t>
              </w:r>
            </w:hyperlink>
          </w:p>
        </w:tc>
        <w:tc>
          <w:tcPr>
            <w:tcW w:w="300" w:type="dxa"/>
            <w:vAlign w:val="bottom"/>
          </w:tcPr>
          <w:p>
            <w:pPr>
              <w:spacing w:after="0"/>
              <w:rPr>
                <w:sz w:val="24"/>
                <w:szCs w:val="24"/>
                <w:color w:val="auto"/>
              </w:rPr>
            </w:pPr>
          </w:p>
        </w:tc>
        <w:tc>
          <w:tcPr>
            <w:tcW w:w="3520" w:type="dxa"/>
            <w:vAlign w:val="bottom"/>
            <w:gridSpan w:val="2"/>
          </w:tcPr>
          <w:p>
            <w:pPr>
              <w:spacing w:after="0"/>
              <w:rPr>
                <w:sz w:val="24"/>
                <w:szCs w:val="24"/>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36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years ended December 31, 2015, 2014 and 2013</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6900" w:type="dxa"/>
            <w:vAlign w:val="bottom"/>
            <w:gridSpan w:val="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3460" w:type="dxa"/>
            <w:vAlign w:val="bottom"/>
          </w:tcPr>
          <w:p>
            <w:pPr>
              <w:spacing w:after="0"/>
              <w:rPr>
                <w:sz w:val="24"/>
                <w:szCs w:val="24"/>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Altisource Portfolio Solutions S.A.: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2015 and 2014, and the related consolidated statements of operations, consolidated statements of equity, and cash flows for each of the three years in the period ended December 31, 2015.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such consolidated financial statements referred to above present fairly, in all material respects, the financial position of Altisource Portfolio Solutions S.A.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3 to the consolidated financial statements, Ocwen Financial Corporation (“Ocwen”), is the Company’s largest customer. As discussed in Note 24 to the consolidated financial statements, Ocwen has been and is subject to a number of federal and state regulatory matters and is subject to other challenges and uncertainties that could have significant adverse effects on Ocwen’s business. Note 24 also discusses the potential implications of these uncertainties to the Company including the loss of Ocwen as a customer or a reduction in the number or volume of services Ocwen purchases from the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 Integrated Framework (2013)</w:t>
      </w:r>
      <w:r>
        <w:rPr>
          <w:rFonts w:ascii="Arial" w:cs="Arial" w:eastAsia="Arial" w:hAnsi="Arial"/>
          <w:sz w:val="18"/>
          <w:szCs w:val="18"/>
          <w:color w:val="auto"/>
        </w:rPr>
        <w:t xml:space="preserve"> issued by the Committee of Sponsoring Organizations of the Treadway Commission and our report dated March 15, 2016 expressed an adverse opinion on the Company’s internal control over financial reporting because of a material weakness.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Altisource Portfolio Solutions S.A.: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have audited the internal control over financial reporting of Altisource Portfolio Solutions S.A. and subsidiaries (the “Company”)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As described in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management excluded from its assessment the internal control over financial reporting for the businesses and certain assets acquired and certain liabilities assumed of CastleLine Holdings, LLC, acquired on July 17, 2015, and GoldenGator, LLC, REIsmart, LLC and Onit Solutions, LLC, acquired on October 9, 2015, and whose combined financial statements constitute 7% of total assets and less than 1% of revenues and net income attributable to Altisource as reflected in the consolidated financial statement amounts as of and for the year ended December 31, 2015. Accordingly, our audit did not include the internal control over financial reporting for the businesses and certain assets acquired and certain liabilities assumed of CastleLine Holdings, LLC and GoldenGator, LLC, REIsmart, LLC and Onit Solutions, LLC.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following material weakness has been identified and included in management’s assessment: the Company did not maintain effective internal controls over the review of impairment indicators of long-lived assets, including premises and equipment and intangible assets, and the impairment analysis of indefinite-lived assets, primarily goodwill. This material weakness was considered in determining the nature, timing and extent of audit tests applied in our audit of the consolidated financial statements and financial statement schedule as of and for the year ended December 31, 2015 of the Company and this report does not affect our report on such financial statements and financial statement schedule.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because of the effect of the material weakness identified above on the achievement of the objectives of the control criteria, the Company has not maintained effective internal control over financial reporting as of December 31, 2015, based on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March 15, 2016 expressed an unqualified opinion on those financial statements and included an explanatory paragraph regarding concentration of revenue with Ocwen Financial Corporation (“Ocwen”), and an emphasis of a matter paragraph related to uncertainties faced by Ocwen.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w w:val="92"/>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161,361</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105,023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112,183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23,567</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302,098</w:t>
            </w: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82,801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90,851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245,246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727,982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788,221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left="297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111,766</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140,767</w:t>
            </w: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528,417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582,669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20,648</w:t>
            </w: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2"/>
              </w:rPr>
              <w:t>Common stock ($1.00 par value; 25,413 shares authorized and issued and 19,021 outstanding as of December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31, 2015; 25,413 shares authorized and issued and 20,279 outstanding as of December 31, 2014)</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91,509</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369,270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367,967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Treasury stock, at cost (6,392 shares as of December 31, 2015 and 5,134 shares as of December 31, 2014)</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50,978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40,394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727,982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788,221</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r>
      <w:tr>
        <w:trPr>
          <w:trHeight w:val="243"/>
        </w:trPr>
        <w:tc>
          <w:tcPr>
            <w:tcW w:w="7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1,078,916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768,357</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687,327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707,180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492,480</w:t>
            </w: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364,139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371,736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275,877</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113,810</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37,473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170,454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162,067</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(20,291)</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HLSS equity securities, net of dividends received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557</w:t>
            </w: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r>
      <w:tr>
        <w:trPr>
          <w:trHeight w:val="243"/>
        </w:trPr>
        <w:tc>
          <w:tcPr>
            <w:tcW w:w="7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142,333</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(8,540)</w:t>
            </w: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137,087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133,793</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37"/>
        </w:trPr>
        <w:tc>
          <w:tcPr>
            <w:tcW w:w="7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134,484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129,973</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04"/>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r>
      <w:tr>
        <w:trPr>
          <w:trHeight w:val="251"/>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04"/>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19,504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21,625</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23,072</w:t>
            </w:r>
          </w:p>
        </w:tc>
      </w:tr>
      <w:tr>
        <w:trPr>
          <w:trHeight w:val="251"/>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See Note 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666,800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502,087</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See Note 4</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w:t>
            </w: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See Note 4</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569</w:t>
            </w: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 4</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r>
      <w:tr>
        <w:trPr>
          <w:trHeight w:val="27"/>
        </w:trPr>
        <w:tc>
          <w:tcPr>
            <w:tcW w:w="7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Altisource Equity</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3"/>
                <w:szCs w:val="13"/>
                <w:color w:val="auto"/>
              </w:rPr>
            </w:pPr>
          </w:p>
        </w:tc>
        <w:tc>
          <w:tcPr>
            <w:tcW w:w="9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4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Balance, January 1, 2013</w:t>
            </w:r>
          </w:p>
        </w:tc>
        <w:tc>
          <w:tcPr>
            <w:tcW w:w="1100" w:type="dxa"/>
            <w:vAlign w:val="bottom"/>
            <w:gridSpan w:val="2"/>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25,413</w:t>
            </w:r>
          </w:p>
        </w:tc>
        <w:tc>
          <w:tcPr>
            <w:tcW w:w="80" w:type="dxa"/>
            <w:vAlign w:val="bottom"/>
          </w:tcPr>
          <w:p>
            <w:pPr>
              <w:spacing w:after="0"/>
              <w:rPr>
                <w:sz w:val="21"/>
                <w:szCs w:val="21"/>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86,873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124,127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(77,954)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159,829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129,973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133,793</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 interest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w w:val="92"/>
              </w:rPr>
              <w:t>Distributions to non-controlling interest holders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(141,018)</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1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25,413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157,741</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137,087</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w w:val="92"/>
              </w:rPr>
              <w:t>Distributions to non-controlling interest holders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1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25,413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w w:val="92"/>
              </w:rPr>
              <w:t>Distributions to non-controlling interest holders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Issuance of restricted shares for acquisitions</w:t>
            </w: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21,733</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(58,949)</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48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60" w:type="dxa"/>
            <w:vAlign w:val="bottom"/>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25,413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96,321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369,270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80" w:type="dxa"/>
            <w:vAlign w:val="bottom"/>
          </w:tcPr>
          <w:p>
            <w:pPr>
              <w:spacing w:after="0"/>
              <w:rPr>
                <w:sz w:val="24"/>
                <w:szCs w:val="24"/>
                <w:color w:val="auto"/>
              </w:rPr>
            </w:pPr>
          </w:p>
        </w:tc>
        <w:tc>
          <w:tcPr>
            <w:tcW w:w="4640" w:type="dxa"/>
            <w:vAlign w:val="bottom"/>
            <w:gridSpan w:val="13"/>
          </w:tcPr>
          <w:p>
            <w:pPr>
              <w:jc w:val="center"/>
              <w:ind w:right="18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r>
              <w:rPr>
                <w:rFonts w:ascii="Arial" w:cs="Arial" w:eastAsia="Arial" w:hAnsi="Arial"/>
                <w:sz w:val="18"/>
                <w:szCs w:val="18"/>
                <w:color w:val="auto"/>
                <w:w w:val="89"/>
              </w:rPr>
              <w:t>.</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9" w:name="page60"/>
    <w:bookmarkEnd w:id="59"/>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2013</w:t>
            </w:r>
          </w:p>
        </w:tc>
      </w:tr>
      <w:tr>
        <w:trPr>
          <w:trHeight w:val="162"/>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44,800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137,087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133,793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29,046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19,056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Loss on sale of HLSS equity securities, net of dividends received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37,473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Equity in losses of investment in affiliate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Gain on early extinguishment of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1,309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195,352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185,474</w:t>
            </w:r>
          </w:p>
        </w:tc>
      </w:tr>
      <w:tr>
        <w:trPr>
          <w:trHeight w:val="156"/>
        </w:trPr>
        <w:tc>
          <w:tcPr>
            <w:tcW w:w="7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(34,134)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(267,946)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Purchase of HLSS equity securities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from sale of and dividends from HLSS 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loan to Ocwen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equity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Change in restricted cash</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(215,944)</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56"/>
        </w:trPr>
        <w:tc>
          <w:tcPr>
            <w:tcW w:w="7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200,502</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Repurchases and repayment of long-term debt and payments on capital lease obligations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6,885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(141,018)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55,292</w:t>
            </w:r>
          </w:p>
        </w:tc>
      </w:tr>
      <w:tr>
        <w:trPr>
          <w:trHeight w:val="156"/>
        </w:trPr>
        <w:tc>
          <w:tcPr>
            <w:tcW w:w="7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161,361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105,502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56"/>
        </w:trPr>
        <w:tc>
          <w:tcPr>
            <w:tcW w:w="7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30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130,324</w:t>
            </w:r>
          </w:p>
        </w:tc>
      </w:tr>
      <w:tr>
        <w:trPr>
          <w:trHeight w:val="149"/>
        </w:trPr>
        <w:tc>
          <w:tcPr>
            <w:tcW w:w="7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3,671</w:t>
            </w:r>
          </w:p>
        </w:tc>
      </w:tr>
    </w:tbl>
    <w:p>
      <w:pPr>
        <w:sectPr>
          <w:pgSz w:w="11900" w:h="16897" w:orient="portrait"/>
          <w:cols w:equalWidth="0" w:num="1">
            <w:col w:w="11420"/>
          </w:cols>
          <w:pgMar w:left="240" w:top="125" w:right="239" w:bottom="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with restricted shares</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1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(6,679)</w:t>
            </w:r>
          </w:p>
        </w:tc>
        <w:tc>
          <w:tcPr>
            <w:tcW w:w="40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(2,328)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4,552</w:t>
            </w:r>
          </w:p>
        </w:tc>
      </w:tr>
      <w:tr>
        <w:trPr>
          <w:trHeight w:val="27"/>
        </w:trPr>
        <w:tc>
          <w:tcPr>
            <w:tcW w:w="6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acquisition of businesses from subsequent working capital true-ups</w:t>
            </w:r>
          </w:p>
        </w:tc>
        <w:tc>
          <w:tcPr>
            <w:tcW w:w="1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(3,711)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7"/>
        </w:trPr>
        <w:tc>
          <w:tcPr>
            <w:tcW w:w="68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28"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25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Basis of Accounting and Presentation </w:t>
      </w:r>
      <w:r>
        <w:rPr>
          <w:rFonts w:ascii="Arial" w:cs="Arial" w:eastAsia="Arial" w:hAnsi="Arial"/>
          <w:sz w:val="17"/>
          <w:szCs w:val="17"/>
          <w:color w:val="auto"/>
        </w:rPr>
        <w:t>- The consolidated financial statements are prepared in accordance with accounting principles generally accepted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of America (“GAAP”). Intercompany transactions and accounts have been eliminated in consolidation. Certain prior year amounts reported by the Mortgage Services and Technology Services segments have been reclassified to conform with the current year presentation.</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variable interest and are the primary beneficiary.</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Mortgage Partnership of America, L.L.C. (“MPA”), a wholly-owned subsidiary of Altisource, serves as the manager of Best Partners Mortgage Cooperative, Inc., doing business as the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mortgage cooperative (“Lenders One”). MPA provides services to Lenders One under a management agreement that ends on December 31, 2025. MPA acts on behalf of Lenders One and its members principally to provide its members with opportunities to: (i) expand revenue, (ii) reduce loan underwriting costs, (iii) increase operational efficiency and (iv) receive critical education and training. For providing these services, MPA receives payments from Lenders One, and in some instances the vendors, based primarily upon the benefits achieved for the members. The management agreement provides MPA with broad powers such as recruiting members for Lenders One, collection of fees and other obligations from members of Lenders One, processing of all rebates owed to Lenders One and negotiating and executing contracts with vendors including executing contracts on behalf of Lenders One.</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September 2014, we launched Best Partners Mortgage Brokers Cooperative, Inc., doing business as the Wholesale 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Mortgage Cooperative (“Wholesale One”), for the wholesale mortgage market. Wholesale One assists mortgage brokers and wholesale lenders with tools to improve their businesses and obtain better access to the capital markets. In April 2015, we launched Best Partners Residential Investor Cooperative, Inc., doing business as the Residential Investor One™ cooperative (“Residential Investor One”). Residential Investor One was formed to deliver savings and efficiencies to individual and institutional residential real estate investors. MPA provides services to both Wholesale One and Residential Investor One under management agreements that end on July 8, 2039 (with automatic renewals for three successive five-year periods) and March 12, 2040 (with automatic renewals for three successive five-year periods), respectively. The management agreements provide MPA with broad powers such as recruiting members for Wholesale One and Residential Investor One, collection of fees and other obligations from members of Wholesale One and Residential Investor One, processing of all fees owed to Wholesale One and Residential Investor One and negotiating and executing contracts with vendors including executing contracts on behalf of Wholesale One and Residential Investor One.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management agreements between MPA and Lenders One, Wholesale One and Residential Investor One, pursuant to which MPA is the management company of each of these cooperatives, represent variable interests in variable interest entities. MPA is the primary beneficiary of Lenders One, Wholesale One and Residential Investor One as it has the power to direct the activities that most significantly impact each of these cooperatives’ economic performance and the right to receive benefits from each of these cooperatives. As a result, Lenders One, Wholesale One and Residential Investor One are presented in the accompanying consolidated financial statements on a consolidated basis with the interests of the members reflected as non-controlling interests. As of December 31, 2015, Lenders One had total assets of $4.9 million and total liabilities of $3.7 million. As of December 31, 2014, Lenders One had total assets of $7.7 million and total liabilities of $6.7 million. As of December 31, 2015, Wholesale One and Residential Investor One each had less than $0.1 million in total assets and less than $0.1 million in total liabilities (no comparative amounts for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of fixed assets and contingencies. Actual results could differ materially from those estimates.</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 Accounts receivable are presented net of an allowance for doubtful accounts that represents an amount that we estimate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1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Premises and Equipment, Net </w:t>
      </w:r>
      <w:r>
        <w:rPr>
          <w:rFonts w:ascii="Arial" w:cs="Arial" w:eastAsia="Arial" w:hAnsi="Arial"/>
          <w:sz w:val="16"/>
          <w:szCs w:val="16"/>
          <w:color w:val="auto"/>
        </w:rPr>
        <w:t>- We report premises and equipment, net at cost or estimated fair value at acquisition for premises and equipment recorded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 business combination and depreciate these assets over their estimated useful lives using the straight-line method as follows:</w:t>
      </w:r>
    </w:p>
    <w:p>
      <w:pPr>
        <w:spacing w:after="0" w:line="54" w:lineRule="exact"/>
        <w:rPr>
          <w:sz w:val="20"/>
          <w:szCs w:val="20"/>
          <w:color w:val="auto"/>
        </w:rPr>
      </w:pPr>
    </w:p>
    <w:tbl>
      <w:tblPr>
        <w:tblLayout w:type="fixed"/>
        <w:tblInd w:w="1480" w:type="dxa"/>
        <w:tblCellMar>
          <w:top w:w="0" w:type="dxa"/>
          <w:left w:w="0" w:type="dxa"/>
          <w:bottom w:w="0" w:type="dxa"/>
          <w:right w:w="0" w:type="dxa"/>
        </w:tblCellMar>
      </w:tblPr>
      <w:tr>
        <w:trPr>
          <w:trHeight w:val="27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 years</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6120" w:type="dxa"/>
            <w:vAlign w:val="bottom"/>
          </w:tcPr>
          <w:p>
            <w:pPr>
              <w:ind w:left="480"/>
              <w:spacing w:after="0"/>
              <w:rPr>
                <w:sz w:val="20"/>
                <w:szCs w:val="20"/>
                <w:color w:val="auto"/>
              </w:rPr>
            </w:pPr>
            <w:r>
              <w:rPr>
                <w:rFonts w:ascii="Arial" w:cs="Arial" w:eastAsia="Arial" w:hAnsi="Arial"/>
                <w:sz w:val="18"/>
                <w:szCs w:val="18"/>
                <w:color w:val="auto"/>
              </w:rPr>
              <w:t>5 years</w:t>
            </w:r>
          </w:p>
        </w:tc>
      </w:tr>
      <w:tr>
        <w:trPr>
          <w:trHeight w:val="27"/>
        </w:trPr>
        <w:tc>
          <w:tcPr>
            <w:tcW w:w="23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 years</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6120" w:type="dxa"/>
            <w:vAlign w:val="bottom"/>
          </w:tcPr>
          <w:p>
            <w:pPr>
              <w:ind w:left="480"/>
              <w:spacing w:after="0"/>
              <w:rPr>
                <w:sz w:val="20"/>
                <w:szCs w:val="20"/>
                <w:color w:val="auto"/>
              </w:rPr>
            </w:pPr>
            <w:r>
              <w:rPr>
                <w:rFonts w:ascii="Arial" w:cs="Arial" w:eastAsia="Arial" w:hAnsi="Arial"/>
                <w:sz w:val="18"/>
                <w:szCs w:val="18"/>
                <w:color w:val="auto"/>
              </w:rPr>
              <w:t>3-7 years</w:t>
            </w:r>
          </w:p>
        </w:tc>
      </w:tr>
      <w:tr>
        <w:trPr>
          <w:trHeight w:val="27"/>
        </w:trPr>
        <w:tc>
          <w:tcPr>
            <w:tcW w:w="23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Shorter of useful life, 10 years or the term of the lease</w:t>
            </w:r>
          </w:p>
        </w:tc>
      </w:tr>
      <w:tr>
        <w:trPr>
          <w:trHeight w:val="27"/>
        </w:trPr>
        <w:tc>
          <w:tcPr>
            <w:tcW w:w="234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premises and equipment for impairment whenever events or changes in circumstances indicate that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 For the year ended December 31, 2015, we recognized a $4.1 million premises and equipment impairment loss. See Note 9 for additional information. There were no impairments of premises and equipment for the years ended December 31, 2014 and 2013.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development and purchased software are recorded at cost and amortized using the straight-line method over its estimated useful life.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Software acquired in business combinations is recorded at its fair value and amortized using the straight-line method over its estimated useful life.</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Combinations - </w:t>
      </w:r>
      <w:r>
        <w:rPr>
          <w:rFonts w:ascii="Arial" w:cs="Arial" w:eastAsia="Arial" w:hAnsi="Arial"/>
          <w:sz w:val="18"/>
          <w:szCs w:val="18"/>
          <w:color w:val="auto"/>
        </w:rPr>
        <w:t>We account for acquisitions using the purchase method of accounting in accordance with Financial Accounting Standards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Goodwill - </w:t>
      </w:r>
      <w:r>
        <w:rPr>
          <w:rFonts w:ascii="Arial" w:cs="Arial" w:eastAsia="Arial" w:hAnsi="Arial"/>
          <w:sz w:val="16"/>
          <w:szCs w:val="16"/>
          <w:color w:val="auto"/>
        </w:rPr>
        <w:t>Goodwill represents the excess cost of an acquired business over the fair value of the identifiable tangible and intangible assets acquired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assumed in a business combination. We evaluate goodwill for impairment annually during the fourth quarter or more frequently when an event occurs or circumstances change in a manner that indicates the carrying value may not be recoverable. During 2015, we changed the measurement date of our annual goodwill impairment test from November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to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in order to better align our measurement date with our financial projections. There was no impact of this change.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The discounted cash flow method is based on the present value of projected cash flows. Forecasts of future cash flows are based on our estimate of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sales and operating expenses, based primarily on estimated pricing, sales volumes, market segment share, cost trends and general economic conditions. Certain estimates of discounted cash flows involve businesses with limited financial history and developing revenue models. The estimated cash flows are discounted using a rate that represents our weighted average cost of capital. For the years ended December 31, 2015 and 2014, we recognized goodwill impairment losses of $55.7 million and $37.5 million, respectively (no comparative amount in 2013). See Note 10 for additional information.</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Intangible Assets, Net - </w:t>
      </w:r>
      <w:r>
        <w:rPr>
          <w:rFonts w:ascii="Arial" w:cs="Arial" w:eastAsia="Arial" w:hAnsi="Arial"/>
          <w:sz w:val="17"/>
          <w:szCs w:val="17"/>
          <w:color w:val="auto"/>
        </w:rPr>
        <w:t>Identified intangible assets consist primarily of customer related intangible assets, operating agreements, trademarks and trade</w:t>
      </w:r>
      <w:r>
        <w:rPr>
          <w:rFonts w:ascii="Arial" w:cs="Arial" w:eastAsia="Arial" w:hAnsi="Arial"/>
          <w:sz w:val="17"/>
          <w:szCs w:val="17"/>
          <w:b w:val="1"/>
          <w:bCs w:val="1"/>
          <w:color w:val="auto"/>
        </w:rPr>
        <w:t xml:space="preserve"> </w:t>
      </w:r>
      <w:r>
        <w:rPr>
          <w:rFonts w:ascii="Arial" w:cs="Arial" w:eastAsia="Arial" w:hAnsi="Arial"/>
          <w:sz w:val="17"/>
          <w:szCs w:val="17"/>
          <w:color w:val="auto"/>
        </w:rPr>
        <w:t>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For the year ended December 31, 2015, we recognized impairments of intangible assets of $11.9 million (no comparative amounts in 2014 and 2013). See Note 10 for additional information on impairments.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Debt Issuance Costs - </w:t>
      </w:r>
      <w:r>
        <w:rPr>
          <w:rFonts w:ascii="Arial" w:cs="Arial" w:eastAsia="Arial" w:hAnsi="Arial"/>
          <w:sz w:val="18"/>
          <w:szCs w:val="18"/>
          <w:color w:val="auto"/>
        </w:rPr>
        <w:t>Debt issuance costs are capitalized and amortized to interest expense through maturity of the related debt using the effective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Long-term debt is reported net of applicable discount or premium. The debt discount or premium is amortized to interest expense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of the related debt using the effective interest method.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an exit price, representing the amount that would be received for an asset or paid to transfer a liability in</w:t>
      </w:r>
      <w:r>
        <w:rPr>
          <w:rFonts w:ascii="Arial" w:cs="Arial" w:eastAsia="Arial" w:hAnsi="Arial"/>
          <w:sz w:val="18"/>
          <w:szCs w:val="18"/>
          <w:b w:val="1"/>
          <w:bCs w:val="1"/>
          <w:color w:val="auto"/>
        </w:rPr>
        <w:t xml:space="preserve"> </w:t>
      </w:r>
      <w:r>
        <w:rPr>
          <w:rFonts w:ascii="Arial" w:cs="Arial" w:eastAsia="Arial" w:hAnsi="Arial"/>
          <w:sz w:val="18"/>
          <w:szCs w:val="18"/>
          <w:color w:val="auto"/>
        </w:rPr>
        <w:t>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 The currency of the primary economic environment in which our operations are conducted is the United States dollar. Therefore,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as income or expenses, as appropriate.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equal to a discretionary percentage determined by us. We recorded expenses of $1.0 million, $0.9 million and $0.4 million for the years ended December 31, 2015, 2014 and 2013, respectively, related to our discretionary amounts contributed.</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Share-Based Compensation - </w:t>
      </w:r>
      <w:r>
        <w:rPr>
          <w:rFonts w:ascii="Arial" w:cs="Arial" w:eastAsia="Arial" w:hAnsi="Arial"/>
          <w:sz w:val="18"/>
          <w:szCs w:val="18"/>
          <w:color w:val="auto"/>
        </w:rPr>
        <w:t>Share-based compensation is accounted for under the provisions of ASC Topic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ASC Topic 718, the cost of employee services received in exchange for an award of equity instruments is generally measured based on the grant date fair value of the award. Share-based awards that do not require future service are expensed immediately. Share-based employee awards that require future service are recognized over the relevant service period. Further, as required under ASC Topic 718, we estimate forfeitures for share-based awards that are not expected to vest.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by dividing net income attributable to Altisource by the weighted average number of shares of common stock outstanding for the period. Diluted net income per share reflects the assumed conversion of all dilutive securities.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recognize revenue from the services we provide in accordance with ASC Topic 605,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ASC Topic 605 sets</w:t>
      </w:r>
      <w:r>
        <w:rPr>
          <w:rFonts w:ascii="Arial" w:cs="Arial" w:eastAsia="Arial" w:hAnsi="Arial"/>
          <w:sz w:val="16"/>
          <w:szCs w:val="16"/>
          <w:b w:val="1"/>
          <w:bCs w:val="1"/>
          <w:color w:val="auto"/>
        </w:rPr>
        <w:t xml:space="preserve"> </w:t>
      </w:r>
      <w:r>
        <w:rPr>
          <w:rFonts w:ascii="Arial" w:cs="Arial" w:eastAsia="Arial" w:hAnsi="Arial"/>
          <w:sz w:val="16"/>
          <w:szCs w:val="16"/>
          <w:color w:val="auto"/>
        </w:rPr>
        <w:t>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58" w:lineRule="exact"/>
        <w:rPr>
          <w:sz w:val="20"/>
          <w:szCs w:val="20"/>
          <w:color w:val="auto"/>
        </w:rPr>
      </w:pPr>
    </w:p>
    <w:p>
      <w:pPr>
        <w:jc w:val="both"/>
        <w:ind w:left="240"/>
        <w:spacing w:after="0" w:line="271" w:lineRule="auto"/>
        <w:rPr>
          <w:sz w:val="20"/>
          <w:szCs w:val="20"/>
          <w:color w:val="auto"/>
        </w:rPr>
      </w:pPr>
      <w:r>
        <w:rPr>
          <w:rFonts w:ascii="Arial" w:cs="Arial" w:eastAsia="Arial" w:hAnsi="Arial"/>
          <w:sz w:val="17"/>
          <w:szCs w:val="17"/>
          <w:i w:val="1"/>
          <w:iCs w:val="1"/>
          <w:color w:val="auto"/>
        </w:rPr>
        <w:t>Mortgage Services segment</w:t>
      </w:r>
      <w:r>
        <w:rPr>
          <w:rFonts w:ascii="Arial" w:cs="Arial" w:eastAsia="Arial" w:hAnsi="Arial"/>
          <w:sz w:val="17"/>
          <w:szCs w:val="17"/>
          <w:color w:val="auto"/>
        </w:rPr>
        <w:t>: We recognize revenue for the majority of the services we provide when the services have been performed. For default</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services and certain property preservation services, we recognize revenue over the period during which we perform the related services, with full recognition upon recording the related foreclosure deed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 Reimbursable expenses of $107.2 million, $137.4 million and $102.0 million incurred for the years ended December 31, 2015, 2014 and 2013, respectively, are included in revenue with an equal offsetting expense included in cost of revenue primarily related to our property preservation and default processing services. These amounts are recognized on a gross basis, principally because we have complete control over selection of vendors and the vendor relationship is with us, rather than with our customers.</w:t>
      </w:r>
    </w:p>
    <w:p>
      <w:pPr>
        <w:spacing w:after="0" w:line="179"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i w:val="1"/>
          <w:iCs w:val="1"/>
          <w:color w:val="auto"/>
        </w:rPr>
        <w:t>Financial Services segment</w:t>
      </w:r>
      <w:r>
        <w:rPr>
          <w:rFonts w:ascii="Arial" w:cs="Arial" w:eastAsia="Arial" w:hAnsi="Arial"/>
          <w:sz w:val="18"/>
          <w:szCs w:val="18"/>
          <w:color w:val="auto"/>
        </w:rPr>
        <w:t>: We generally earn our fees for asset recovery management services as a percentage of the amount we collect on delinquent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receivables and charged-off mortgages on behalf of our clients and recognize revenue upon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earn and recognize revenue on a per-person, per-call or per-minute basis as the related services are performed.</w:t>
      </w:r>
    </w:p>
    <w:p>
      <w:pPr>
        <w:spacing w:after="0" w:line="188"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i w:val="1"/>
          <w:iCs w:val="1"/>
          <w:color w:val="auto"/>
        </w:rPr>
        <w:t>Technology Services segment</w:t>
      </w:r>
      <w:r>
        <w:rPr>
          <w:rFonts w:ascii="Arial" w:cs="Arial" w:eastAsia="Arial" w:hAnsi="Arial"/>
          <w:sz w:val="18"/>
          <w:szCs w:val="18"/>
          <w:color w:val="auto"/>
        </w:rPr>
        <w:t>: For our software services, we charge based on the number of loans on the system or on a per-transaction basis.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transactional revenue when the service is provided and other revenue monthly based on the number of loans processed or services provided. In addition, we charge fees for professional services engagements, which consist primarily of time and materials agreements with customers that are generally billed and recognized as the hours are worked.</w:t>
      </w:r>
    </w:p>
    <w:p>
      <w:pPr>
        <w:spacing w:after="0" w:line="187" w:lineRule="exact"/>
        <w:rPr>
          <w:sz w:val="20"/>
          <w:szCs w:val="20"/>
          <w:color w:val="auto"/>
        </w:rPr>
      </w:pPr>
    </w:p>
    <w:p>
      <w:pPr>
        <w:jc w:val="both"/>
        <w:ind w:left="240"/>
        <w:spacing w:after="0" w:line="286" w:lineRule="auto"/>
        <w:rPr>
          <w:sz w:val="20"/>
          <w:szCs w:val="20"/>
          <w:color w:val="auto"/>
        </w:rPr>
      </w:pPr>
      <w:r>
        <w:rPr>
          <w:rFonts w:ascii="Arial" w:cs="Arial" w:eastAsia="Arial" w:hAnsi="Arial"/>
          <w:sz w:val="16"/>
          <w:szCs w:val="16"/>
          <w:color w:val="auto"/>
        </w:rPr>
        <w:t xml:space="preserve">For Equator software applications, we recognize revenue from arrangements with multiple deliverables in accordance with ASC Subtopic 605-25,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Multiple-Element Arrangements </w:t>
      </w:r>
      <w:r>
        <w:rPr>
          <w:rFonts w:ascii="Arial" w:cs="Arial" w:eastAsia="Arial" w:hAnsi="Arial"/>
          <w:sz w:val="16"/>
          <w:szCs w:val="16"/>
          <w:color w:val="auto"/>
        </w:rPr>
        <w:t>(“ASC 605-25”), and Securities and Exchange Commission (“SEC”) Staff Accounting Bulletin Topic 13,</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(“SAB Topic 13”). ASC 605-25 and SAB Topic 13 require each deliverable within a multiple-deliverable revenue arrangement to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We derive revenue from platform services fees, professional services fees and other services. We do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69"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color w:val="auto"/>
        </w:rPr>
        <w:t>For Mortgage Builder software applications, we recognize subscription revenues ratably over the contract term, beginning on the commencement date of each contract. Revenues for usage-based transactions are generally recognized as the usage occurs, as that is the point when the fee becomes fixed or determinable. We generally invoice customers on a monthly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240"/>
        <w:spacing w:after="0" w:line="279" w:lineRule="auto"/>
        <w:rPr>
          <w:sz w:val="20"/>
          <w:szCs w:val="20"/>
          <w:color w:val="auto"/>
        </w:rPr>
      </w:pPr>
      <w:r>
        <w:rPr>
          <w:rFonts w:ascii="Arial" w:cs="Arial" w:eastAsia="Arial" w:hAnsi="Arial"/>
          <w:sz w:val="17"/>
          <w:szCs w:val="17"/>
          <w:color w:val="auto"/>
        </w:rPr>
        <w:t>We provide information technology infrastructure services to Ocwen Financial Corporation and its subsidiaries (“Ocwen”), Altisource Residential Corporation (“Residential”) and Altisource Asset Management Corporation (“AAMC”) and charge for these services primarily based on the number of employees that are using the applicable systems and the number and type of licensed platforms used by Ocwen, Residential and AAMC. We record revenue associated with implementation services upon completion and maintenance ratably over the related service period.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Significant areas of judgment include the period over which we recognize property preservation revenue and certain default management services revenue.</w:t>
      </w:r>
    </w:p>
    <w:p>
      <w:pPr>
        <w:spacing w:after="0" w:line="2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account for certain income and expense items differently for financial reporting purposes and income tax purposes. We recognize</w:t>
      </w:r>
      <w:r>
        <w:rPr>
          <w:rFonts w:ascii="Arial" w:cs="Arial" w:eastAsia="Arial" w:hAnsi="Arial"/>
          <w:sz w:val="17"/>
          <w:szCs w:val="17"/>
          <w:b w:val="1"/>
          <w:bCs w:val="1"/>
          <w:color w:val="auto"/>
        </w:rPr>
        <w:t xml:space="preserve"> </w:t>
      </w:r>
      <w:r>
        <w:rPr>
          <w:rFonts w:ascii="Arial" w:cs="Arial" w:eastAsia="Arial" w:hAnsi="Arial"/>
          <w:sz w:val="17"/>
          <w:szCs w:val="17"/>
          <w:color w:val="auto"/>
        </w:rPr>
        <w:t>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2015, the Company early-adopted FASB Accounting Standards Update (“ASU”) No. 2015-17, </w:t>
      </w:r>
      <w:r>
        <w:rPr>
          <w:rFonts w:ascii="Arial" w:cs="Arial" w:eastAsia="Arial" w:hAnsi="Arial"/>
          <w:sz w:val="16"/>
          <w:szCs w:val="16"/>
          <w:i w:val="1"/>
          <w:iCs w:val="1"/>
          <w:color w:val="auto"/>
        </w:rPr>
        <w:t>Income Taxes (Topic 740): Balance Sheet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Deferred Taxes</w:t>
      </w:r>
      <w:r>
        <w:rPr>
          <w:rFonts w:ascii="Arial" w:cs="Arial" w:eastAsia="Arial" w:hAnsi="Arial"/>
          <w:sz w:val="16"/>
          <w:szCs w:val="16"/>
          <w:color w:val="auto"/>
        </w:rPr>
        <w:t>. This standard simplifies the presentation of deferred taxes by requiring that deferred tax assets and deferred tax liabilities be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non-current in an entity’s balance sheet. We have adopted this standard prospectively. Accordingly, prior periods were not retrospectively adjusted.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Tax laws are complex and subject to different interpretations by the taxpayer and respective governmental taxing authorities. Significant judgment is required in determining tax expense and in evaluating tax positions including evaluating uncertainties 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May 2014,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In August 2015, in response to stakeholders’ requests to defer the effective date of ASU 2014-09 and in consideration of feedback received through extensive outreach with preparers, practitioners and users of financial statements, the FASB deferred the effective date for all entities by one year.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2015, FASB issued ASU No.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 of the beginning of the year that includes that interim period. The Company does not expect the adoption of this standard to have a material impact on its results of operations or financial position.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FASB issued ASU No.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This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reporting period. Early adoption is permitted for financial statements that have not been previously issued. As of December 31, 2015, the Company’s total non-current assets were $421.9 million (including other assets of $19.3 million), net long-term debt (including current portion) was $534.4 million and debt issuance costs, net of amortization, were $6.2 million (included in other assets). As of December 31, 2015, adoption of this ASU would have reduced other assets and net long-term debt by $6.2 million. Consequently, the Company does not expect the adoption of this standard to have a material impact on its results of operations or financial position.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2015, FASB issued ASU No. 2015-16, </w:t>
      </w:r>
      <w:r>
        <w:rPr>
          <w:rFonts w:ascii="Arial" w:cs="Arial" w:eastAsia="Arial" w:hAnsi="Arial"/>
          <w:sz w:val="18"/>
          <w:szCs w:val="18"/>
          <w:i w:val="1"/>
          <w:iCs w:val="1"/>
          <w:color w:val="auto"/>
        </w:rPr>
        <w:t>Business Combinations (Topic 805): Simplifying the Accounting for Measurement-Period Adjustments</w:t>
      </w:r>
      <w:r>
        <w:rPr>
          <w:rFonts w:ascii="Arial" w:cs="Arial" w:eastAsia="Arial" w:hAnsi="Arial"/>
          <w:sz w:val="18"/>
          <w:szCs w:val="18"/>
          <w:color w:val="auto"/>
        </w:rPr>
        <w:t>. This standard requires that adjustments to provisional amounts that are identified during the measurement period are recognized in the reporting period in which the adjustment amounts are determined rather than recognizing the adjustments retrospectively. The standard also requires that the acquirer records, in the same period’s financial statements, the effect on earnings of changes in depreciation, amortization or other income effects, if any, as a result of the change to the provisional amounts, calculated as if the accounting had been completed at the acquisition date.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2016, FASB issued ASU No. 2016-01,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Liabilities</w:t>
      </w:r>
      <w:r>
        <w:rPr>
          <w:rFonts w:ascii="Arial" w:cs="Arial" w:eastAsia="Arial" w:hAnsi="Arial"/>
          <w:sz w:val="17"/>
          <w:szCs w:val="17"/>
          <w:color w:val="auto"/>
        </w:rPr>
        <w:t>. This standard will require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15, 2017, including interim periods within that reporting period. Early adoption is not permitted. The Company is currently evaluating the impact this new guidance may have on its results of operations and financial position.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new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this new guidance may have on its results of operations and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Ocwen is our largest customer. Ocwen purchases certain mortgage services and technology services from us under the terms of master services agreements and amendments to master services agreements (collectively, the “Service Agreements”) with terms extending through August 2025. Certain of the Service Agreements, among other things, contain a “most favored nation” provision and the parties to the Service Agreements have the right to renegotiate pricing. Ocwen has also agreed not to develop similar fee-based businesses that would directly or indirectly compete with the services provided by Altisource to Ocwen with respect to the Homeward Residential, Inc. (“Homeward”) and Residential Capital, LLC (“ResCap”) portfolios. In addition, Ocwen purchases certain origination services from Altisource under an agreement that extends through January 2017.</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7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Financial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30%</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2015, 2014 and 2013, we generated revenue from Ocwen of $631.6 million, $650.7 million and $499.3 million, respectively. Services provided to Ocwen during such periods and reported in the Mortgage Services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included real estate asset management and sales, residential property valuation, trustee management services, property inspection, property preservation and insurance services. Services provided to Ocwen and reported in the Financial Services segment included mortgage charge-off collections. Services provided to Ocwen and reported in the Technology Services segment included information technology infrastructure management and software applications including our software platforms. As of December 31, 2015, accounts receivable from Ocwen totaled $38.2 million, $20.4 million of which was billed and $17.8 million of which was unbilled (see Note 7 for additional information on billed and unbilled accounts receivable).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years ended December 31, 2015, 2014 and 2013, we recognized revenue of $216.9 million, $256.0 million and $161.9 million, respectively, related to the portfolios serviced by Ocwen when a party other than Ocwen selected Altisource as the service provider. These amounts are not included in deriving revenue from Ocwen as a percentage of revenue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TRANSACTIONS WITH RELATED PARTIES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January 16, 2015, William C. Erbey served as our Chairman as well as the Executive Chairman of Ocwen and Chairman of each of Home Loan Servicing Solutions, Ltd. (“HLSS”), Residential and AAMC. Effective January 16, 2015, Mr. Erbey stepped down as the Executive Chairman of Ocwen and Chairman of each of Altisource, HLSS, Residential and AAMC and is no longer a member of the Board of Directors for any of these companies. Consequently, these companies are no longer related parties of Altisource, as defined by FASB ASC Topic 850,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The disclosures in this note are limited to the periods that each of Ocwen, HLSS, Residential and AAMC were related parties of Altisource and are not necessarily reflective of current activities with these former related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2014 and 2013, we generated revenue from Ocwen of $650.7 million and $499.3 million, respectively. For the period from January 1, 2015 through January 16, 2015, we estimated that we generated revenue from Ocwen of $22.9 million. Services provided to Ocwen during such periods included real estate asset management and sales, residential property valuation, trustee management services, property inspection and preservation, insurance services, mortgage charge-off collections, information technology infrastructure management and software applications including our software platforms. As of December 31, 2014, accounts receivable from Ocwen totaled $37.4 million, $22.8 million of which was billed and $14.6 million of which was unbilled (see Note 7 for additional information on billed and unbilled accounts receivable).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Selling, General and Administrative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times, we have used Ocwen’s contractors and/or employees to support Altisource related services. Ocwen generally bills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years ended December 31, 2014 and 2013, Ocwen billed us $38.6 million and $20.0 million, respectively, for these items. For the period from January 1, 2015 through January 16, 2015, we estimated that we incurred $1.9 million of expenses related to these items. These amounts are reflected as a component of cost of revenue in the consolidated statements of operations.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provide certain other services to Ocwen and Ocwen provides certain other services to us in connection with Support Services Agreements. These services included such areas as human resources, vendor management, vendor oversight, corporate services, facilities related services, quality assurance, quantitative analytics, tax and treasury. Billings for these services were generally based on the fully-allocated cost of providing the service based on an estimate of the time and expense of providing the service or estimates thereof. For the years ended December 31, 2014 and 2013, we billed Ocwen $4.5 million and $2.8 million, respectively, for these items. For the years ended December 31, 2014 and 2013, Ocwen billed us $6.1 million and $4.6 million, respectively, for these items. Of the January 2015 billings to Ocwen, we estimated that $0.1 million related to the period from January 1, 2015 through January 16, 2015. Of the January 2015 billings from Ocwen, we estimated that $0.3 million related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from January 1, 2015 through January 16, 2015. These amounts are reflected as a component of selling, general and administrative expenses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accounts payable and accrued expenses payable to Ocwen totaled $11.6 million (see Note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Term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was not less than 1.50%. On February 15, 2013, Ocwen repaid the outstanding principal amount of this loan and all accrued and unpaid interest and the term loan was terminated. Interest income related to this loan was $0.8 million for the year ended December 31, 2013 (no comparative amounts for 2015 and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Related to Fee-Based Businesses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5). Altisource entered into an agreement with Ocwen on April 12, 2013 to establish additional terms related to our services in connection with the ResCap fee-based businesses (see Note 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 and HLSS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July 2011, we acquired an equity interest in Correspondent One S.A. (“Correspondent One”). Correspondent One purchased closed conforming and government guaranteed residential mortgages from approved mortgage bankers. On March 31, 2013, we sold our 49% interest in Correspondent One to Ocwen for $12.6 million. Prior to the sale to Ocwen, we provided Correspondent One certain finance, human resources, legal support, facilities, technology, vendor management and insurance risk management services under a support services agreement. For the year ended December 31, 2013, we billed Correspondent One less than $0.1 million (no comparative amounts for 2015 and 2014). This amount is reflected as a component of selling, general and administrative expenses in the consolidated statements of operations. We also provided certain origination related services to Correspondent One. We earned revenue of $0.1 million for the year ended December 31, 2013 for these services (no comparative amounts for 2015 and 2014).</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years ended December 31, 2014 and 2013, we billed HLSS $0.9 million and $0.7 million, respectively. For the period from January 1, 2015 through January 16, 2015, our billings to HLSS were immaterial. These amounts are reflected as a reduction of selling, general and administrative expenses in the consolidated statements of operations. As of December 31, 2014, accounts receivable from HLSS was $0.1 million (see Note 7 for additional information on billed accounts receivable).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Residential and AAMC were separated from Altisource on December 21, 2012, their equity was distributed to our shareholders on December 24, 2012 and they are each separate publicly traded companies. Residential is focused on acquiring and managing single family rental properties throughout the United States. Residential has historically acquired its rental properties primarily through the acquisition of sub-performing and non-performing mortgage loan portfolios. However, given evolving market conditions, commencing in 2015, Residential expanded its acquisition strategy to opportunistically acquire portfolios of single family rental properties. Residential also commenced a program to begin purchasing properties on a one-by-one basis sourcing listed properties from the Multiple Listing Service and alternative listing sources. AAMC’s primary business is to provide portfolio management and corporate governance services to investment vehicles that own real estate assets. Currently, AAMC’s primary client is Residential.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governing certain ongoing relationships between Altisource, Residential and AAMC, we entered into certain agreements with Residential and AAMC. We have agreements, which extend through 2027, to provide Residential with renovation management, lease management, property management and real estate owned asset management services. In addition, we have agreements with Residential and AAMC pursuant to which we may provide services such as finance, human resources, facilities,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and insurance risk management. Further, we have separate agreements for certain services related to income tax matters, trademark licenses and technology products and services.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2014 and 2013, we generated revenue from Residential of $16.0 million and $2.6 million, respectively, under these services agreement. For the period from January 1, 2015 through January 16, 2015, we estimated that we generated revenue from Residential of $1.0 million. These amounts are reflected in revenue in the consolidated statements of operations. This excludes revenue from services we provided to Residential’s loans serviced by Ocwen or other loan servicers where we were retained by Ocwen or Residential’s other loan servicers. The revenue associated with Residential’s loans serviced by Ocwen is included in Ocwen related party revenue for the years ended December 31, 2014 and 2013. As of December 31, 2014, accounts receivable from Residential was $11.3 million (see Note 7 for additional information on billed accounts receivable).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 ended December 31, 2014, we billed AAMC $1.0 million under these services agreements, $0.1 million of which is reflected in revenue and $0.9 million of which is reflected as a component of selling, general and administrative expenses in the consolidated statements of operations. For the year ended December 31, 2013, we billed AAMC $0.5 million under these services agreements, less than $0.1 million of which is reflected in revenue and $0.5 million of which is reflected as a component of selling, general and administrative expenses in the consolidated statements of operations. For the period from January 1, 2015 through January 16, 2015, our billings to AAMC were immaterial. As of December 31, 2014, accounts receivable from AAMC was $0.1 million (see Note 7 for additional information on billed accounts receivable).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RentRange, Investability and Onit Solutions Acquisitions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October 9, 2015, we acquired GoldenGator, LLC (doing business as RentRange</w:t>
      </w:r>
      <w:r>
        <w:rPr>
          <w:rFonts w:ascii="Arial" w:cs="Arial" w:eastAsia="Arial" w:hAnsi="Arial"/>
          <w:sz w:val="22"/>
          <w:szCs w:val="22"/>
          <w:color w:val="auto"/>
          <w:vertAlign w:val="superscript"/>
        </w:rPr>
        <w:t>®</w:t>
      </w:r>
      <w:r>
        <w:rPr>
          <w:rFonts w:ascii="Arial" w:cs="Arial" w:eastAsia="Arial" w:hAnsi="Arial"/>
          <w:sz w:val="16"/>
          <w:szCs w:val="16"/>
          <w:color w:val="auto"/>
        </w:rPr>
        <w:t>), REIsmart, LLC (doing business as Investability</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and Onit Solutions, LLC, a support company for RentRange and Investability (collectively, the “Acquired RentRange and Investability Businesses”).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search and acquisition platform that utilizes data and analytics to allow real estate investors to access the estimated cash flow, capitalization rate, net yield and market value of properties for sale in the United States. The purchase price of $24.8 million was composed of $17.5 million in cash and 247 thousand shares of restricted common stock of the Company with a value of $7.3 million as of the closing date. The restricted stock is subject to transfer restrictions and potential forfeiture provisions upon issuance. These restrictions and forfeiture provisions will be removed over a four year period, subject to meeting certain continued employment conditions with the Company and meeting certain acquisition related escrow release conditions. The Acquired RentRange and Investability Businesses are not material in relation to the Company’s results of operations or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7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Databases/other</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19,565</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25,183</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24,792</w:t>
            </w: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17, 2015, we acquired CastleLine Holdings, LLC and its subsidiaries (“CastleLine”), a specialty risk management and insurance services firm. CastleLine provides financial products and services to parties involved in the origination, underwriting, purchase and securitization of residential mortgages.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 The CastleLine acquisition is not material in relation to the Company’s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7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2,501</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Databases/other</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w:t>
            </w:r>
          </w:p>
        </w:tc>
      </w:tr>
      <w:tr>
        <w:trPr>
          <w:trHeight w:val="237"/>
        </w:trPr>
        <w:tc>
          <w:tcPr>
            <w:tcW w:w="7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34,405</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3"/>
        </w:trPr>
        <w:tc>
          <w:tcPr>
            <w:tcW w:w="7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4"/>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33,443</w:t>
            </w: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 Acquisition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21, 2014, we acquired certain assets and assumed certain liabilities of Owners Advantage, LLC (“Owners”). Owners is a self-directed online real estate marketplace. We paid $19.8 million at closing in cash and agreed to pay additional contingent consideration of up to an additional $7.0 million over two years following the closing (“Owners Earn Out”), based on Adjusted Revenue (as defined in the purchase agreement). At closing, we estimated the fair value of the Owners Earn Out to be $1.9 million determined based on the present value of future estimated Owners Earn Out payments. After the acquisition date, the allocation of the purchase price was adjusted based upon information that subsequently became available relating to acquisition date working capital, resulting in a payment to the sellers of less than $0.1 million. The Owners acquisition and the adjustment to the preliminary allocation of the purchase price are not material in relation to the Company’s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89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3"/>
        </w:trPr>
        <w:tc>
          <w:tcPr>
            <w:tcW w:w="8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19,775</w:t>
            </w:r>
          </w:p>
        </w:tc>
      </w:tr>
      <w:tr>
        <w:trPr>
          <w:trHeight w:val="237"/>
        </w:trPr>
        <w:tc>
          <w:tcPr>
            <w:tcW w:w="8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21,767</w:t>
            </w:r>
          </w:p>
        </w:tc>
      </w:tr>
      <w:tr>
        <w:trPr>
          <w:trHeight w:val="27"/>
        </w:trPr>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8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64"/>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21,745</w:t>
            </w:r>
          </w:p>
        </w:tc>
      </w:tr>
      <w:tr>
        <w:trPr>
          <w:trHeight w:val="20"/>
        </w:trPr>
        <w:tc>
          <w:tcPr>
            <w:tcW w:w="8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Builder Acquisition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12, 2014, we acquired certain assets and assumed certain liabilities of Mortgage Builder Software, Inc. (“Mortgage Builder”) pursuant to a Purchase and Sale Agreement dated July 18, 2014 (the “Purchase and Sale Agreement”). Mortgage Builder is a provider of residential mortgage loan origination and servicing software systems. Pursuant to the terms of the Purchase and Sale Agreement, we paid $15.7 million at closing in cash (net of closing working capital adjustments). Additionally, the Purchase</w:t>
      </w:r>
    </w:p>
    <w:p>
      <w:pPr>
        <w:sectPr>
          <w:pgSz w:w="11900" w:h="16838" w:orient="portrait"/>
          <w:cols w:equalWidth="0" w:num="1">
            <w:col w:w="11420"/>
          </w:cols>
          <w:pgMar w:left="240" w:top="125" w:right="239" w:bottom="96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96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Sale Agreement provides for the payment of up to $7.0 million in potential additional consideration (the “MB Earn-Out”) based on Adjusted Revenue (as defined in the Purchase and Sale Agreement) in the three consecutive 12-month periods following closing. At closing, we estimated the fair value of the MB Earn-Out to be $1.6 million determined based on the present value of future estimated MB Earn-Out payments. After the acquisition date, the allocation of the purchase price was adjusted based upon information that subsequently became available relating to acquisition date working capital, resulting in an obligation of the sellers to pay the Company $0.2 million. The Mortgage Builder acquisition and the adjustment to the preliminary allocation of the purchase price are not material in relation to the Company’s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89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3"/>
        </w:trPr>
        <w:tc>
          <w:tcPr>
            <w:tcW w:w="8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8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1,102</w:t>
            </w:r>
          </w:p>
        </w:tc>
      </w:tr>
      <w:tr>
        <w:trPr>
          <w:trHeight w:val="27"/>
        </w:trPr>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Premises and equipment, net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8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9,135</w:t>
            </w:r>
          </w:p>
        </w:tc>
      </w:tr>
      <w:tr>
        <w:trPr>
          <w:trHeight w:val="27"/>
        </w:trPr>
        <w:tc>
          <w:tcPr>
            <w:tcW w:w="8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18,038</w:t>
            </w:r>
          </w:p>
        </w:tc>
      </w:tr>
      <w:tr>
        <w:trPr>
          <w:trHeight w:val="243"/>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
        </w:trPr>
        <w:tc>
          <w:tcPr>
            <w:tcW w:w="8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64"/>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17,088</w:t>
            </w:r>
          </w:p>
        </w:tc>
      </w:tr>
      <w:tr>
        <w:trPr>
          <w:trHeight w:val="20"/>
        </w:trPr>
        <w:tc>
          <w:tcPr>
            <w:tcW w:w="8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additional information on the impairment of Technology Services goodwill for the year ended December 31, 2015, which includes Mortgage Builder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 Acquisition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15, 2013, we completed the acquisition of all of the outstanding limited liability company interests of Equator, LLC (“Equator”) pursuant to a Purchase and Sale Agreement dated August 19, 2013 (the “Purchase Agreement”). Pursuant to the terms of the Purchase Agreement, we paid $63.4 million at closing in cash (net of closing working capital adjustments), subject to certain post-closing adjustments based on current assets and current liabilities of Equator at closing. After the acquisition date, management adjusted the purchase price allocation based upon information that has subsequently become available relating to acquisition date working capital, resulting in an obligation of the Company to pay the sellers an additional $3.7 million. Consequently, the Company retrospectively adjusted the fair value of the assets acquired and liabilities assumed in the consolidated balance sheet as of December 31, 2013 as well as disclosed the corresponding amount of non-cash investing and financing activities in the consolidated statement of cash flows for the year ended December 31, 2014.</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Purchase Agreement also provided for the payment of up to $80 million in potential additional consideration (“Equator Earn Out”). The Equator Earn Out was determined based on Equator’s Adjusted EBITA (as defined in the Purchase Agreement) in the three consecutive 12-month periods following closing. Up to $22.5 million of the Equator Earn Out could be earned in each of the first two 12-month periods and up to $35.0 million could be earned in the third 12-month period. Any amounts earned upon the achievement of Adjusted EBITA thresholds would be payable through 2017. We could have, at our discretion, paid up to 20% of each payment of any of the Equator Earn Out in shares of Company restricted stock, with the balance paid in cash. As of the closing date, we estimated the fair value of the Equator Earn Out to be $46.0 million, determined based on the present value of future estimated Equator Earn Out payments at such date, which has subsequently been reduced to $0 with a settlement payment of $0.5 million, as further described below and in Note 6. The acquisition date fair value of the Equator Earn Out is included as a component of the purchase price of Equator.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560"/>
        <w:spacing w:after="0"/>
        <w:rPr>
          <w:sz w:val="20"/>
          <w:szCs w:val="20"/>
          <w:color w:val="auto"/>
        </w:rPr>
      </w:pPr>
      <w:r>
        <w:rPr>
          <w:rFonts w:ascii="Arial" w:cs="Arial" w:eastAsia="Arial" w:hAnsi="Arial"/>
          <w:sz w:val="15"/>
          <w:szCs w:val="15"/>
          <w:b w:val="1"/>
          <w:bCs w:val="1"/>
          <w:color w:val="auto"/>
        </w:rPr>
        <w:t>Notes to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Initial purchase price</w:t>
            </w:r>
          </w:p>
        </w:tc>
        <w:tc>
          <w:tcPr>
            <w:tcW w:w="17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vMerge w:val="restart"/>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Adjusted purchase price</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allocation</w:t>
            </w:r>
          </w:p>
        </w:tc>
        <w:tc>
          <w:tcPr>
            <w:tcW w:w="1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allocation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-8255</wp:posOffset>
            </wp:positionV>
            <wp:extent cx="720344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720"/>
            <w:col w:w="7840"/>
          </w:cols>
          <w:pgMar w:left="240" w:top="125" w:right="239" w:bottom="1440" w:gutter="0" w:footer="0" w:header="0"/>
        </w:sectPr>
      </w:pP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9,293</w:t>
            </w:r>
          </w:p>
        </w:tc>
        <w:tc>
          <w:tcPr>
            <w:tcW w:w="1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12,783</w:t>
            </w:r>
          </w:p>
        </w:tc>
      </w:tr>
      <w:tr>
        <w:trPr>
          <w:trHeight w:val="27"/>
        </w:trPr>
        <w:tc>
          <w:tcPr>
            <w:tcW w:w="5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Premises and equipment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16,974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16,974</w:t>
            </w:r>
          </w:p>
        </w:tc>
      </w:tr>
      <w:tr>
        <w:trPr>
          <w:trHeight w:val="27"/>
        </w:trPr>
        <w:tc>
          <w:tcPr>
            <w:tcW w:w="5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trademarks and trade names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43,393</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82,460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82,460</w:t>
            </w:r>
          </w:p>
        </w:tc>
      </w:tr>
      <w:tr>
        <w:trPr>
          <w:trHeight w:val="27"/>
        </w:trPr>
        <w:tc>
          <w:tcPr>
            <w:tcW w:w="5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r>
      <w:tr>
        <w:trPr>
          <w:trHeight w:val="237"/>
        </w:trPr>
        <w:tc>
          <w:tcPr>
            <w:tcW w:w="5920" w:type="dxa"/>
            <w:vAlign w:val="bottom"/>
          </w:tcPr>
          <w:p>
            <w:pPr>
              <w:ind w:left="280"/>
              <w:spacing w:after="0"/>
              <w:rPr>
                <w:sz w:val="20"/>
                <w:szCs w:val="20"/>
                <w:color w:val="auto"/>
              </w:rPr>
            </w:pPr>
            <w:r>
              <w:rPr>
                <w:rFonts w:ascii="Arial" w:cs="Arial" w:eastAsia="Arial" w:hAnsi="Arial"/>
                <w:sz w:val="18"/>
                <w:szCs w:val="18"/>
                <w:color w:val="auto"/>
              </w:rPr>
              <w:t>Assets acquired</w:t>
            </w: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153,316</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156,491</w:t>
            </w:r>
          </w:p>
        </w:tc>
      </w:tr>
      <w:tr>
        <w:trPr>
          <w:trHeight w:val="27"/>
        </w:trPr>
        <w:tc>
          <w:tcPr>
            <w:tcW w:w="5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(36,689)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(36,689)</w:t>
            </w:r>
          </w:p>
        </w:tc>
      </w:tr>
      <w:tr>
        <w:trPr>
          <w:trHeight w:val="27"/>
        </w:trPr>
        <w:tc>
          <w:tcPr>
            <w:tcW w:w="5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5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Liabilities assumed</w:t>
            </w: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(43,385)</w:t>
            </w:r>
          </w:p>
        </w:tc>
      </w:tr>
      <w:tr>
        <w:trPr>
          <w:trHeight w:val="264"/>
        </w:trPr>
        <w:tc>
          <w:tcPr>
            <w:tcW w:w="59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64"/>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109,395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113,106</w:t>
            </w:r>
          </w:p>
        </w:tc>
      </w:tr>
      <w:tr>
        <w:trPr>
          <w:trHeight w:val="20"/>
        </w:trPr>
        <w:tc>
          <w:tcPr>
            <w:tcW w:w="5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75"/>
        </w:trPr>
        <w:tc>
          <w:tcPr>
            <w:tcW w:w="5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Estimated life</w:t>
            </w:r>
          </w:p>
        </w:tc>
      </w:tr>
      <w:tr>
        <w:trPr>
          <w:trHeight w:val="192"/>
        </w:trPr>
        <w:tc>
          <w:tcPr>
            <w:tcW w:w="5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(in years)</w:t>
            </w:r>
          </w:p>
        </w:tc>
      </w:tr>
      <w:tr>
        <w:trPr>
          <w:trHeight w:val="243"/>
        </w:trPr>
        <w:tc>
          <w:tcPr>
            <w:tcW w:w="5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Premises and equipment (excluding internally developed software)</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Internally developed software (included in premises and equipment)</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(weighted average)</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liability for contingent consideration is reflected at fair value and adjusted each reporting period with the change in fair value recognized in earnings. During 2014, the fair value of the contingent consideration related to the Equator acquisition was reduced by $37.9 million with a corresponding increase in earnings based on management’s revised estimates that expected earnings of Equator would be lower than projected at the time of acquisition. The reduction in fair value was recorded in 2014 and is reflected as a reduction of selling, general and administrative expenses in the consolidated statements of operations (see Note 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additional information on the impairment of Technology Services goodwill for the years ended December 31, 2015 and 2014, which includes Equator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agreement provides that (i) Altisource will be a provider to Ocwen of certain services related to the ResCap Business, (ii) Ocwen will not establish similar fee-based businesses that would directly or indirectly compete with Altisource’s services as they relate to the ResCap Business and (iii) 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to Ocwen in connection with the ResCap fee-based businesses agreement.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acquired no tangible assets and assumed no liabilities in connection with the ResCap transaction. However, certain employees as well as practices and processes developed to support the ResCap servicing portfolio were components of the transaction. We accounted for this transaction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prepared a final purchase price allocation and assigned associated asset lives based upon available information at the time of the agreement and until finalized as of December 31, 2013. The agreement consideration of $128.8 million was fully allocated to the customer relationship intangible asset with an estimated average useful life of 7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additional information on the impairment of a portion of the ResCap customer relationship intangible asset for the year ended December 31, 2015.</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to Ocwen with respect to the Homeward servicing portfolio. Additionally, the terms of our Service Agreements with Ocwen were amended to extend the term from 2020 to 2025 (see Note 3). We paid $75.8 million, after a working capital and pre-acquisition net income adjustment payment by Ocwen of $11.1 million, which we received in September 2013.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acquisition date, management adjusted the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and increased current liabilities by $2.0 million based on a subsequent detailed analysis of obligations payable as of the closing date, which we paid in 2014. Consequently, the Company disclosed the corresponding amount of non-cash investing and financing activities in the consolidated statement of cash flows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8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75,609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w:t>
            </w: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79,207</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4"/>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75,817</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91"/>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94"/>
              <w:spacing w:after="0"/>
              <w:rPr>
                <w:sz w:val="20"/>
                <w:szCs w:val="20"/>
                <w:color w:val="auto"/>
              </w:rPr>
            </w:pPr>
            <w:r>
              <w:rPr>
                <w:rFonts w:ascii="Arial" w:cs="Arial" w:eastAsia="Arial" w:hAnsi="Arial"/>
                <w:sz w:val="14"/>
                <w:szCs w:val="14"/>
                <w:b w:val="1"/>
                <w:bCs w:val="1"/>
                <w:color w:val="auto"/>
              </w:rPr>
              <w:t>Estimated life</w:t>
            </w:r>
          </w:p>
        </w:tc>
      </w:t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8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additional information on the impairment of a portion of the Homeward customer relationship intangible asset for the year ended December 31, 2015.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unaudited pro forma consolidated results of operations for the year ended December 31, 2013 as if the Equator, ResCap and Homeward transactions had occurred at the beginning of the period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spacing w:after="0"/>
              <w:rPr>
                <w:sz w:val="14"/>
                <w:szCs w:val="14"/>
                <w:color w:val="auto"/>
              </w:rPr>
            </w:pP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360" w:type="dxa"/>
            <w:vAlign w:val="bottom"/>
          </w:tcPr>
          <w:p>
            <w:pPr>
              <w:spacing w:after="0"/>
              <w:rPr>
                <w:sz w:val="22"/>
                <w:szCs w:val="22"/>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Pro forma</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768,357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854,098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129,973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132,907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unaudited pro forma information presents the combined operating results of Altisource and the Homeward fee-based business, ResCap fee-based business and Equator. The Homeward fee-based business, ResCap fee-based business and Equator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purchase price allocations, the adjustment of interest expense reflecting the portion of our senior secured term loan used in the Homeward fee-based business, ResCap fee-based business and Equator transactions and to reflect the impact of income taxes on the pro forma adjustments utilizing Altisource’s effective income tax rate.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opportunities and cost savings will be achieved. These pro forma results do not purport to be indicative of the results that would have actually been obtained if the transactions occurred as of the beginning of the period presented, nor is the pro forma data intended to be a projection of results that may be obtained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the acquisitions of Equator in 2013 and Mortgage Builder and Owners in 2014. The fair value of the liabilities for acquisition related contingent consideration were $3.9 million and $11.6 million as of December 31, 2015 and 2014, respectively. We measure the liabilities for acquisition related contingent consideration using Level 3 inputs as they are determined based on the present value of future estimated payments, which include sensitivities pertaining to discount rates and financial projections. There were no transfers between different levels during the periods presented.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2015, we reached an agreement with the former owners of Equator to extinguish any liability for the Equator Earn Out in exchange for $0.5 million. In connection with this settlement, we reduced the liability for the Equator Earn Out to $0 and recognized a $7.6 million increase in earnings. In 2014, the Company recorded a change in the fair value of the Equator Earn Out of $37.9 million (see Note 5). These transactions are reflected as a reduction in selling, general and administrative expenses in the consolidated statements of operations (see Note 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goodwill impairment losses of $55.7 million and $37.5 million for the years ended December 31, 2015 and 2014, respectively, based on fair value measurements. In addition, the Company recorded an intangible asset impairment losses of $11.9 million and a premises and equipment impairment loss of $4.1 million for the year ended December 31, 2015, based on fair value measurements. These fair value measurements were based on inputs classified as Level 3 in the valuation hierarchy (see Notes 9 and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at December 31, 2015 and 2014 that are not carried at fair value. The fair values are estimated using market information and what the Company believes to be appropriate valuation methodologies under GAAP: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2014</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179,327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536,598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469,523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591,543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467,319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and financial liabilities primarily include cash and cash equivalents, restricted cash and long-term debt. Cash and cash equivalents and restricted cash are carried at amounts that approximate their fair value due to the short-term nature of these instruments and were measured using Level 1 inputs. The fair value of our long-term debt is based on quoted market prices. Based on the frequency of trading, we do not believe that there is an active market for our debt. Therefore, the quoted prices are considered Level 2 inputs.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73,532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61,326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134,858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(22,675)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105,023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112,183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asset management and default management services for which we generally recognize revenues over the service delivery period but bill following completion of the service. We also include in unbilled receivables amounts that are earned during a month and billed in the following month.</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Bad debt expense amounted to $5.5 million, $16.3 million and $2.5 million for the years ended December 31, 2015, 2014 and 2013, respectively, and is included in selling, general and administrative expenses in the consolidated statements of operations. Bad debt expense increased during 2014 primarily driven by the default management services business. A change in many of our default management services customers’ business models and fourth quarter 2014 discussions with those customers led us to believe that a portion of the accounts receivable balance was no longer collectible.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23,567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PREMISES AND EQUIPMENT, NET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360" w:type="dxa"/>
            <w:vAlign w:val="bottom"/>
            <w:gridSpan w:val="2"/>
          </w:tcPr>
          <w:p>
            <w:pPr>
              <w:spacing w:after="0"/>
              <w:rPr>
                <w:sz w:val="20"/>
                <w:szCs w:val="20"/>
                <w:color w:val="auto"/>
              </w:rPr>
            </w:pPr>
            <w:r>
              <w:rPr>
                <w:rFonts w:ascii="Arial" w:cs="Arial" w:eastAsia="Arial" w:hAnsi="Arial"/>
                <w:sz w:val="17"/>
                <w:szCs w:val="17"/>
                <w:color w:val="auto"/>
              </w:rPr>
              <w:t>Premises and equipment, net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140,799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36,032</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34,069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223,131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(95,372)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119,121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127,759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$36.5 million, $29.0 million and $19.1 million for the years ended December 31, 2015, 2014 and 2013, respectively, and is included in cost of revenue for operating assets and in selling, general and administrative expenses for non-operating assets in the consolidated statements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2015, we recognized a $4.1 million premises and equipment impairment loss in our Technology Services segment primarily driven by the Company’s current projected Technology Services revenue from Ocwen and investment in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technologies provided to Ocwen. There were no impairments of premises and equipment for the years ended December 31, 2014 and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was recorded primarily in connection with the 2015 acquisitions of CastleLine and the Acquired RentRange and Investability Businesses, the 2014 acquisitions of Mortgage Builder and Owners, the 2013 acquisitions of Homeward and Equator, the 2011 acquisitions of Springhouse, LLC and Tracmail and the 2010 acquisition of MPA. Note 5 discusses 2015, 2014 and 2013 acquisitions. Changes in goodwill during the years ended December 31, 2015 and 2014 are summarized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Mortgage</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January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99,414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Mortgage Builder</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Owners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Impairment of Equator goodwill</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90,851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CastleLine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28,125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Acquired RentRange and Investability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Impairment of Technology Services goodwill</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(55,740)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80,423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82,801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second quarter of 2014, management determined that Equator goodwill should be tested for impairment as a result of the decline in fair value of the Equator Earn Out (see Note 15). Consequently, we initiated a quantitative two-step goodwill impairment test by comparing the carrying value of the net assets of Equator to its fair value based on a discounted cash flow analysis. Based on this goodwill assessment, we determined that the fair value of Equator was less than its carrying value and goodwill was impaired. As a result, we recorded an impairment loss of $37.5 million.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our fourth quarter 2014 and 2015 annual goodwill assessments, we elected to bypass the initial analysis of qualitative factors and perform a quantitative two-step goodwill impairment test of all of our reporting units as a result of the goodwill impairment recorded in the second quarter of 2014. We calculated the fair value of each of our reporting units by using a discounted cash flow analysis and concluded that the fair values of the Mortgage Services, Financial Services and Technology Services reporting units exceeded their carrying values by a significant margin in 2014 and that the fair values of the Mortgage Services and Financial Services reporting units exceeded their carrying values by a significant margin in 2015. In 2015, the fair value of the Technology Services reporting unit was less than its carrying value. Accordingly, we performed step two of the impairment test for the Technology Services reporting unit and determined that the remaining $55.7 million of goodwill was impaired. As a result, we recorded an estimated $55.7 million impairment loss in the fourth quarter of 2015. This goodwill impairment was primarily driven by the Company’s current projected Technology Services revenue from Ocwen and investment in technologies provided to Ocwen. There were no additional goodwill impairments as of December 31, 2015 and 2014, and there was no goodwill impairment in 2013.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4"/>
                <w:szCs w:val="14"/>
                <w:color w:val="auto"/>
              </w:rPr>
            </w:pPr>
          </w:p>
        </w:tc>
        <w:tc>
          <w:tcPr>
            <w:tcW w:w="2080" w:type="dxa"/>
            <w:vAlign w:val="bottom"/>
            <w:gridSpan w:val="5"/>
          </w:tcPr>
          <w:p>
            <w:pPr>
              <w:ind w:left="80"/>
              <w:spacing w:after="0"/>
              <w:rPr>
                <w:sz w:val="20"/>
                <w:szCs w:val="20"/>
                <w:color w:val="auto"/>
              </w:rPr>
            </w:pPr>
            <w:r>
              <w:rPr>
                <w:rFonts w:ascii="Arial" w:cs="Arial" w:eastAsia="Arial" w:hAnsi="Arial"/>
                <w:sz w:val="14"/>
                <w:szCs w:val="14"/>
                <w:b w:val="1"/>
                <w:bCs w:val="1"/>
                <w:color w:val="auto"/>
              </w:rPr>
              <w:t>Accumulated amortization</w:t>
            </w:r>
          </w:p>
        </w:tc>
        <w:tc>
          <w:tcPr>
            <w:tcW w:w="220" w:type="dxa"/>
            <w:vAlign w:val="bottom"/>
          </w:tcPr>
          <w:p>
            <w:pPr>
              <w:spacing w:after="0"/>
              <w:rPr>
                <w:sz w:val="14"/>
                <w:szCs w:val="14"/>
                <w:color w:val="auto"/>
              </w:rPr>
            </w:pPr>
          </w:p>
        </w:tc>
        <w:tc>
          <w:tcPr>
            <w:tcW w:w="19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88"/>
              </w:rPr>
              <w:t>estimated</w:t>
            </w: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useful life (in</w:t>
            </w:r>
          </w:p>
        </w:tc>
        <w:tc>
          <w:tcPr>
            <w:tcW w:w="24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15,244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8,753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related intangible 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(113,725)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209,702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24,646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26,396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327,782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338,497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(130,779)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197,003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245,246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$41.1 million, $37.7 million and $28.2 million for the years ended December 31, 2015, 2014 and 2013,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2016 through 2020 is $32.3 million, $26.7 million, $23.6 million, $21.4 million and $19.5 million,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2015, we recorded an impairment loss of $11.9 million in our Technology Services segment related to customer relationship intangible assets from the 2013 Homeward and ResCap fee-based business acquisitions. These impairments of intangible assets were primarily driven by the Company’s current projected Technology Services revenue from Ocwen and investment in technologies provided to Ocwen. There were no impairments of intangible assets for the years ended December 31, 2014 and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INVESTMENT IN EQUITY AFFILIATE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Correspondent One purchased closed conforming residential mortgages from approved mortgage bankers. Prior to the sale of our interest in Correspondent One to Ocwen on March 31, 2013 (see Note 4),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loss on this investment using the equity method was $0.2 million for the year ended December 31, 2013 (no comparative amounts for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Debt issuance costs, net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8,099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22,267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31,693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44,150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91,871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111,766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16,266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LONG-TERM DEBT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591,543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unamortized discount,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588,614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528,417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582,669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(the percentage increases if the leverage ratio exceeds 3.50 to 1.00). No mandatory prepayments were owed for the year ended December 31,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we repurchased portions of our senior secured term loan with an aggregate par value of $49.0 million at a weighted average discount of 10.3%, resulting in net gains totaling $3.8 million on the early extinguishment of debt. These net gains are included in other income (expense), net in the consolidated statements of operations (see Note 21).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December 31, 2015 was 4.50%.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debt issuance costs were $6.2 million, net of $4.1 million of accumulated amortization. At December 31, 2014, debt issuance costs were $8.1 million, net of $2.2 million of accumulated amortization. Debt issuance costs are included in other assets in the accompanying consolidated balance sheets.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term loans, including amortization of debt issuance costs and the net debt discount, totaled $28.2 million, $23.4 million and $20.3 million for the years ended December 31,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25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40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2017</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2019</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512,818</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5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536,598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5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as of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related contingent consideration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9,032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18,153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20,648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gains on the change in the fair value of Equator earn out liability of $7.6 million and $37.9 million for the years ended December 31, 2015 and 2014, respectively (no comparative amount in 2013). The liability for contingent consideration is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 During 2014, the fair value of the contingent consideration related to the Equator acquisition was reduced by $37.9 million with a corresponding increase in earnings based on management’s revised estimates that expected earnings of Equator will be lower than projected at the time of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SHAREHOLDERS’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we had 25.4 million shares authorized and issued, and 19.0 million shares of common stock outstanding. At December 31, 2014, we had 25.4 million shares authorized and issued, and 20.3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9, 2015, we acquired the Acquired RentRange and Investability Businesses for $24.8 million, which included a cash component and the issuance of 247 thousand shares of restricted common stock of the Company with a value of $7.3 million as of the closing date. The restricted stock is subject to transfer restrictions and potential forfeiture provisions. These restrictions and forfeiture provisions will be removed over a four year period, subject to meeting certain continued employment conditions with the Company and meeting certain acquisition related escrow release conditions. In addition, on July 17, 2015, we acquired CastleLine for $33.4 million, which included a cash component and the issuance of 495 thousand shares of restricted common stock of the Company with a value of $14.4 million as of the closing date. The restrictions related to the common stock issued in connections with the CastleLine acquisition were removed on January 20, 2016. See Note 5 for additional information about these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Altisource share-based awards to officers, directors, key employees and to employees of our affiliates. As of December 31, 2015, 1.6 million share-based awards were available for future grant under the Plan. Expired and forfeited awards are available for reissuance. Vesting and exercise of share-based awards are generally contingent on continued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20, 2015, our shareholders approved a new share repurchase program, which replaced the previous share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prior programs. Under the existing and prior programs, we purchased 2.1 million shares of common stock at an average price of $27.60 per share during the year ended December 31, 2015, 2.5 million shares at an average price of $103.67 per share during the year ended December 31, 2014 and 1.2 million shares at an average price of $116.99 per share during the year ended December 31, 2013. As of December 31, 2015, approximately 1.4 million shares of common stock remain available for repurchase under the new program. Our senior secured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limits the amount we can spend on share repurchases and may prevent repurchases in certain circumstances. As of December 31, 2015, approximately $360 million was available to repurchase shares of our common stock under our senior secured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and officers. We recorded share-based compensation expense of $4.8 million, $2.2 million and $2.4 million for the years ended December 31, 2015, 2014 and 2013, respectively. As of December 31, 2015, estimated unrecognized compensation costs related to share-based awards amounted to $11.4 million, which we expect to recognize over a weighted average remaining requisite service period of approximately 2.65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primarily of a combination of service-based and market-based options.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years or four years with equal annual cliff-vesting and expire on the earlier of ten years</w:t>
      </w:r>
      <w:r>
        <w:rPr>
          <w:rFonts w:ascii="Arial" w:cs="Arial" w:eastAsia="Arial" w:hAnsi="Arial"/>
          <w:sz w:val="17"/>
          <w:szCs w:val="17"/>
          <w:i w:val="1"/>
          <w:iCs w:val="1"/>
          <w:color w:val="auto"/>
        </w:rPr>
        <w:t xml:space="preserve"> </w:t>
      </w:r>
      <w:r>
        <w:rPr>
          <w:rFonts w:ascii="Arial" w:cs="Arial" w:eastAsia="Arial" w:hAnsi="Arial"/>
          <w:sz w:val="17"/>
          <w:szCs w:val="17"/>
          <w:color w:val="auto"/>
        </w:rPr>
        <w:t>after the date of grant or following termination of service. A total of 1.2 million service-based awards were outstanding at December 31, 2015.</w:t>
      </w:r>
    </w:p>
    <w:p>
      <w:pPr>
        <w:spacing w:after="0" w:line="147"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i w:val="1"/>
          <w:iCs w:val="1"/>
          <w:color w:val="auto"/>
        </w:rPr>
        <w:t>Market-Based Options</w:t>
      </w:r>
      <w:r>
        <w:rPr>
          <w:rFonts w:ascii="Arial" w:cs="Arial" w:eastAsia="Arial" w:hAnsi="Arial"/>
          <w:sz w:val="16"/>
          <w:szCs w:val="16"/>
          <w:color w:val="auto"/>
        </w:rPr>
        <w:t>. These option grants generally have two components, each of which vests only upon the achievement of certain criteria.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substantially all market-based awards is 25% upon achievement of the criteria and thereafter the remaining 75% in three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continue in accordance with the provisions of the award agreement. A total of 2.0 million market-based awards were outstanding at December 31, 2015.</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0.9 million stock options (at a weighted average exercise price of $24.21 per share), 0.1 million stock options (at a weighted average exercise price $84.61 per share) and less than 0.1 million stock options (at a weighted average exercise price of $104.84 per share) during the years ended December 31, 2015, 2014 and 2013, respectively.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service-based options was determined using the Black-Scholes option pricing model and the fair value of the market-based options was determined using a lattice (binomial) model. The following assumptions were used to determine the fair value as of the grant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2"/>
          </w:tcPr>
          <w:p>
            <w:pPr>
              <w:ind w:left="48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Binomial</w:t>
            </w:r>
          </w:p>
        </w:tc>
        <w:tc>
          <w:tcPr>
            <w:tcW w:w="1380" w:type="dxa"/>
            <w:vAlign w:val="bottom"/>
          </w:tcPr>
          <w:p>
            <w:pPr>
              <w:jc w:val="right"/>
              <w:ind w:right="120"/>
              <w:spacing w:after="0"/>
              <w:rPr>
                <w:sz w:val="20"/>
                <w:szCs w:val="20"/>
                <w:color w:val="auto"/>
              </w:rPr>
            </w:pPr>
            <w:r>
              <w:rPr>
                <w:rFonts w:ascii="Arial" w:cs="Arial" w:eastAsia="Arial" w:hAnsi="Arial"/>
                <w:sz w:val="14"/>
                <w:szCs w:val="14"/>
                <w:b w:val="1"/>
                <w:bCs w:val="1"/>
                <w:color w:val="auto"/>
              </w:rPr>
              <w:t>Black-Scholes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380"/>
              <w:spacing w:after="0"/>
              <w:rPr>
                <w:sz w:val="20"/>
                <w:szCs w:val="20"/>
                <w:color w:val="auto"/>
              </w:rPr>
            </w:pPr>
            <w:r>
              <w:rPr>
                <w:rFonts w:ascii="Arial" w:cs="Arial" w:eastAsia="Arial" w:hAnsi="Arial"/>
                <w:sz w:val="14"/>
                <w:szCs w:val="14"/>
                <w:b w:val="1"/>
                <w:bCs w:val="1"/>
                <w:color w:val="auto"/>
              </w:rPr>
              <w:t>Binomial</w:t>
            </w:r>
          </w:p>
        </w:tc>
      </w:tr>
      <w:tr>
        <w:trPr>
          <w:trHeight w:val="243"/>
        </w:trPr>
        <w:tc>
          <w:tcPr>
            <w:tcW w:w="1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Risk-free interest rate </w:t>
            </w:r>
            <w:r>
              <w:rPr>
                <w:rFonts w:ascii="Arial" w:cs="Arial" w:eastAsia="Arial" w:hAnsi="Arial"/>
                <w:sz w:val="15"/>
                <w:szCs w:val="15"/>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 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 – 2.34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 – 1.91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0.01 – 2.49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 – 1.81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 – 2.71</w:t>
            </w:r>
          </w:p>
        </w:tc>
      </w:tr>
      <w:tr>
        <w:trPr>
          <w:trHeight w:val="22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Expected stock price</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volatility (%)</w:t>
            </w:r>
          </w:p>
        </w:tc>
        <w:tc>
          <w:tcPr>
            <w:tcW w:w="1380" w:type="dxa"/>
            <w:vAlign w:val="bottom"/>
          </w:tcPr>
          <w:p>
            <w:pPr>
              <w:jc w:val="right"/>
              <w:spacing w:after="0"/>
              <w:rPr>
                <w:sz w:val="20"/>
                <w:szCs w:val="20"/>
                <w:color w:val="auto"/>
              </w:rPr>
            </w:pPr>
            <w:r>
              <w:rPr>
                <w:rFonts w:ascii="Arial" w:cs="Arial" w:eastAsia="Arial" w:hAnsi="Arial"/>
                <w:sz w:val="16"/>
                <w:szCs w:val="16"/>
                <w:color w:val="auto"/>
              </w:rPr>
              <w:t>55.06 – 59.73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55.06 – 59.73</w:t>
            </w:r>
          </w:p>
        </w:tc>
        <w:tc>
          <w:tcPr>
            <w:tcW w:w="1380" w:type="dxa"/>
            <w:vAlign w:val="bottom"/>
          </w:tcPr>
          <w:p>
            <w:pPr>
              <w:jc w:val="right"/>
              <w:spacing w:after="0"/>
              <w:rPr>
                <w:sz w:val="20"/>
                <w:szCs w:val="20"/>
                <w:color w:val="auto"/>
              </w:rPr>
            </w:pPr>
            <w:r>
              <w:rPr>
                <w:rFonts w:ascii="Arial" w:cs="Arial" w:eastAsia="Arial" w:hAnsi="Arial"/>
                <w:sz w:val="16"/>
                <w:szCs w:val="16"/>
                <w:color w:val="auto"/>
              </w:rPr>
              <w:t>37.57 – 45.15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38.38 – 45.15</w:t>
            </w:r>
          </w:p>
        </w:tc>
        <w:tc>
          <w:tcPr>
            <w:tcW w:w="1380" w:type="dxa"/>
            <w:vAlign w:val="bottom"/>
          </w:tcPr>
          <w:p>
            <w:pPr>
              <w:jc w:val="right"/>
              <w:spacing w:after="0"/>
              <w:rPr>
                <w:sz w:val="20"/>
                <w:szCs w:val="20"/>
                <w:color w:val="auto"/>
              </w:rPr>
            </w:pPr>
            <w:r>
              <w:rPr>
                <w:rFonts w:ascii="Arial" w:cs="Arial" w:eastAsia="Arial" w:hAnsi="Arial"/>
                <w:sz w:val="16"/>
                <w:szCs w:val="16"/>
                <w:color w:val="auto"/>
              </w:rPr>
              <w:t>36.35 – 36.76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36.40 – 36.80</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0"/>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Expected option life (in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years)</w:t>
            </w:r>
          </w:p>
        </w:tc>
        <w:tc>
          <w:tcPr>
            <w:tcW w:w="1380" w:type="dxa"/>
            <w:vAlign w:val="bottom"/>
          </w:tcPr>
          <w:p>
            <w:pPr>
              <w:jc w:val="right"/>
              <w:spacing w:after="0"/>
              <w:rPr>
                <w:sz w:val="20"/>
                <w:szCs w:val="20"/>
                <w:color w:val="auto"/>
              </w:rPr>
            </w:pPr>
            <w:r>
              <w:rPr>
                <w:rFonts w:ascii="Arial" w:cs="Arial" w:eastAsia="Arial" w:hAnsi="Arial"/>
                <w:sz w:val="16"/>
                <w:szCs w:val="16"/>
                <w:color w:val="auto"/>
              </w:rPr>
              <w:t>6.00 – 6.25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4.08 – 4.92</w:t>
            </w:r>
          </w:p>
        </w:tc>
        <w:tc>
          <w:tcPr>
            <w:tcW w:w="13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4.36 – 5.83</w:t>
            </w:r>
          </w:p>
        </w:tc>
        <w:tc>
          <w:tcPr>
            <w:tcW w:w="138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4.20 – 6.50</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Fair value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$10.01 – $17.66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$9.91 – $18.05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 – $41.79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$12.66 – $33.62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 – $49.14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91"/>
              </w:rPr>
              <w:t>$16.12 – $41.72</w:t>
            </w:r>
          </w:p>
        </w:tc>
      </w:tr>
      <w:tr>
        <w:trPr>
          <w:trHeight w:val="41"/>
        </w:trPr>
        <w:tc>
          <w:tcPr>
            <w:tcW w:w="1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vested during the years ended December 31:</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1,998</w:t>
            </w: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10,250</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40,761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 during the period</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648"/>
        </w:trPr>
        <w:tc>
          <w:tcPr>
            <w:tcW w:w="544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activity related to our stock options: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exercise</w:t>
            </w:r>
          </w:p>
        </w:tc>
        <w:tc>
          <w:tcPr>
            <w:tcW w:w="2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term</w:t>
            </w:r>
          </w:p>
        </w:tc>
        <w:tc>
          <w:tcPr>
            <w:tcW w:w="260" w:type="dxa"/>
            <w:vAlign w:val="bottom"/>
          </w:tcPr>
          <w:p>
            <w:pPr>
              <w:spacing w:after="0"/>
              <w:rPr>
                <w:sz w:val="12"/>
                <w:szCs w:val="12"/>
                <w:color w:val="auto"/>
              </w:rPr>
            </w:pP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price</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60" w:type="dxa"/>
            <w:vAlign w:val="bottom"/>
          </w:tcPr>
          <w:p>
            <w:pPr>
              <w:spacing w:after="0"/>
              <w:rPr>
                <w:sz w:val="16"/>
                <w:szCs w:val="16"/>
                <w:color w:val="auto"/>
              </w:rPr>
            </w:pP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2,601,892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47,805</w:t>
            </w: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853,510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(161,595)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Outstanding at December 31, 2015</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3,163,125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Exercisable at December 31, 2015</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2,214,051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32,395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 outstanding</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 exercisable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2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Exercise price range</w:t>
            </w: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exercise</w:t>
            </w:r>
          </w:p>
        </w:tc>
        <w:tc>
          <w:tcPr>
            <w:tcW w:w="13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life</w:t>
            </w:r>
          </w:p>
        </w:tc>
        <w:tc>
          <w:tcPr>
            <w:tcW w:w="24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2640" w:type="dxa"/>
            <w:vAlign w:val="bottom"/>
            <w:gridSpan w:val="3"/>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3"/>
              </w:rPr>
              <w:t>(in years</w:t>
            </w:r>
            <w:r>
              <w:rPr>
                <w:rFonts w:ascii="Arial" w:cs="Arial" w:eastAsia="Arial" w:hAnsi="Arial"/>
                <w:sz w:val="14"/>
                <w:szCs w:val="14"/>
                <w:b w:val="1"/>
                <w:bCs w:val="1"/>
                <w:color w:val="auto"/>
                <w:w w:val="93"/>
              </w:rPr>
              <w:t>)</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price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56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Up to $10.00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1,575,003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1,575,003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w w:val="90"/>
              </w:rPr>
              <w:t>$10.01</w:t>
            </w:r>
          </w:p>
        </w:tc>
        <w:tc>
          <w:tcPr>
            <w:tcW w:w="20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$20.00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427,781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64,729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70"/>
        </w:trPr>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$20.01</w:t>
            </w:r>
          </w:p>
        </w:tc>
        <w:tc>
          <w:tcPr>
            <w:tcW w:w="20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$30.00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881,711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470,311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w w:val="90"/>
              </w:rPr>
              <w:t>$30.01</w:t>
            </w:r>
          </w:p>
        </w:tc>
        <w:tc>
          <w:tcPr>
            <w:tcW w:w="20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$40.00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63,880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39,880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0"/>
        </w:trPr>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$40.01</w:t>
            </w:r>
          </w:p>
        </w:tc>
        <w:tc>
          <w:tcPr>
            <w:tcW w:w="20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$50.00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49.06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w w:val="90"/>
              </w:rPr>
              <w:t>$60.01</w:t>
            </w:r>
          </w:p>
        </w:tc>
        <w:tc>
          <w:tcPr>
            <w:tcW w:w="20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$70.00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46,469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70"/>
        </w:trPr>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$70.01</w:t>
            </w:r>
          </w:p>
        </w:tc>
        <w:tc>
          <w:tcPr>
            <w:tcW w:w="20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$80.00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72.78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70"/>
        </w:trPr>
        <w:tc>
          <w:tcPr>
            <w:tcW w:w="560" w:type="dxa"/>
            <w:vAlign w:val="bottom"/>
          </w:tcPr>
          <w:p>
            <w:pPr>
              <w:ind w:left="40"/>
              <w:spacing w:after="0"/>
              <w:rPr>
                <w:sz w:val="20"/>
                <w:szCs w:val="20"/>
                <w:color w:val="auto"/>
              </w:rPr>
            </w:pPr>
            <w:r>
              <w:rPr>
                <w:rFonts w:ascii="Arial" w:cs="Arial" w:eastAsia="Arial" w:hAnsi="Arial"/>
                <w:sz w:val="18"/>
                <w:szCs w:val="18"/>
                <w:color w:val="auto"/>
                <w:w w:val="90"/>
              </w:rPr>
              <w:t>$80.01</w:t>
            </w:r>
          </w:p>
        </w:tc>
        <w:tc>
          <w:tcPr>
            <w:tcW w:w="20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$90.00</w:t>
            </w:r>
            <w:r>
              <w:rPr>
                <w:rFonts w:ascii="Arial" w:cs="Arial" w:eastAsia="Arial" w:hAnsi="Arial"/>
                <w:sz w:val="25"/>
                <w:szCs w:val="25"/>
                <w:color w:val="auto"/>
                <w:vertAlign w:val="superscript"/>
              </w:rPr>
              <w:t>(a)</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23"/>
                <w:szCs w:val="23"/>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9,063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70"/>
        </w:trPr>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$90.01</w:t>
            </w:r>
          </w:p>
        </w:tc>
        <w:tc>
          <w:tcPr>
            <w:tcW w:w="20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$100.00</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71,875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94.31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6,251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$100.01 — $110.00</w:t>
            </w:r>
            <w:r>
              <w:rPr>
                <w:rFonts w:ascii="Arial" w:cs="Arial" w:eastAsia="Arial" w:hAnsi="Arial"/>
                <w:sz w:val="25"/>
                <w:szCs w:val="25"/>
                <w:color w:val="auto"/>
                <w:vertAlign w:val="superscript"/>
              </w:rPr>
              <w:t>(a)</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1,875</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105.11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469</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37"/>
        </w:trPr>
        <w:tc>
          <w:tcPr>
            <w:tcW w:w="5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3,163,125</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2,214,051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00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These options contain market-based components as described above.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 performance options to begin to vest: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35"/>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52"/>
        </w:trPr>
        <w:tc>
          <w:tcPr>
            <w:tcW w:w="7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Vesting price</w:t>
            </w:r>
          </w:p>
        </w:tc>
        <w:tc>
          <w:tcPr>
            <w:tcW w:w="300" w:type="dxa"/>
            <w:vAlign w:val="bottom"/>
          </w:tcPr>
          <w:p>
            <w:pPr>
              <w:spacing w:after="0"/>
              <w:rPr>
                <w:sz w:val="13"/>
                <w:szCs w:val="13"/>
                <w:color w:val="auto"/>
              </w:rPr>
            </w:pPr>
          </w:p>
        </w:tc>
        <w:tc>
          <w:tcPr>
            <w:tcW w:w="15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9"/>
              </w:rPr>
              <w:t>Ordinary</w:t>
            </w:r>
          </w:p>
        </w:tc>
        <w:tc>
          <w:tcPr>
            <w:tcW w:w="280" w:type="dxa"/>
            <w:vAlign w:val="bottom"/>
          </w:tcPr>
          <w:p>
            <w:pPr>
              <w:spacing w:after="0"/>
              <w:rPr>
                <w:sz w:val="13"/>
                <w:szCs w:val="13"/>
                <w:color w:val="auto"/>
              </w:rPr>
            </w:pPr>
          </w:p>
        </w:tc>
        <w:tc>
          <w:tcPr>
            <w:tcW w:w="154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92"/>
        </w:trPr>
        <w:tc>
          <w:tcPr>
            <w:tcW w:w="7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performance</w:t>
            </w:r>
          </w:p>
        </w:tc>
        <w:tc>
          <w:tcPr>
            <w:tcW w:w="280" w:type="dxa"/>
            <w:vAlign w:val="bottom"/>
          </w:tcPr>
          <w:p>
            <w:pPr>
              <w:spacing w:after="0"/>
              <w:rPr>
                <w:sz w:val="16"/>
                <w:szCs w:val="16"/>
                <w:color w:val="auto"/>
              </w:rPr>
            </w:pPr>
          </w:p>
        </w:tc>
        <w:tc>
          <w:tcPr>
            <w:tcW w:w="1540" w:type="dxa"/>
            <w:vAlign w:val="bottom"/>
          </w:tcPr>
          <w:p>
            <w:pPr>
              <w:jc w:val="right"/>
              <w:ind w:right="4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43"/>
        </w:trPr>
        <w:tc>
          <w:tcPr>
            <w:tcW w:w="7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$170.01 — $180.00</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$180.01 — $190.00</w:t>
            </w: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 $190.00</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22,500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55,875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 price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92.29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Other Share-Based Awards</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share-based and similar types of awards are composed of restricted shares and Equity Appreciation Rights (“EARs”).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restricted shares are service-based awards that vest over one to four years with either annual cliff vesting, vesting of all of the restricted shares at the end of the vesting period or vesting beginning after two years of service. The Company granted 0.3 million restricted shares (at a weighted average price of $19.25 per share) during the year ended December 31, 2015. A total of 0.3 million restricted shares were outstanding at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3"/>
                <w:szCs w:val="13"/>
                <w:color w:val="auto"/>
              </w:rPr>
            </w:pPr>
          </w:p>
        </w:tc>
        <w:tc>
          <w:tcPr>
            <w:tcW w:w="1700" w:type="dxa"/>
            <w:vAlign w:val="bottom"/>
          </w:tcPr>
          <w:p>
            <w:pPr>
              <w:jc w:val="right"/>
              <w:ind w:right="435"/>
              <w:spacing w:after="0"/>
              <w:rPr>
                <w:sz w:val="20"/>
                <w:szCs w:val="20"/>
                <w:color w:val="auto"/>
              </w:rPr>
            </w:pPr>
            <w:r>
              <w:rPr>
                <w:rFonts w:ascii="Arial" w:cs="Arial" w:eastAsia="Arial" w:hAnsi="Arial"/>
                <w:sz w:val="14"/>
                <w:szCs w:val="14"/>
                <w:b w:val="1"/>
                <w:bCs w:val="1"/>
                <w:color w:val="auto"/>
              </w:rPr>
              <w:t>Number of</w:t>
            </w:r>
          </w:p>
        </w:tc>
      </w:tr>
      <w:tr>
        <w:trPr>
          <w:trHeight w:val="192"/>
        </w:trPr>
        <w:tc>
          <w:tcPr>
            <w:tcW w:w="9660" w:type="dxa"/>
            <w:vAlign w:val="bottom"/>
          </w:tcPr>
          <w:p>
            <w:pPr>
              <w:spacing w:after="0"/>
              <w:rPr>
                <w:sz w:val="16"/>
                <w:szCs w:val="16"/>
                <w:color w:val="auto"/>
              </w:rPr>
            </w:pPr>
          </w:p>
        </w:tc>
        <w:tc>
          <w:tcPr>
            <w:tcW w:w="1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restricted shares</w:t>
            </w:r>
          </w:p>
        </w:tc>
      </w:tr>
      <w:tr>
        <w:trPr>
          <w:trHeight w:val="243"/>
        </w:trPr>
        <w:tc>
          <w:tcPr>
            <w:tcW w:w="96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26,224</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251,938</w:t>
            </w:r>
          </w:p>
        </w:tc>
      </w:tr>
      <w:tr>
        <w:trPr>
          <w:trHeight w:val="27"/>
        </w:trPr>
        <w:tc>
          <w:tcPr>
            <w:tcW w:w="9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96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9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64"/>
        </w:trPr>
        <w:tc>
          <w:tcPr>
            <w:tcW w:w="966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7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272,326</w:t>
            </w:r>
          </w:p>
        </w:tc>
      </w:tr>
      <w:tr>
        <w:trPr>
          <w:trHeight w:val="20"/>
        </w:trPr>
        <w:tc>
          <w:tcPr>
            <w:tcW w:w="9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EARs provide participating employees of certain divisions of the Company with the potential to receive a percentage of the increase in the value of the applicable division during the term of the EARs. The Company has established EAR plans for three divisions: Consumer Analytics, Document Solutions and Marketplace Solutions. These EAR plans allow for the issuance of EARs representing up to 15% of each of these divisions. The EARs consist of service-based awards and performance-based awards. Service-based EARs generally vest in equal installments on the first, second, third and fourth anniversaries of the grant date. Performance-based EARs generally begin to vest on the date certain performance criteria are achieved by the applicable division of the Company.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 employee. After a holding period of six months and one day, the Company, the applicable division or an affiliate of the Company may redeem the share equivalency units for a payment equal to the then fair market value of the share equivalency units. At the Company’s option, the share equivalency units may be redeemed for cash, shares of Altisource’s common stock under its shareholder approved equity incentive plan, a subordinated note payable or, under certain circumstances where the division has been converted into a company form, shares of that company. Upon the occurrence of certain corporate transactions, including the sale of the division, a qualified initial public offering of the equity of the division or a spin-off of the division, the Company will have the right to repurchase and cancel any outstanding share equivalency units or shares of the division that have been issued in payment of redeemed share equivalency units, and the applicable plan administrator will have the discretion to adjust the terms of the applicable division EAR plan and any outstanding EARs.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granted EARs with a total grant date fair value of $1.1 million during the year ended December 31, 2015 related to the Company’s Consumer Analytics, Document Solutions and Marketplace Solutions divisions. Generally, 25% of these EARs are service-based and 75% of these EARs are performance-based.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EARs (expressed as a percentage of each of the divisions):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Consumer</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Document</w:t>
            </w:r>
          </w:p>
        </w:tc>
        <w:tc>
          <w:tcPr>
            <w:tcW w:w="1140" w:type="dxa"/>
            <w:vAlign w:val="bottom"/>
          </w:tcPr>
          <w:p>
            <w:pPr>
              <w:jc w:val="right"/>
              <w:ind w:right="96"/>
              <w:spacing w:after="0"/>
              <w:rPr>
                <w:sz w:val="20"/>
                <w:szCs w:val="20"/>
                <w:color w:val="auto"/>
              </w:rPr>
            </w:pPr>
            <w:r>
              <w:rPr>
                <w:rFonts w:ascii="Arial" w:cs="Arial" w:eastAsia="Arial" w:hAnsi="Arial"/>
                <w:sz w:val="14"/>
                <w:szCs w:val="14"/>
                <w:b w:val="1"/>
                <w:bCs w:val="1"/>
                <w:color w:val="auto"/>
              </w:rPr>
              <w:t>Marketplace</w:t>
            </w: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Analytics</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Solutions</w:t>
            </w:r>
          </w:p>
        </w:tc>
        <w:tc>
          <w:tcPr>
            <w:tcW w:w="1140" w:type="dxa"/>
            <w:vAlign w:val="bottom"/>
          </w:tcPr>
          <w:p>
            <w:pPr>
              <w:jc w:val="right"/>
              <w:ind w:right="216"/>
              <w:spacing w:after="0"/>
              <w:rPr>
                <w:sz w:val="20"/>
                <w:szCs w:val="20"/>
                <w:color w:val="auto"/>
              </w:rPr>
            </w:pPr>
            <w:r>
              <w:rPr>
                <w:rFonts w:ascii="Arial" w:cs="Arial" w:eastAsia="Arial" w:hAnsi="Arial"/>
                <w:sz w:val="14"/>
                <w:szCs w:val="14"/>
                <w:b w:val="1"/>
                <w:bCs w:val="1"/>
                <w:color w:val="auto"/>
              </w:rPr>
              <w:t>Solutions</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5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The Company intends to issue additional EARs to employees.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for stock options, restricted shares and EARs is recorded net of estimated forfeiture rates ranging from 0% to 40%.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includes service revenue,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Wholesale One and Residential Investor One, consolidated entities not owned by Altisource, and are included in revenue and reduced from net income to arrive at net income attributable to Altisource (see Note 2). The components of revenue were as follows for the years ended December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1"/>
                <w:szCs w:val="21"/>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43"/>
        </w:trPr>
        <w:tc>
          <w:tcPr>
            <w:tcW w:w="7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938,679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662,059</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107,344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137,634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102,478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3,820</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1,051,466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1,078,916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768,357</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as well as depreciation and amortization of operating assets. The components of cost of revenue were as follows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3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156,812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Outside fees and services</w:t>
            </w: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248,278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243,325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193,233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137,634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Technology and telecommunications</w:t>
            </w: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43,177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25,534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687,327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707,180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492,480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risk, sales and marketing roles. This category also includes occupancy costs, professional fees, marketing costs, depreciation and amortization of non-operating assets and other expenses. The components of selling, general and administrative expenses were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0"/>
                <w:szCs w:val="20"/>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43"/>
        </w:trPr>
        <w:tc>
          <w:tcPr>
            <w:tcW w:w="7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27,864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8,022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28,424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28,176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4,633</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5,028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11,663</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220,868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201,733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113,810</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LOSS ON SALE OF HLSS EQUITY SECURITIES, NET OF DIVIDENDS RECEIVED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March 2015, we purchased 1.6 million shares of HLSS common stock in the open market for $30.0 million. This investment was classified as available for sale. On April 6, 2015, HLSS completed the sale of substantially all of its assets to New Residential Investment Corp.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loss of $1.9 million for the year ended December 31, 2015 (no comparative amounts for 2014 and 2013) in connection with our investment in HLSS.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0"/>
                <w:szCs w:val="20"/>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7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Loss in equity affiliate, including impairment loss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22 — INCOME TAXES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3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16"/>
        </w:trPr>
        <w:tc>
          <w:tcPr>
            <w:tcW w:w="6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 - Luxembourg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122,722</w:t>
            </w: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Foreign - U.S.</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9,575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11,125</w:t>
            </w: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 Non-U.S.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8,486</w:t>
            </w:r>
          </w:p>
        </w:tc>
      </w:tr>
      <w:tr>
        <w:trPr>
          <w:trHeight w:val="237"/>
        </w:trPr>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4"/>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53,060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147,265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142,333</w:t>
            </w:r>
          </w:p>
        </w:tc>
      </w:tr>
      <w:tr>
        <w:trPr>
          <w:trHeight w:val="20"/>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consists of the following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20"/>
                <w:szCs w:val="20"/>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62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U.S. Federal</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Non-U.S.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Deferred: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U.S. Federal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 Non-U.S.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received a tax ruling in June 2010 regarding the treatment of certain intangibles that exist for purposes of determining the Company’s taxable income, which expires in 2019 unless extended or renewed. This ruling does not have a material impact on our deferred tax assets or liabilities. Income tax computed by applying the Luxembourg statutory income tax rate of 29.2% differs from income tax computed at the effective tax rate primarily because of the effect of the tax ruling and differing tax rates in multiple jurisdictions.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under tax holidays in certain geographies in India, the Philippines and Uruguay. The India tax holidays are effective through 2020, and may be extended if certain additional requirements are satisfied. The Philippines tax holiday is effective through 2016, and may also be extended. We operate in a Uruguay free trade zone that provides an indefinite future tax benefit. The tax holidays are conditional upon our meeting certain employment and investment thresholds. The impact of these tax holidays decreased foreign taxes by $0.8 million ($0.04 per diluted share), $0.9 million ($0.04 per diluted share) and $0.2 million ($0.01 per diluted share) for the years ended December 31, 2015, 2014 and 2013, respectively.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43"/>
        </w:trPr>
        <w:tc>
          <w:tcPr>
            <w:tcW w:w="8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 and other reserves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deferred tax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4"/>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deferred tax assets,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13,940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federal and state tax credits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Non-U.S. deferred tax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r>
      <w:tr>
        <w:trPr>
          <w:trHeight w:val="243"/>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assets,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liabilities,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valuation allowance is provided when it is deemed more likely than not that some portion or all of a deferred tax asset will not be realized. In determining whether a valuation allowance is needed, we considered estimates of future taxable income, future reversals of temporary differences, the tax character of gains and losses and the impact of tax planning strategies that can be implemented, if warranted. The net increase in valuation allowance of $0.4 million during 2015 relates to an increase in foreign losses generated in the current year that the Company believes will more likely than not be realized.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provided Luxembourg deferred taxes on cumulative earnings of non-Luxembourg affiliates as we have chosen to indefinitely reinvest these earnings. The earnings reinvested as of December 31, 2015 were approximately $63.5 million, which if distributed would result in additional tax due totaling approximately $12.5 million.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had a deferred tax asset of $5.4 million as of December 31, 2015 relating to the U.S. federal, state and foreign net operating losses compared to $13.9 million as of December 31, 2014. Of this amount, $1.6 million as of December 31, 2015 related to state net operating losses subject to a valuation allowance compared to $1.8 million as of December 31, 2014, and $2.3 million as of December 31, 2015 related to Luxembourg net operating losses subject to a valuation allowance compared to $1.7 million as of December 31, 2014. The Company has not recognized the U.S. federal net operating loss carryforwards of $13.6 million as of December 31, 2015 related to stock options exercised compared to $13.6 million as of December 31, 2014. If realized, the benefit would be an increase to additional paid-in capital. The gross amount of net operating losses available for carryover to future years is approximately $14.8 million as of December 31, 2015 compared to $35.7 million as of December 31, 2014. Of this amount, $10.1 million as of December 31, 2015 compared to $12.2 million as of December 31, 2014 relates to Nationwide Credit, Inc. (“NCI”) for periods prior to our acquisition of NCI and is subject to Section 382 of the Internal Revenue Code (the “Code”) which limits their use to approximately $1.3 million per year. These losses are scheduled to expire between the years 2022 and 2029.</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had a deferred tax asset of $2.6 million and $1.2 million as of December 31, 2015 and 2014, respectively, relating to the U.S. federal and state tax credits. The U.S. federal credit carryforward is scheduled to expire between 2032 and 2035. The state tax credit carryforwards are scheduled to expire between 2017 and 2025.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distribution of the Company in connection with the separation from Ocwen during 2009 was intended to be a tax-free transaction under Section 355 of the Code. To the extent Ocwen does recognize tax under Section 355 of the Code, Altisource has agreed to indemnify Ocwen. In addition, we have agreed to indemnify Ocwen should the expected tax treatments not be upheld upon review or audit to the extent related to our operating results. The Company does not anticipate a material obligation under this indemnity.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gridSpan w:val="2"/>
          </w:tcPr>
          <w:p>
            <w:pPr>
              <w:ind w:left="6880"/>
              <w:spacing w:after="0"/>
              <w:rPr>
                <w:sz w:val="20"/>
                <w:szCs w:val="20"/>
                <w:color w:val="auto"/>
              </w:rPr>
            </w:pPr>
            <w:r>
              <w:rPr>
                <w:rFonts w:ascii="Arial" w:cs="Arial" w:eastAsia="Arial" w:hAnsi="Arial"/>
                <w:sz w:val="14"/>
                <w:szCs w:val="14"/>
                <w:b w:val="1"/>
                <w:bCs w:val="1"/>
                <w:color w:val="auto"/>
                <w:w w:val="83"/>
              </w:rPr>
              <w:t>2015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43"/>
        </w:trPr>
        <w:tc>
          <w:tcPr>
            <w:tcW w:w="61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29.22 %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29.22 %</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Permanent difference related to Luxembourg intangible assets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7"/>
              </w:rPr>
              <w:t>(13.56)</w:t>
            </w:r>
          </w:p>
        </w:tc>
        <w:tc>
          <w:tcPr>
            <w:tcW w:w="100" w:type="dxa"/>
            <w:vAlign w:val="bottom"/>
          </w:tcPr>
          <w:p>
            <w:pPr>
              <w:spacing w:after="0"/>
              <w:rPr>
                <w:sz w:val="21"/>
                <w:szCs w:val="21"/>
                <w:color w:val="auto"/>
              </w:rPr>
            </w:pPr>
          </w:p>
        </w:tc>
        <w:tc>
          <w:tcPr>
            <w:tcW w:w="1680" w:type="dxa"/>
            <w:vAlign w:val="bottom"/>
          </w:tcPr>
          <w:p>
            <w:pPr>
              <w:jc w:val="right"/>
              <w:ind w:right="92"/>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(23.59)</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0.76</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State tax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rPr>
              <w:t>0.24</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Uncertain taxes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16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(0.63)</w:t>
            </w:r>
          </w:p>
        </w:tc>
      </w:tr>
      <w:tr>
        <w:trPr>
          <w:trHeight w:val="237"/>
        </w:trPr>
        <w:tc>
          <w:tcPr>
            <w:tcW w:w="61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r>
        <w:trPr>
          <w:trHeight w:val="264"/>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15.57 %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The Company has open tax years in the United States (2011 through 2014), India (2010 through 2015) and Luxembourg (2010 through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amount of unrecognized tax benefits for the years ended December 31:</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66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0"/>
                <w:szCs w:val="20"/>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243"/>
        </w:trPr>
        <w:tc>
          <w:tcPr>
            <w:tcW w:w="6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Amount of unrecognized tax benefits as of the beginning of the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Increases as a result of tax positions taken in a prior period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64"/>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Amount of unrecognized tax benefits as of the end of the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$2.1 million and $1.3 million as of December 31, 2015 and 2014, respectively. The Company recognizes interest, if any, related to unrecognized tax benefits as a component of income tax expense. As of December 31, 2015 and 2014, the Company had recorded accrued interest and penalties related to unrecognized tax benefits of $0.2 million and $0.1 million,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an expected settlement within the next twelve months, an estimated $1.5 million of unrecognized tax benefits may be recognized during that twelve 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shareholders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all dilutive securities using the treasury stock method.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20"/>
                <w:szCs w:val="20"/>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43"/>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134,484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129,973</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23,072</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1,981</w:t>
            </w: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30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23,634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25,053</w:t>
            </w:r>
          </w:p>
        </w:tc>
      </w:tr>
      <w:tr>
        <w:trPr>
          <w:trHeight w:val="230"/>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5.63</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4"/>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2015, 2014 and 2013, 0.6 million options, less than 0.1 million options and less than 0.1 million options, respectively, that were anti-dilutive have been excluded from the computation of diluted EPS. These options were anti-dilutive and excluded from the computation of diluted EPS because their exercise price was greater than the average market price of our common stock. Also excluded from the computation of diluted EPS are 0.3 million options, 0.1 million options and 0.1 million options for the years ended December 31, 2015, 2014 and 2013, respectively, granted for shares that are issuable upon the achievement of certain market and performance criteria related to our common stock price and an annualized rate of return to investors that have not yet been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duty by current or former Ocwen Financial Corporation’s officers and directors were filed in or transferred to the Court. The Court subsequently consolidated these actions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denied Altisource Portfolio Solutions S.A.’s motion to dismiss the Sokolowski complaint without prejudice to re-file following appointment of lead counsel for the consolidated action and the filing or designation of an operative complaint. Altisource Portfolio Solutions S.A. intends to vigorously defend the lawsuit and to move to dismiss all claims against it.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certain of its current or former officers and directors, Altisource Portfolio Solutions S.A. and other companies. The suit seeks recovery of an unspecified amount of damages for alleged breaches of fiduciary duty by the current or former Ocwen Financial Corporation’s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the forthcoming motions to dismiss in the second and third cases have not yet been adjudicated, a stay has been entered in the third case, discovery has not occurred in any of the cases and significant legal and factual issues remain to be determined in all three cases.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Ocwen is our largest customer and 60% of our 2015 revenue was from Ocwen. Additionally, 21% of our 2015 revenue was earned on the portfolios serviced by Ocwen, when a party other than Ocwen selected Altisource as the service provider. During the fourth quarter of 2015, Altisource recorded an estimated loss in connection with an anticipated payment to Ocwen for obtaining a release of liability for Altisource related to Ocwen’s settlement of a particular case. While currently being negotiated, the ultimate resolution of the matter is not expected to result in a material loss in excess of the amount accrued.</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Ocwen has been and is subject to a number of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the New York Department of Financial Services (“NYDFS”), which is assessing the adequacy and effectiveness of Ocwen’s operations, including information technology systems, (iii) required to perform benchmarking pricing studies for transactions with related parties (as that term is set forth in Ocwen’s consent order with the NYDFS), which are subject to periodic review by the monitor imposed by the NYDFS and (iv) subject to requirements under an agreement with the Consumer Finance Protection Bureau and various states attorneys general and agencies that imposed specific servicing guidelines and oversight by an independent national monitor. Additionally, as Ocwen has publicly disclosed, it has reached a resolution with the staff of the SEC related to an investigation of certain matters, including Ocwen’s business dealings with related party entities, including Altisource, and its amendments to its 2013 Annual Report on Form 10-K and Quarterly Report on Form 10-Q for the quarterly period ended March 31, 2014, pursuant to which it will pay a civil monetary penalty and consent to the entry of an administrative order requiring that it cease and desist from violations of certain provisions of the Securities Exchange Act of 1934.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6, 2015, HLSS completed the sale of substantially all of its assets to NRZ. As a result, as of September 30, 2015, NRZ owns the rights to approximately 77% of Ocwen’s non-government-sponsored enterprise (“non-GSE”) servicing rights. In connection with the sale, Ocwen and HLSS/NRZ amended their agreement to, among other things, eliminate HLSS/NRZ’s ability to transfer servicing away from Ocwen for a servicer rating downgrade for two years (unless HLSS/NRZ determine in good faith that a trustee, or other party entitled to terminate, intends to terminate Ocwen as the servicer) and extend the term of the initial six-year agreements by up to an additional two years. Under the amended agreement, HLSS/NRZ has the right (not necessarily the ability) to transfer servicing away from Ocwen if, among other circumstances, Ocwen fails to maintain certain minimum servicer ratings on or after April 6, 2017. As of December 31, 2015, we believe Ocwen’s servicer ratings were below the minimum rating.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Ocwen does not achieve the minimum required servicer ratings prior to April 6, 2017, HLSS/NRZ has the right to transfer certain of Ocwen’s servicing pursuant to its contract. Further, certain bondholders of Ocwen-serviced residential mortgage-backed securities (“RMBS”) have alleged that Ocwen, as servicer of certain mortgage-backed securities trusts, defaulted on these servicing agreements. Bondholders of RMBS may attempt to replace Ocwen as servicer as a result of such ratings downgrades or the alleged defaults.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may have significant and varied effects on Ocwen’s business and our continuing relationships with Ocwen. For example, Ocwen may be required to alter the way it conducts business, including the parties it contracts with for services (including information technology and software services), it may be required to seek changes to its existing pricing structure with us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following events occurred, Altisource’s revenue would be significantly lower and our results of operations would be materially adversely affected, including from the impairment or write-off of goodwill, intangible assets, property and equipment, other assets and accounts receivable:</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 and Altisource fails to be retained as a service provider</w:t>
      </w: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portfolio. Additionally, we have several growth initiatives that focus on diversifying and growing our revenue and customer base. Our major growth initiatives include:</w:t>
      </w:r>
    </w:p>
    <w:p>
      <w:pPr>
        <w:spacing w:after="0" w:line="1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grow our Servicer Solutions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grow our Origination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grow Owners.com, our consumer real estate offering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grow our Real Estate Investor Solutions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sales and marketing strategy to support each of these initiatives.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would be successful or our operations would be profitable.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lease certain premises and equipment under various operating lease agreements. Future minimum lease payments at December 31, 2015 under non-cancelable operating leases with an original term exceeding one year are as follows:</w:t>
      </w:r>
    </w:p>
    <w:p>
      <w:pPr>
        <w:spacing w:after="0" w:line="312"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6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Operating lease</w:t>
            </w:r>
          </w:p>
        </w:tc>
        <w:tc>
          <w:tcPr>
            <w:tcW w:w="0" w:type="dxa"/>
            <w:vAlign w:val="bottom"/>
          </w:tcPr>
          <w:p>
            <w:pPr>
              <w:spacing w:after="0"/>
              <w:rPr>
                <w:sz w:val="1"/>
                <w:szCs w:val="1"/>
                <w:color w:val="auto"/>
              </w:rPr>
            </w:pPr>
          </w:p>
        </w:tc>
      </w:tr>
      <w:tr>
        <w:trPr>
          <w:trHeight w:val="192"/>
        </w:trPr>
        <w:tc>
          <w:tcPr>
            <w:tcW w:w="5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7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43"/>
        </w:trPr>
        <w:tc>
          <w:tcPr>
            <w:tcW w:w="5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15,085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59,341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operating lease expense, net of sublease income, was $20.0 million, $20.1 million and $12.8 million for the years ended December 31, 2015, 2014 and 2013, respectively. The operating leases generally relate to office locations and reflect customary lease terms which range from 1 to 7 years in duration.</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acquisition of Equator (see Note 5), we executed a standby letter of credit in the amount of $0.7 million related to an office lease, secured by a restricted cash balance. In addition, we executed standby letters of credit totaling $1.7 million for three other office leases.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consolidated balance sheets. Amounts held in escrow and trust accounts were $66.6 million and $62.5 million at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classify our businesses into three reportable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loan originators, home investors and other sellers and buyers of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provides a portfolio of software, data analytics and information technology infrastructure management services that support the efficient and compliant management of mortgage and real estate activities and marketplace transactions across the lifecycle. In addition,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include eliminations of transactions between the reportable segments, interest expense and costs related to corporate support functions including executive, finance, law, compliance, human resources, vendor management, risk and sales and marketing costs not allocated to the business units. Intercompany transactions primarily consist of information technology infrastructure management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17"/>
          </w:tcPr>
          <w:p>
            <w:pPr>
              <w:jc w:val="center"/>
              <w:ind w:right="300"/>
              <w:spacing w:after="0"/>
              <w:rPr>
                <w:sz w:val="20"/>
                <w:szCs w:val="20"/>
                <w:color w:val="auto"/>
              </w:rPr>
            </w:pPr>
            <w:r>
              <w:rPr>
                <w:rFonts w:ascii="Arial" w:cs="Arial" w:eastAsia="Arial" w:hAnsi="Arial"/>
                <w:sz w:val="14"/>
                <w:szCs w:val="14"/>
                <w:b w:val="1"/>
                <w:bCs w:val="1"/>
                <w:color w:val="auto"/>
                <w:w w:val="92"/>
              </w:rPr>
              <w:t>For the year ended December 31, 2015</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Financial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88,448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215,482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(39,112)</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1,051,466</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474,169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187,835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(35,483)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687,327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364,139</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105,153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29,902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67,106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220,868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71,785</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71,785</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w w:val="99"/>
              </w:rPr>
              <w:t>Change in the fair value of Equator earn out liability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(7,591)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(66,449)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(70,735)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79,077</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(26,642)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207,832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(66,388)</w:t>
            </w:r>
          </w:p>
        </w:tc>
        <w:tc>
          <w:tcPr>
            <w:tcW w:w="40" w:type="dxa"/>
            <w:vAlign w:val="bottom"/>
          </w:tcPr>
          <w:p>
            <w:pPr>
              <w:spacing w:after="0"/>
              <w:rPr>
                <w:sz w:val="19"/>
                <w:szCs w:val="19"/>
                <w:color w:val="auto"/>
              </w:rPr>
            </w:pPr>
          </w:p>
        </w:tc>
        <w:tc>
          <w:tcPr>
            <w:tcW w:w="100" w:type="dxa"/>
            <w:vAlign w:val="bottom"/>
            <w:gridSpan w:val="3"/>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(97,377)</w:t>
            </w:r>
          </w:p>
        </w:tc>
        <w:tc>
          <w:tcPr>
            <w:tcW w:w="20" w:type="dxa"/>
            <w:vAlign w:val="bottom"/>
          </w:tcPr>
          <w:p>
            <w:pPr>
              <w:spacing w:after="0"/>
              <w:rPr>
                <w:sz w:val="19"/>
                <w:szCs w:val="19"/>
                <w:color w:val="auto"/>
              </w:rPr>
            </w:pPr>
          </w:p>
        </w:tc>
        <w:tc>
          <w:tcPr>
            <w:tcW w:w="120" w:type="dxa"/>
            <w:vAlign w:val="bottom"/>
            <w:gridSpan w:val="3"/>
            <w:vMerge w:val="restart"/>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53,060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28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240" w:type="dxa"/>
            <w:vAlign w:val="bottom"/>
            <w:tcBorders>
              <w:bottom w:val="single" w:sz="8" w:color="auto"/>
            </w:tcBorders>
            <w:gridSpan w:val="2"/>
            <w:vMerge w:val="continue"/>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3"/>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gridSpan w:val="3"/>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7"/>
          </w:tcPr>
          <w:p>
            <w:pPr>
              <w:jc w:val="center"/>
              <w:ind w:right="30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Mortgage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Financial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227,300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(40,026)</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1,078,916</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486,387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64,338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192,426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(35,971)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707,180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371,736</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18,791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32,393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201,733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w w:val="99"/>
              </w:rPr>
              <w:t>Change in the fair value of Equator earn out liability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(37,924)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(59,918)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170,454</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(23,424)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212,274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15,432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vMerge w:val="restart"/>
          </w:tcPr>
          <w:p>
            <w:pPr>
              <w:spacing w:after="0"/>
              <w:rPr>
                <w:sz w:val="19"/>
                <w:szCs w:val="19"/>
                <w:color w:val="auto"/>
              </w:rPr>
            </w:pP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3"/>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(83,342)</w:t>
            </w:r>
          </w:p>
        </w:tc>
        <w:tc>
          <w:tcPr>
            <w:tcW w:w="20" w:type="dxa"/>
            <w:vAlign w:val="bottom"/>
          </w:tcPr>
          <w:p>
            <w:pPr>
              <w:spacing w:after="0"/>
              <w:rPr>
                <w:sz w:val="19"/>
                <w:szCs w:val="19"/>
                <w:color w:val="auto"/>
              </w:rPr>
            </w:pPr>
          </w:p>
        </w:tc>
        <w:tc>
          <w:tcPr>
            <w:tcW w:w="120" w:type="dxa"/>
            <w:vAlign w:val="bottom"/>
            <w:gridSpan w:val="3"/>
            <w:vMerge w:val="restart"/>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147,265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280" w:type="dxa"/>
            <w:vAlign w:val="bottom"/>
            <w:tcBorders>
              <w:bottom w:val="single" w:sz="8" w:color="auto"/>
            </w:tcBorders>
            <w:gridSpan w:val="2"/>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24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3"/>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gridSpan w:val="3"/>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7"/>
          </w:tcPr>
          <w:p>
            <w:pPr>
              <w:jc w:val="center"/>
              <w:ind w:right="18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Mortgage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Technology</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Services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599,319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92,958</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100,724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768,357</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376,639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55,328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(22,099)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492,480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222,680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46,522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15,571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12,435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39,282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176,158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22,059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162,067</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(19,595)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3"/>
              </w:rPr>
              <w:t>Income (loss) before income taxes and non-controlling</w:t>
            </w: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176,022</w:t>
            </w:r>
          </w:p>
        </w:tc>
        <w:tc>
          <w:tcPr>
            <w:tcW w:w="40" w:type="dxa"/>
            <w:vAlign w:val="bottom"/>
          </w:tcPr>
          <w:p>
            <w:pPr>
              <w:spacing w:after="0"/>
              <w:rPr>
                <w:sz w:val="19"/>
                <w:szCs w:val="19"/>
                <w:color w:val="auto"/>
              </w:rPr>
            </w:pPr>
          </w:p>
        </w:tc>
        <w:tc>
          <w:tcPr>
            <w:tcW w:w="3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22,049</w:t>
            </w:r>
          </w:p>
        </w:tc>
        <w:tc>
          <w:tcPr>
            <w:tcW w:w="60" w:type="dxa"/>
            <w:vAlign w:val="bottom"/>
          </w:tcPr>
          <w:p>
            <w:pPr>
              <w:spacing w:after="0"/>
              <w:rPr>
                <w:sz w:val="19"/>
                <w:szCs w:val="19"/>
                <w:color w:val="auto"/>
              </w:rPr>
            </w:pPr>
          </w:p>
        </w:tc>
        <w:tc>
          <w:tcPr>
            <w:tcW w:w="3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4"/>
            <w:vMerge w:val="restart"/>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(61,422)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142,333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320" w:type="dxa"/>
            <w:vAlign w:val="bottom"/>
            <w:gridSpan w:val="3"/>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4"/>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4"/>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4"/>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4"/>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Mortgage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6"/>
              </w:rPr>
              <w:t>Technology</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Services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December 31, 2015</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325,461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53,757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165,778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182,986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727,982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2014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313,550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56,096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250,059</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168,516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788,221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9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9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8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88,274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27,082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119,121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127,759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QUARTERLY FINANCIAL DATA (UNAUDITED)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2015 and 2014.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 xml:space="preserve">2015 quarter ended </w:t>
            </w:r>
            <w:r>
              <w:rPr>
                <w:rFonts w:ascii="Arial" w:cs="Arial" w:eastAsia="Arial" w:hAnsi="Arial"/>
                <w:sz w:val="8"/>
                <w:szCs w:val="8"/>
                <w:b w:val="1"/>
                <w:bCs w:val="1"/>
                <w:color w:val="auto"/>
                <w:w w:val="95"/>
              </w:rPr>
              <w:t>(1)(2)(3)(4)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0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43"/>
        </w:trPr>
        <w:tc>
          <w:tcPr>
            <w:tcW w:w="20" w:type="dxa"/>
            <w:vAlign w:val="bottom"/>
          </w:tcPr>
          <w:p>
            <w:pPr>
              <w:spacing w:after="0"/>
              <w:rPr>
                <w:sz w:val="21"/>
                <w:szCs w:val="21"/>
                <w:color w:val="auto"/>
              </w:rPr>
            </w:pPr>
          </w:p>
        </w:tc>
        <w:tc>
          <w:tcPr>
            <w:tcW w:w="5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269,887</w:t>
            </w: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67,656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100,162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98,926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97,395</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(44,192)</w:t>
            </w: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37,897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(44,351)</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Altisource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(45,096)</w:t>
            </w: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19,196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19,196</w:t>
            </w:r>
          </w:p>
        </w:tc>
      </w:tr>
      <w:tr>
        <w:trPr>
          <w:trHeight w:val="61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4"/>
              </w:rPr>
              <w:t xml:space="preserve">2014 quarter ended </w:t>
            </w:r>
            <w:r>
              <w:rPr>
                <w:rFonts w:ascii="Arial" w:cs="Arial" w:eastAsia="Arial" w:hAnsi="Arial"/>
                <w:sz w:val="8"/>
                <w:szCs w:val="8"/>
                <w:b w:val="1"/>
                <w:bCs w:val="1"/>
                <w:color w:val="auto"/>
                <w:w w:val="94"/>
              </w:rPr>
              <w:t>(1)(5)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0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r>
      <w:tr>
        <w:trPr>
          <w:trHeight w:val="243"/>
        </w:trPr>
        <w:tc>
          <w:tcPr>
            <w:tcW w:w="20" w:type="dxa"/>
            <w:vAlign w:val="bottom"/>
          </w:tcPr>
          <w:p>
            <w:pPr>
              <w:spacing w:after="0"/>
              <w:rPr>
                <w:sz w:val="21"/>
                <w:szCs w:val="21"/>
                <w:color w:val="auto"/>
              </w:rPr>
            </w:pPr>
          </w:p>
        </w:tc>
        <w:tc>
          <w:tcPr>
            <w:tcW w:w="5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255,887</w:t>
            </w: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112,073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98,964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69,235</w:t>
            </w:r>
          </w:p>
        </w:tc>
      </w:tr>
      <w:tr>
        <w:trPr>
          <w:trHeight w:val="27"/>
        </w:trPr>
        <w:tc>
          <w:tcPr>
            <w:tcW w:w="20" w:type="dxa"/>
            <w:vAlign w:val="bottom"/>
          </w:tcPr>
          <w:p>
            <w:pPr>
              <w:spacing w:after="0"/>
              <w:rPr>
                <w:sz w:val="2"/>
                <w:szCs w:val="2"/>
                <w:color w:val="auto"/>
              </w:rPr>
            </w:pPr>
          </w:p>
        </w:tc>
        <w:tc>
          <w:tcPr>
            <w:tcW w:w="6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54,732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20" w:type="dxa"/>
            <w:vAlign w:val="bottom"/>
          </w:tcPr>
          <w:p>
            <w:pPr>
              <w:spacing w:after="0"/>
              <w:rPr>
                <w:sz w:val="2"/>
                <w:szCs w:val="2"/>
                <w:color w:val="auto"/>
              </w:rPr>
            </w:pPr>
          </w:p>
        </w:tc>
        <w:tc>
          <w:tcPr>
            <w:tcW w:w="6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Altisource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20" w:type="dxa"/>
            <w:vAlign w:val="bottom"/>
          </w:tcPr>
          <w:p>
            <w:pPr>
              <w:spacing w:after="0"/>
              <w:rPr>
                <w:sz w:val="2"/>
                <w:szCs w:val="2"/>
                <w:color w:val="auto"/>
              </w:rPr>
            </w:pPr>
          </w:p>
        </w:tc>
        <w:tc>
          <w:tcPr>
            <w:tcW w:w="6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20,306</w:t>
            </w:r>
          </w:p>
        </w:tc>
      </w:tr>
      <w:tr>
        <w:trPr>
          <w:trHeight w:val="27"/>
        </w:trPr>
        <w:tc>
          <w:tcPr>
            <w:tcW w:w="20" w:type="dxa"/>
            <w:vAlign w:val="bottom"/>
          </w:tcPr>
          <w:p>
            <w:pPr>
              <w:spacing w:after="0"/>
              <w:rPr>
                <w:sz w:val="2"/>
                <w:szCs w:val="2"/>
                <w:color w:val="auto"/>
              </w:rPr>
            </w:pPr>
          </w:p>
        </w:tc>
        <w:tc>
          <w:tcPr>
            <w:tcW w:w="6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20,306</w:t>
            </w:r>
          </w:p>
        </w:tc>
      </w:tr>
      <w:tr>
        <w:trPr>
          <w:trHeight w:val="160"/>
        </w:trPr>
        <w:tc>
          <w:tcPr>
            <w:tcW w:w="20" w:type="dxa"/>
            <w:vAlign w:val="bottom"/>
          </w:tcPr>
          <w:p>
            <w:pPr>
              <w:spacing w:after="0"/>
              <w:rPr>
                <w:sz w:val="13"/>
                <w:szCs w:val="13"/>
                <w:color w:val="auto"/>
              </w:rPr>
            </w:pPr>
          </w:p>
        </w:tc>
        <w:tc>
          <w:tcPr>
            <w:tcW w:w="5940" w:type="dxa"/>
            <w:vAlign w:val="bottom"/>
          </w:tcPr>
          <w:p>
            <w:pPr>
              <w:spacing w:after="0"/>
              <w:rPr>
                <w:sz w:val="20"/>
                <w:szCs w:val="20"/>
                <w:color w:val="auto"/>
              </w:rPr>
            </w:pPr>
            <w:r>
              <w:rPr>
                <w:rFonts w:ascii="Arial" w:cs="Arial" w:eastAsia="Arial" w:hAnsi="Arial"/>
                <w:sz w:val="13"/>
                <w:szCs w:val="13"/>
                <w:color w:val="auto"/>
              </w:rPr>
              <w:t>___________________________________________________</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41" w:lineRule="exact"/>
        <w:rPr>
          <w:sz w:val="20"/>
          <w:szCs w:val="20"/>
          <w:color w:val="auto"/>
        </w:rPr>
      </w:pPr>
    </w:p>
    <w:p>
      <w:pPr>
        <w:ind w:left="180" w:hanging="172"/>
        <w:spacing w:after="0" w:line="232" w:lineRule="auto"/>
        <w:tabs>
          <w:tab w:leader="none" w:pos="196"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The sum of quarterly amounts, including per share amounts, may not equal amounts reported for year-to-date periods. This is due to the effects of rounding and changes in the number of weighted average shares outstanding for each period.</w:t>
      </w:r>
    </w:p>
    <w:p>
      <w:pPr>
        <w:spacing w:after="0" w:line="1" w:lineRule="exact"/>
        <w:rPr>
          <w:rFonts w:ascii="Arial" w:cs="Arial" w:eastAsia="Arial" w:hAnsi="Arial"/>
          <w:sz w:val="23"/>
          <w:szCs w:val="23"/>
          <w:color w:val="auto"/>
          <w:vertAlign w:val="superscript"/>
        </w:rPr>
      </w:pPr>
    </w:p>
    <w:p>
      <w:pPr>
        <w:ind w:left="180" w:hanging="172"/>
        <w:spacing w:after="0" w:line="214"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We acquired CastleLine on July 17, 2015 and the Acquired RentRange and Investability Businesses on October 9, 2015 (see Note 5).</w:t>
      </w:r>
    </w:p>
    <w:p>
      <w:pPr>
        <w:sectPr>
          <w:pgSz w:w="11900" w:h="16838" w:orient="portrait"/>
          <w:cols w:equalWidth="0" w:num="1">
            <w:col w:w="11420"/>
          </w:cols>
          <w:pgMar w:left="240" w:top="125" w:right="239" w:bottom="717"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717"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180" w:hanging="172"/>
        <w:spacing w:after="0" w:line="238" w:lineRule="auto"/>
        <w:tabs>
          <w:tab w:leader="none" w:pos="21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During the fourth quarter of 2015, Altisource recorded an estimated loss in connection with an anticipated payment to Ocwen for obtaining a release of liability for Altisource related to Ocwen’s settlement of a particular case. While currently being negotiated, the ultimate resolution of the matter is not expected to result in a material loss in excess of the amount accrued.</w:t>
      </w:r>
    </w:p>
    <w:p>
      <w:pPr>
        <w:spacing w:after="0" w:line="1" w:lineRule="exact"/>
        <w:rPr>
          <w:rFonts w:ascii="Arial" w:cs="Arial" w:eastAsia="Arial" w:hAnsi="Arial"/>
          <w:sz w:val="24"/>
          <w:szCs w:val="24"/>
          <w:color w:val="auto"/>
          <w:vertAlign w:val="superscript"/>
        </w:rPr>
      </w:pPr>
    </w:p>
    <w:p>
      <w:pPr>
        <w:ind w:left="180" w:hanging="172"/>
        <w:spacing w:after="0" w:line="220" w:lineRule="auto"/>
        <w:tabs>
          <w:tab w:leader="none" w:pos="21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 the fourth quarter of 2015, we recorded impairment losses of $71.8 million in our Technology Services segment primarily driven by the Company’s current projected Technology Services revenue from Ocwen and investment in technologies provided to Ocwen (see Notes 9 and 10).</w:t>
      </w:r>
    </w:p>
    <w:p>
      <w:pPr>
        <w:ind w:left="180" w:hanging="172"/>
        <w:spacing w:after="0" w:line="214"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We acquired Mortgage Builder on September 12, 2014 and Owners on November 21, 2014 (see Note 5).</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2420" w:hanging="647"/>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not effective as of December 31, 2015, solely because of the material weakness in our internal control over financial reporting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2015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The scope of management’s assessment of the effectiveness of internal control over financial reporting includes all of our businesses except for the businesses of CastleLine Holdings, LLC, acquired on July 17, 2015 and GoldenGator, LLC, REIsmart, LLC and Onit Solutions, LLC, acquired on October 9, 2015, and whose combined financial statements represent 7% of total assets and less than 1% of revenues and net income attributable to Altisource of the consolidated financial statement amounts as of and for the year ended December 31, 2015. See Note 5 to the accompanying consolidated financial statements for further discussion of these acquisitions. As a result of this assessment, management concluded that our internal control over financial reporting was not effective as of December 31, 2015, solely because of a material weakness in our internal control over financial reporting described below.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Ineffective Controls Over Goodwill Impairment Testing</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did not maintain effective internal controls over the review of impairment indicators of long-lived assets, including premises and equipment and intangible assets, and the impairment analysis of indefinite-lived assets, primarily goodwill. As a result, we initially failed to identify a $71.8 million before-tax impairment of long-lived and indefinite-lived assets in the Technology Services segment. These impairment losses were recorded prior to issuing our consolidated financial statements for the year ended December 31, 2015 and are reflected in the financial results for the fourth quarter of 2015. Based on the materiality of the impairment losses that were detected after the completion of the review, we concluded that a material weakness exists in the effectiveness of internal controls over the reviews of impairment indicators of long-lived assets and the impairment analysis of indefinite-lived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the Material Weakness in Internal Control Over Financial Reporting</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implement remediation measures to address the above-described material weakness and enhance the Company’s internal control over financial reporting related to the review of impairment indicators of long-lived assets and the impairment analysis of indefinite-lived assets by taking the following actions:</w:t>
      </w:r>
    </w:p>
    <w:p>
      <w:pPr>
        <w:spacing w:after="0" w:line="1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processes related to the impairment assessment of long-lived and indefinite-lived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Enhance review controls relating to the review of impairment indicators of long-lived assets and the impairment analysis of indefinite-lived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Test and evaluate the design and operating effectiveness of the control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Assess the effectiveness of the remediation plan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have an expected timetable for the execution and completion of the remediation but believe the remediation measures will strengthen the Company’s internal control over financial reporting related to the review of impairment indicators of long-lived assets and the impairment analysis of indefinite-lived assets and remediate the material weakness identified. We will continue to monitor the effectiveness of these remediation measures and will make any changes and take such other actions that we deem appropriate given the circumstances.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Deloitte &amp; Touche LLP has independently assessed the effectiveness of our internal control over financial reporting and its report is included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December 31, 2015,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30, 2013, the Company entered into an employment agreement with Vivek Bhandari, who became an executive officer of the Company on May 21,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17, 2011, the Company entered into an employment agreement with Joseph A. Davila, who became an executive officer of the Company on May 21,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2013, the Company entered into an employment agreement with Mark J. Hynes, who became an executive officer of the Company on May 21,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October 1, 2014, the Company entered into an employment agreement with Gregory J, Ritts, who became an executive officer of the Company on October 1,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2016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2016 annual meeting of shareholders to be filed pursuant to Regulation 14A under the Exchange Act.</w:t>
      </w:r>
    </w:p>
    <w:p>
      <w:pPr>
        <w:spacing w:after="0" w:line="166" w:lineRule="exact"/>
        <w:rPr>
          <w:sz w:val="20"/>
          <w:szCs w:val="20"/>
          <w:color w:val="auto"/>
        </w:rPr>
      </w:pPr>
    </w:p>
    <w:p>
      <w:pPr>
        <w:ind w:right="21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2016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2016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2016 annual meeting of shareholders to be filed pursuant to Regulation 14A under the Exchange Act.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5" w:lineRule="exact"/>
        <w:rPr>
          <w:sz w:val="20"/>
          <w:szCs w:val="20"/>
          <w:color w:val="auto"/>
        </w:rPr>
      </w:pPr>
    </w:p>
    <w:p>
      <w:pPr>
        <w:ind w:left="1240" w:hanging="1205"/>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00" w:lineRule="exact"/>
        <w:rPr>
          <w:sz w:val="20"/>
          <w:szCs w:val="20"/>
          <w:color w:val="auto"/>
        </w:rPr>
      </w:pPr>
    </w:p>
    <w:p>
      <w:pPr>
        <w:spacing w:after="0" w:line="201" w:lineRule="exact"/>
        <w:rPr>
          <w:sz w:val="20"/>
          <w:szCs w:val="20"/>
          <w:color w:val="auto"/>
        </w:rPr>
      </w:pPr>
    </w:p>
    <w:p>
      <w:pPr>
        <w:ind w:left="1240" w:right="8140" w:hanging="1205"/>
        <w:spacing w:after="0" w:line="510" w:lineRule="auto"/>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240" w:hanging="120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4"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 xml:space="preserve">Schedule II - </w:t>
      </w:r>
      <w:r>
        <w:rPr>
          <w:rFonts w:ascii="Arial" w:cs="Arial" w:eastAsia="Arial" w:hAnsi="Arial"/>
          <w:sz w:val="18"/>
          <w:szCs w:val="18"/>
          <w:i w:val="1"/>
          <w:iCs w:val="1"/>
          <w:color w:val="auto"/>
        </w:rPr>
        <w:t>Valuation and Qualifying Accounts</w:t>
      </w:r>
      <w:r>
        <w:rPr>
          <w:rFonts w:ascii="Arial" w:cs="Arial" w:eastAsia="Arial" w:hAnsi="Arial"/>
          <w:sz w:val="18"/>
          <w:szCs w:val="18"/>
          <w:color w:val="auto"/>
        </w:rPr>
        <w:t xml:space="preserve"> - included below.</w:t>
      </w:r>
    </w:p>
    <w:p>
      <w:pPr>
        <w:spacing w:after="0" w:line="184" w:lineRule="exact"/>
        <w:rPr>
          <w:rFonts w:ascii="Arial" w:cs="Arial" w:eastAsia="Arial" w:hAnsi="Arial"/>
          <w:sz w:val="18"/>
          <w:szCs w:val="18"/>
          <w:color w:val="auto"/>
        </w:rPr>
      </w:pPr>
    </w:p>
    <w:p>
      <w:pPr>
        <w:ind w:left="1240" w:hanging="1205"/>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680" w:type="dxa"/>
            <w:vAlign w:val="bottom"/>
          </w:tcPr>
          <w:p>
            <w:pPr>
              <w:spacing w:after="0"/>
              <w:rPr>
                <w:sz w:val="18"/>
                <w:szCs w:val="18"/>
                <w:color w:val="auto"/>
              </w:rPr>
            </w:pPr>
          </w:p>
        </w:tc>
      </w:tr>
      <w:tr>
        <w:trPr>
          <w:trHeight w:val="234"/>
        </w:trPr>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r>
      <w:tr>
        <w:trPr>
          <w:trHeight w:val="344"/>
        </w:trPr>
        <w:tc>
          <w:tcPr>
            <w:tcW w:w="880" w:type="dxa"/>
            <w:vAlign w:val="bottom"/>
          </w:tcPr>
          <w:p>
            <w:pPr>
              <w:ind w:left="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6"/>
              </w:rPr>
              <w:t>Form of Separation Agreement between Altisource Portfolio Solutions S.A. and Ocwen Financial Corporation (incorporated by</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3"/>
              </w:rPr>
              <w:t>reference to Exhibit 2.1 of the Registrant’s Form 10-12B/A — Amendment No. 1 to Form 10 as filed with the Commission on June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29, 2009)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7"/>
              </w:rPr>
              <w:t>Separation Agreement, dated as of December 21, 2012, between Altisource Residential Corporation and Altisource Portfolio</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Solutions S.A. (incorporated by reference to Exhibit 2.1 to the Company’s Form 8-K filed on December 28, 2012)</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1"/>
              </w:rPr>
              <w:t>Separation Agreement, dated as of December 21, 2012, between Altisource Asset Management Corporation and Altisource Portfolio</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Solutions S.A. (incorporated by reference to Exhibit 2.2 to the Company’s Form 8-K filed on December 28, 2012)</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Purchase and Sale Agreement, dated as of March 29, 2013, by and among Altisource Portfolio Solutions, Inc., Altisource Solutions</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S.à r.l., Ocwen Financial Corporation, Homeward Residential, Inc. and Power Valuation Services, Inc. (incorporated by reference to</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Exhibit 2.1 to the Company’s Form 8-K filed on April 4, 2013)</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Purchase and Sale Agreement, dated as of August 19, 2013, by and among Altisource Portfolio Solutions S.A., Altisource Solutions</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S.à r.l. and the Equity Interestholders of Equator, LLC (incorporated by reference to Exhibit 2.1 to the Company’s Form 8-K filed on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August 21, 2013)</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3"/>
              </w:rPr>
              <w:t>Articles of Incorporation of Altisource Portfolio Solutions S.A. (incorporated by reference to Exhibit 3.1 to the Company’s Form 10-</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K filed on February 13, 2014)</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6"/>
              </w:rPr>
              <w:t>Separation Agreement, dated as of August 10, 2009, by and between Altisource Portfolio Solutions S.A. and Ocwen Financial</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Corporation (incorporated by reference to Exhibit 10.1 of the Registrant’s Current Report on Form 8-K as filed with the Commission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on August 13,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1"/>
              </w:rPr>
              <w:t>Tax Matters Agreement, dated as of August 10, 2009, by and between Altisource Solutions S.à r.l. and Ocwen Financial Corporation</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3"/>
              </w:rPr>
              <w:t>(incorporated by reference to Exhibit 10.2 of the Registrant’s Current Report on Form 8-K as filed with the Commission on August</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13, 2009)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5"/>
              </w:rPr>
              <w:t>Transition Services Agreement, dated as of August 10, 2009, by and between Altisource Solutions S.à r.l. and Ocwen Financial</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Corporation (incorporated by reference to Exhibit 10.3 of the Registrant’s Current Report on Form 8-K as filed with the Commission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on August 13,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6"/>
              </w:rPr>
              <w:t>Employee Matters Agreement, dated as of August 10, 2009, by and between Altisource Solutions S.à r.l. and Ocwen Financial</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Corporation (incorporated by reference to Exhibit 10.4 of the Registrant’s Current Report on Form 8-K as filed with the Commission</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on August 13,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4"/>
              </w:rPr>
              <w:t>Technology Products Services Agreement, dated as of August 10, 2009, by and between Altisource Solutions S.à r.l. and Ocwen</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5"/>
              </w:rPr>
              <w:t>Financial Corporation (incorporated by reference to Exhibit 10.5 of the Registrant’s Current Report on Form 8-K as filed with the</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Commission on August 13,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3"/>
              </w:rPr>
              <w:t>Services Agreement, dated as of August 10, 2009, by and between Altisource Solutions S.à r.l. and Ocwen Financial Corporation</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3"/>
              </w:rPr>
              <w:t>(incorporated by reference to Exhibit 10.6 of the Registrant’s Current Report on Form 8-K as filed with the Commission on August</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13, 2009)</w:t>
            </w:r>
          </w:p>
        </w:tc>
      </w:tr>
      <w:tr>
        <w:trPr>
          <w:trHeight w:val="377"/>
        </w:trPr>
        <w:tc>
          <w:tcPr>
            <w:tcW w:w="880" w:type="dxa"/>
            <w:vAlign w:val="bottom"/>
          </w:tcPr>
          <w:p>
            <w:pPr>
              <w:ind w:left="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Data Center and Disaster Recovery Services Agreement, dated as of August 10, 2009, by and between Altisource Solutions S.à r.l.</w:t>
            </w: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w w:val="92"/>
              </w:rPr>
              <w:t>and Ocwen Financial Corporation (incorporated by reference to Exhibit 10.7 of the Registrant’s Current Report on Form 8-K as filed</w:t>
            </w: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with the Commission on August 13, 2009)</w:t>
            </w:r>
          </w:p>
        </w:tc>
      </w:tr>
    </w:tbl>
    <w:p>
      <w:pPr>
        <w:spacing w:after="0" w:line="200" w:lineRule="exact"/>
        <w:rPr>
          <w:sz w:val="20"/>
          <w:szCs w:val="20"/>
          <w:color w:val="auto"/>
        </w:rPr>
      </w:pPr>
    </w:p>
    <w:p>
      <w:pPr>
        <w:sectPr>
          <w:pgSz w:w="11900" w:h="16838" w:orient="portrait"/>
          <w:cols w:equalWidth="0" w:num="1">
            <w:col w:w="10900"/>
          </w:cols>
          <w:pgMar w:left="240" w:top="125" w:right="759" w:bottom="798" w:gutter="0" w:footer="0" w:header="0"/>
        </w:sectPr>
      </w:pPr>
    </w:p>
    <w:p>
      <w:pPr>
        <w:spacing w:after="0" w:line="177"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900"/>
          </w:cols>
          <w:pgMar w:left="240" w:top="125" w:right="759" w:bottom="798"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9980" w:type="dxa"/>
            <w:vAlign w:val="bottom"/>
          </w:tcPr>
          <w:p>
            <w:pPr>
              <w:ind w:left="360"/>
              <w:spacing w:after="0"/>
              <w:rPr>
                <w:sz w:val="20"/>
                <w:szCs w:val="20"/>
                <w:color w:val="auto"/>
              </w:rPr>
            </w:pPr>
            <w:r>
              <w:rPr>
                <w:rFonts w:ascii="Arial" w:cs="Arial" w:eastAsia="Arial" w:hAnsi="Arial"/>
                <w:sz w:val="18"/>
                <w:szCs w:val="18"/>
                <w:color w:val="auto"/>
                <w:w w:val="94"/>
              </w:rPr>
              <w:t>Intellectual Property Agreement, dated as of August 10, 2009, by and between Altisource Solutions S.à r.l. and Ocwen Financial</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2"/>
              </w:rPr>
              <w:t>Corporation (incorporated by reference to Exhibit 10.8 of the Registrant’s Current Report on Form 8-K as filed with the Commission</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on August 13, 2009)</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9980" w:type="dxa"/>
            <w:vAlign w:val="bottom"/>
          </w:tcPr>
          <w:p>
            <w:pPr>
              <w:ind w:left="360"/>
              <w:spacing w:after="0"/>
              <w:rPr>
                <w:sz w:val="20"/>
                <w:szCs w:val="20"/>
                <w:color w:val="auto"/>
              </w:rPr>
            </w:pPr>
            <w:r>
              <w:rPr>
                <w:rFonts w:ascii="Arial" w:cs="Arial" w:eastAsia="Arial" w:hAnsi="Arial"/>
                <w:sz w:val="18"/>
                <w:szCs w:val="18"/>
                <w:color w:val="auto"/>
                <w:w w:val="93"/>
              </w:rPr>
              <w:t>Altisource Portfolio Solutions S.A. 2009 Equity Incentive Plan, dated as of August 7, 2009 (incorporated by reference from Exhibit</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9"/>
              </w:rPr>
              <w:t>10.8 to Amendment No. 1 to the Registration Statement on Form 10 of Altisource Portfolio Solutions S.A. as filed with the</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Commission on June 29, 2009)</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9980" w:type="dxa"/>
            <w:vAlign w:val="bottom"/>
          </w:tcPr>
          <w:p>
            <w:pPr>
              <w:ind w:left="360"/>
              <w:spacing w:after="0"/>
              <w:rPr>
                <w:sz w:val="20"/>
                <w:szCs w:val="20"/>
                <w:color w:val="auto"/>
              </w:rPr>
            </w:pPr>
            <w:r>
              <w:rPr>
                <w:rFonts w:ascii="Arial" w:cs="Arial" w:eastAsia="Arial" w:hAnsi="Arial"/>
                <w:sz w:val="18"/>
                <w:szCs w:val="18"/>
                <w:color w:val="auto"/>
                <w:w w:val="93"/>
              </w:rPr>
              <w:t>Employment Contract between Altisource Solutions S.à r.l. and William B. Shepro (incorporated by reference from Exhibit 10.9 to</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3"/>
              </w:rPr>
              <w:t>Amendment No. 1 to the Registration Statement on Form 10 of Altisource Portfolio Solutions S.A. as filed with the Commission on</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June 29, 2009)</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9980" w:type="dxa"/>
            <w:vAlign w:val="bottom"/>
          </w:tcPr>
          <w:p>
            <w:pPr>
              <w:ind w:left="360"/>
              <w:spacing w:after="0"/>
              <w:rPr>
                <w:sz w:val="20"/>
                <w:szCs w:val="20"/>
                <w:color w:val="auto"/>
              </w:rPr>
            </w:pPr>
            <w:r>
              <w:rPr>
                <w:rFonts w:ascii="Arial" w:cs="Arial" w:eastAsia="Arial" w:hAnsi="Arial"/>
                <w:sz w:val="18"/>
                <w:szCs w:val="18"/>
                <w:color w:val="auto"/>
                <w:w w:val="94"/>
              </w:rPr>
              <w:t>Employment Contract between Altisource Solutions S.à r.l. and Kevin J. Wilcox (incorporated by reference from Exhibit 10.11 to</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3"/>
              </w:rPr>
              <w:t>Amendment No. 1 to the Registration Statement on Form 10 of Altisource Portfolio Solutions S.A. as filed with the Commission on</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June 29, 2009)</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tcPr>
          <w:p>
            <w:pPr>
              <w:ind w:left="360"/>
              <w:spacing w:after="0"/>
              <w:rPr>
                <w:sz w:val="20"/>
                <w:szCs w:val="20"/>
                <w:color w:val="auto"/>
              </w:rPr>
            </w:pPr>
            <w:r>
              <w:rPr>
                <w:rFonts w:ascii="Arial" w:cs="Arial" w:eastAsia="Arial" w:hAnsi="Arial"/>
                <w:sz w:val="18"/>
                <w:szCs w:val="18"/>
                <w:color w:val="auto"/>
                <w:w w:val="94"/>
              </w:rPr>
              <w:t>Purchase and Sale Agreement, dated as of February 12, 2010, by and among Altisource Portfolio Solutions S.A., and the Equity</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Interest Holders of The Mortgage Partnership of America, L.L.C. and the Management Owners (incorporated by reference to Exhibit</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10.12 of the Company’s 10-K as filed with the Commission on March 17, 2010)</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Form of Put Option Agreements (incorporated by reference to Exhibit 10.13 of the Company’s 10-K as filed with the Commission on</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March 17, 2010)</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9980" w:type="dxa"/>
            <w:vAlign w:val="bottom"/>
          </w:tcPr>
          <w:p>
            <w:pPr>
              <w:ind w:left="360"/>
              <w:spacing w:after="0"/>
              <w:rPr>
                <w:sz w:val="20"/>
                <w:szCs w:val="20"/>
                <w:color w:val="auto"/>
              </w:rPr>
            </w:pPr>
            <w:r>
              <w:rPr>
                <w:rFonts w:ascii="Arial" w:cs="Arial" w:eastAsia="Arial" w:hAnsi="Arial"/>
                <w:sz w:val="18"/>
                <w:szCs w:val="18"/>
                <w:color w:val="auto"/>
                <w:w w:val="94"/>
              </w:rPr>
              <w:t>Form of Non-qualified Stock Option Agreement, pursuant to the 2009 Equity Incentive Plan (incorporated by reference to Exhibit</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10.14 of the Company’s 10-K as filed with the Commission on February 18, 2011)</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First Amendment to the Transition Services Agreement, dated as of August 10, 2011, by and between Ocwen Financial Corporation</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3"/>
              </w:rPr>
              <w:t>and Altisource Solutions S.à r.l. (incorporated by reference to Exhibit 10.1 of the Company’s 8-K as filed with the Commission on</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August 16, 2011)</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tcPr>
          <w:p>
            <w:pPr>
              <w:ind w:left="360"/>
              <w:spacing w:after="0"/>
              <w:rPr>
                <w:sz w:val="20"/>
                <w:szCs w:val="20"/>
                <w:color w:val="auto"/>
              </w:rPr>
            </w:pPr>
            <w:r>
              <w:rPr>
                <w:rFonts w:ascii="Arial" w:cs="Arial" w:eastAsia="Arial" w:hAnsi="Arial"/>
                <w:sz w:val="18"/>
                <w:szCs w:val="18"/>
                <w:color w:val="auto"/>
                <w:w w:val="94"/>
              </w:rPr>
              <w:t>Employment Agreement dated March 13, 2012 between Altisource Solutions S.à r.l. and Michelle D. Esterman (incorporated by</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reference to Exhibit 10.1 of the Company’s 8-K as filed with the Commission on March 16,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9980" w:type="dxa"/>
            <w:vAlign w:val="bottom"/>
          </w:tcPr>
          <w:p>
            <w:pPr>
              <w:ind w:left="360"/>
              <w:spacing w:after="0"/>
              <w:rPr>
                <w:sz w:val="20"/>
                <w:szCs w:val="20"/>
                <w:color w:val="auto"/>
              </w:rPr>
            </w:pPr>
            <w:r>
              <w:rPr>
                <w:rFonts w:ascii="Arial" w:cs="Arial" w:eastAsia="Arial" w:hAnsi="Arial"/>
                <w:sz w:val="18"/>
                <w:szCs w:val="18"/>
                <w:color w:val="auto"/>
                <w:w w:val="90"/>
              </w:rPr>
              <w:t>Support Services Agreement, dated as of August 10, 2012, by and between Ocwen Mortgage Servicing, Inc. and Altisource Solutions</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S.à r.l. (incorporated by reference to Exhibit 10.1 of the Company’s Form 8-K filed on August 16,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9980" w:type="dxa"/>
            <w:vAlign w:val="bottom"/>
          </w:tcPr>
          <w:p>
            <w:pPr>
              <w:ind w:left="360"/>
              <w:spacing w:after="0"/>
              <w:rPr>
                <w:sz w:val="20"/>
                <w:szCs w:val="20"/>
                <w:color w:val="auto"/>
              </w:rPr>
            </w:pPr>
            <w:r>
              <w:rPr>
                <w:rFonts w:ascii="Arial" w:cs="Arial" w:eastAsia="Arial" w:hAnsi="Arial"/>
                <w:sz w:val="18"/>
                <w:szCs w:val="18"/>
                <w:color w:val="auto"/>
                <w:w w:val="95"/>
              </w:rPr>
              <w:t>First Amendment to the Employment Contract dated as of August 15, 2012 between Altisource Solutions S.à r.l. and William B.</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Shepro (incorporated by reference to Exhibit 10.1 of the Company’s Form 8-K filed on August 20,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First Amendment to the Employment Contract dated as of August 15, 2012 between Altisource Solutions S.à r.l. and Kevin J. Wilcox</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10.2 of the Company’s Form 8-K filed on August 20,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 S.à r.l.</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(incorporated by reference to Exhibit 10.1 of the Company’s Form 8-K filed on October 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9980" w:type="dxa"/>
            <w:vAlign w:val="bottom"/>
          </w:tcPr>
          <w:p>
            <w:pPr>
              <w:ind w:left="360"/>
              <w:spacing w:after="0"/>
              <w:rPr>
                <w:sz w:val="20"/>
                <w:szCs w:val="20"/>
                <w:color w:val="auto"/>
              </w:rPr>
            </w:pPr>
            <w:r>
              <w:rPr>
                <w:rFonts w:ascii="Arial" w:cs="Arial" w:eastAsia="Arial" w:hAnsi="Arial"/>
                <w:sz w:val="18"/>
                <w:szCs w:val="18"/>
                <w:color w:val="auto"/>
                <w:w w:val="95"/>
              </w:rPr>
              <w:t>Technology Products Services Agreement, dated as of October 1, 2012, by and between Ocwen Mortgage Servicing, Inc. and</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8"/>
              </w:rPr>
              <w:t>Altisource Solutions S.à r.l. (incorporated by reference to Exhibit 10.2 of the Company’s Form 8-K filed on October 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9980" w:type="dxa"/>
            <w:vAlign w:val="bottom"/>
          </w:tcPr>
          <w:p>
            <w:pPr>
              <w:ind w:left="360"/>
              <w:spacing w:after="0"/>
              <w:rPr>
                <w:sz w:val="20"/>
                <w:szCs w:val="20"/>
                <w:color w:val="auto"/>
              </w:rPr>
            </w:pPr>
            <w:r>
              <w:rPr>
                <w:rFonts w:ascii="Arial" w:cs="Arial" w:eastAsia="Arial" w:hAnsi="Arial"/>
                <w:sz w:val="18"/>
                <w:szCs w:val="18"/>
                <w:color w:val="auto"/>
                <w:w w:val="92"/>
              </w:rPr>
              <w:t>Data Center and Disaster Recovery Agreement, dated as of October 1, 2012, by and between Ocwen Mortgage Servicing, Inc. and</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8"/>
              </w:rPr>
              <w:t>Altisource Solutions S.à r.l. (incorporated by reference to Exhibit 10.3 of the Company’s Form 8-K filed on October 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9980" w:type="dxa"/>
            <w:vAlign w:val="bottom"/>
          </w:tcPr>
          <w:p>
            <w:pPr>
              <w:ind w:left="360"/>
              <w:spacing w:after="0"/>
              <w:rPr>
                <w:sz w:val="20"/>
                <w:szCs w:val="20"/>
                <w:color w:val="auto"/>
              </w:rPr>
            </w:pPr>
            <w:r>
              <w:rPr>
                <w:rFonts w:ascii="Arial" w:cs="Arial" w:eastAsia="Arial" w:hAnsi="Arial"/>
                <w:sz w:val="18"/>
                <w:szCs w:val="18"/>
                <w:color w:val="auto"/>
                <w:w w:val="95"/>
              </w:rPr>
              <w:t>Intellectual Property Agreement, dated as of October 1, 2012, by and between Ocwen Mortgage Servicing, Inc. and Altisource</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Solutions S.à r.l. (incorporated by reference to Exhibit 10.4 of the Company’s Form 8-K filed on October 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9980" w:type="dxa"/>
            <w:vAlign w:val="bottom"/>
          </w:tcPr>
          <w:p>
            <w:pPr>
              <w:ind w:left="360"/>
              <w:spacing w:after="0"/>
              <w:rPr>
                <w:sz w:val="20"/>
                <w:szCs w:val="20"/>
                <w:color w:val="auto"/>
              </w:rPr>
            </w:pPr>
            <w:r>
              <w:rPr>
                <w:rFonts w:ascii="Arial" w:cs="Arial" w:eastAsia="Arial" w:hAnsi="Arial"/>
                <w:sz w:val="18"/>
                <w:szCs w:val="18"/>
                <w:color w:val="auto"/>
                <w:w w:val="90"/>
              </w:rPr>
              <w:t>First Amendment to Support Services Agreement, dated as of October 1, 2012, by and between Ocwen Mortgage Servicing, Inc. and</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8"/>
              </w:rPr>
              <w:t>Altisource Solutions S.à r.l. (incorporated by reference to Exhibit 10.5 of the Company’s Form 8-K filed on October 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10.25</w:t>
            </w: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First Amendment to Services Agreement, dated as of October 1, 2012, by and between Ocwen Financial Corporation and Altisource</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Solutions S.à r.l. (incorporated by reference to Exhibit 10.6 of the Company’s Form 8-K filed on October 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10.26</w:t>
            </w:r>
          </w:p>
        </w:tc>
        <w:tc>
          <w:tcPr>
            <w:tcW w:w="9980" w:type="dxa"/>
            <w:vAlign w:val="bottom"/>
          </w:tcPr>
          <w:p>
            <w:pPr>
              <w:ind w:left="360"/>
              <w:spacing w:after="0"/>
              <w:rPr>
                <w:sz w:val="20"/>
                <w:szCs w:val="20"/>
                <w:color w:val="auto"/>
              </w:rPr>
            </w:pPr>
            <w:r>
              <w:rPr>
                <w:rFonts w:ascii="Arial" w:cs="Arial" w:eastAsia="Arial" w:hAnsi="Arial"/>
                <w:sz w:val="18"/>
                <w:szCs w:val="18"/>
                <w:color w:val="auto"/>
                <w:w w:val="92"/>
              </w:rPr>
              <w:t>First Amendment to Technology Products and Services Agreement, dated as of October 1, 2012, by and between Ocwen Financial</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2"/>
              </w:rPr>
              <w:t>Corporation and Altisource Solutions S.à r.l. (incorporated by reference to Exhibit 10.7 of the Company’s Form 8-K filed on October</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5, 2012)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10.27</w:t>
            </w:r>
          </w:p>
        </w:tc>
        <w:tc>
          <w:tcPr>
            <w:tcW w:w="9980" w:type="dxa"/>
            <w:vAlign w:val="bottom"/>
          </w:tcPr>
          <w:p>
            <w:pPr>
              <w:ind w:left="360"/>
              <w:spacing w:after="0"/>
              <w:rPr>
                <w:sz w:val="20"/>
                <w:szCs w:val="20"/>
                <w:color w:val="auto"/>
              </w:rPr>
            </w:pPr>
            <w:r>
              <w:rPr>
                <w:rFonts w:ascii="Arial" w:cs="Arial" w:eastAsia="Arial" w:hAnsi="Arial"/>
                <w:sz w:val="18"/>
                <w:szCs w:val="18"/>
                <w:color w:val="auto"/>
                <w:w w:val="91"/>
              </w:rPr>
              <w:t>First Amendment to Data Center and Disaster Recovery Agreement, dated as of October 1, 2012, by and between Ocwen Financial</w:t>
            </w:r>
          </w:p>
        </w:tc>
      </w:tr>
      <w:tr>
        <w:trPr>
          <w:trHeight w:val="216"/>
        </w:trPr>
        <w:tc>
          <w:tcPr>
            <w:tcW w:w="840" w:type="dxa"/>
            <w:vAlign w:val="bottom"/>
          </w:tcPr>
          <w:p>
            <w:pPr>
              <w:spacing w:after="0"/>
              <w:rPr>
                <w:sz w:val="18"/>
                <w:szCs w:val="18"/>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w w:val="92"/>
              </w:rPr>
              <w:t>Corporation and Altisource Solutions S.à r.l. (incorporated by reference to Exhibit 10.8 of the Company’s Form 8-K filed on October</w:t>
            </w:r>
          </w:p>
        </w:tc>
      </w:tr>
      <w:tr>
        <w:trPr>
          <w:trHeight w:val="230"/>
        </w:trPr>
        <w:tc>
          <w:tcPr>
            <w:tcW w:w="840" w:type="dxa"/>
            <w:vAlign w:val="bottom"/>
          </w:tcPr>
          <w:p>
            <w:pPr>
              <w:spacing w:after="0"/>
              <w:rPr>
                <w:sz w:val="20"/>
                <w:szCs w:val="20"/>
                <w:color w:val="auto"/>
              </w:rPr>
            </w:pPr>
          </w:p>
        </w:tc>
        <w:tc>
          <w:tcPr>
            <w:tcW w:w="9980" w:type="dxa"/>
            <w:vAlign w:val="bottom"/>
          </w:tcPr>
          <w:p>
            <w:pPr>
              <w:ind w:left="360"/>
              <w:spacing w:after="0"/>
              <w:rPr>
                <w:sz w:val="20"/>
                <w:szCs w:val="20"/>
                <w:color w:val="auto"/>
              </w:rPr>
            </w:pPr>
            <w:r>
              <w:rPr>
                <w:rFonts w:ascii="Arial" w:cs="Arial" w:eastAsia="Arial" w:hAnsi="Arial"/>
                <w:sz w:val="18"/>
                <w:szCs w:val="18"/>
                <w:color w:val="auto"/>
              </w:rPr>
              <w:t>5, 2012)</w:t>
            </w:r>
          </w:p>
        </w:tc>
      </w:tr>
    </w:tbl>
    <w:p>
      <w:pPr>
        <w:spacing w:after="0" w:line="200" w:lineRule="exact"/>
        <w:rPr>
          <w:sz w:val="20"/>
          <w:szCs w:val="20"/>
          <w:color w:val="auto"/>
        </w:rPr>
      </w:pPr>
    </w:p>
    <w:p>
      <w:pPr>
        <w:sectPr>
          <w:pgSz w:w="11900" w:h="16838" w:orient="portrait"/>
          <w:cols w:equalWidth="0" w:num="1">
            <w:col w:w="10860"/>
          </w:cols>
          <w:pgMar w:left="240" w:top="125" w:right="799" w:bottom="811" w:gutter="0" w:footer="0" w:header="0"/>
        </w:sectPr>
      </w:pPr>
    </w:p>
    <w:p>
      <w:pPr>
        <w:spacing w:after="0" w:line="177"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860"/>
          </w:cols>
          <w:pgMar w:left="240" w:top="125" w:right="799" w:bottom="811"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First Amendment to Intellectual Property Agreement, dated as of October 1, 2012, by and between Ocwen Financial Corporation and</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8"/>
              </w:rPr>
              <w:t>Altisource Solutions S.à r.l. (incorporated by reference to Exhibit 10.9 of the Company’s Form 8-K filed on October 5,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Credit Agreement, dated as of November 27, 2012, among Altisource Solutions S.à r.l., as borrower, the Company and certain of the</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Company’s wholly-owned subsidiaries, as guarantors, Bank of America, N.A., as Administrative Agent and Collateral Agent, Bank</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of America, N.A., Barclays Bank PLC and Citigroup Global Markets Inc., as Lead Arrangers and Barclays Bank PLC and Citigroup</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Global Markets Inc., as Co-Syndication Agents, and certain lenders party thereto from time to time (incorporated by reference to</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Exhibit 10.1 of the Company’s Form 8-K filed on December 3,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Support Services Agreement, dated as of December 21, 2012, between Altisource Residential Corporation and Altisource Solutions</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S.à r.l. (incorporated by reference to Exhibit 10.1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Support Services Agreement, dated as of December 21, 2012, between Altisource Asset Management Corporation and Altisource</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Solutions S.à r.l. (incorporated by reference to Exhibit 10.2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Tax Matters Agreement, dated as of December 21, 2012, between Altisource Residential Corporation and Altisource Solutions S.à r.l.</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10.3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9940" w:type="dxa"/>
            <w:vAlign w:val="bottom"/>
          </w:tcPr>
          <w:p>
            <w:pPr>
              <w:ind w:left="320"/>
              <w:spacing w:after="0"/>
              <w:rPr>
                <w:sz w:val="20"/>
                <w:szCs w:val="20"/>
                <w:color w:val="auto"/>
              </w:rPr>
            </w:pPr>
            <w:r>
              <w:rPr>
                <w:rFonts w:ascii="Arial" w:cs="Arial" w:eastAsia="Arial" w:hAnsi="Arial"/>
                <w:sz w:val="18"/>
                <w:szCs w:val="18"/>
                <w:color w:val="auto"/>
                <w:w w:val="96"/>
              </w:rPr>
              <w:t>Tax Matters Agreement, dated as of December 21, 2012, between Altisource Asset Management Corporation and Altisource</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Solutions S.à r.l. (incorporated by reference to Exhibit 10.4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Master Services Agreement, dated as of December 21, 2012, between Altisource Residential Corporation and Altisource Solutions</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S.à r.l. (incorporated by reference to Exhibit 10.5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9940" w:type="dxa"/>
            <w:vAlign w:val="bottom"/>
          </w:tcPr>
          <w:p>
            <w:pPr>
              <w:ind w:left="320"/>
              <w:spacing w:after="0"/>
              <w:rPr>
                <w:sz w:val="20"/>
                <w:szCs w:val="20"/>
                <w:color w:val="auto"/>
              </w:rPr>
            </w:pPr>
            <w:r>
              <w:rPr>
                <w:rFonts w:ascii="Arial" w:cs="Arial" w:eastAsia="Arial" w:hAnsi="Arial"/>
                <w:sz w:val="18"/>
                <w:szCs w:val="18"/>
                <w:color w:val="auto"/>
                <w:w w:val="97"/>
              </w:rPr>
              <w:t>Trademark License Agreement, dated as of December 21, 2012, between Altisource Residential Corporation and Altisource</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Solutions S.à r.l. (incorporated by reference to Exhibit 10.6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Trademark License Agreement, dated as of December 21, 2012, between Altisource Asset Management Corporation and Altisource</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Solutions S.à r.l. (incorporated by reference to Exhibit 10.7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Technology Products Services Agreement, between Altisource Asset Management Corporation and Altisource Solutions S.à r.l.</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10.8 of the Company’s Form 8-K filed on December 28,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Senior Unsecured Term Loan Agreement, dated as of December 27, 2012, among Altisource Solutions S.à r.l., as Lender, Ocwen</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6"/>
              </w:rPr>
              <w:t>Financial Corporation, as Borrower, and certain subsidiaries of Ocwen Financial Corporation, as Guarantors (incorporated by</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reference to Exhibit 10.1 of the Company’s Form 8-K filed on December 31, 2012)</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9940" w:type="dxa"/>
            <w:vAlign w:val="bottom"/>
          </w:tcPr>
          <w:p>
            <w:pPr>
              <w:ind w:left="320"/>
              <w:spacing w:after="0"/>
              <w:rPr>
                <w:sz w:val="20"/>
                <w:szCs w:val="20"/>
                <w:color w:val="auto"/>
              </w:rPr>
            </w:pPr>
            <w:r>
              <w:rPr>
                <w:rFonts w:ascii="Arial" w:cs="Arial" w:eastAsia="Arial" w:hAnsi="Arial"/>
                <w:sz w:val="18"/>
                <w:szCs w:val="18"/>
                <w:color w:val="auto"/>
                <w:w w:val="97"/>
              </w:rPr>
              <w:t>Second Amendment to Services Agreement, dated as of March 29, 2013, by and between Ocwen Financial Corporation and</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Altisource Solutions S.à r.l. (incorporated by reference to Exhibit 10.1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Second Amendment to Technology Products Services Agreement, dated as of March 29, 2013, by and between Ocwen Financial</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Corporation and Altisource Solutions S.à r.l. (incorporated by reference to Exhibit 10.2 of the Company’s Form 8-K filed on April 4,</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9940" w:type="dxa"/>
            <w:vAlign w:val="bottom"/>
          </w:tcPr>
          <w:p>
            <w:pPr>
              <w:ind w:left="320"/>
              <w:spacing w:after="0"/>
              <w:rPr>
                <w:sz w:val="20"/>
                <w:szCs w:val="20"/>
                <w:color w:val="auto"/>
              </w:rPr>
            </w:pPr>
            <w:r>
              <w:rPr>
                <w:rFonts w:ascii="Arial" w:cs="Arial" w:eastAsia="Arial" w:hAnsi="Arial"/>
                <w:sz w:val="18"/>
                <w:szCs w:val="18"/>
                <w:color w:val="auto"/>
                <w:w w:val="90"/>
              </w:rPr>
              <w:t>Second Amendment to Data Center and Disaster Recovery Services Agreement, dated as of March 29, 2013, by and between Ocwen</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Financial Corporation and Altisource Solutions S.à r.l. (incorporated by reference to Exhibit 10.3 of the Company’s Form 8-K filed</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Second Amendment to Intellectual Property Agreement, dated as of March 29, 2013, by and between Ocwen Financial Corporation</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7"/>
              </w:rPr>
              <w:t>and Altisource Solutions S.à r.l. (incorporated by reference to Exhibit 10.4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9940" w:type="dxa"/>
            <w:vAlign w:val="bottom"/>
          </w:tcPr>
          <w:p>
            <w:pPr>
              <w:ind w:left="320"/>
              <w:spacing w:after="0"/>
              <w:rPr>
                <w:sz w:val="20"/>
                <w:szCs w:val="20"/>
                <w:color w:val="auto"/>
              </w:rPr>
            </w:pPr>
            <w:r>
              <w:rPr>
                <w:rFonts w:ascii="Arial" w:cs="Arial" w:eastAsia="Arial" w:hAnsi="Arial"/>
                <w:sz w:val="18"/>
                <w:szCs w:val="18"/>
                <w:color w:val="auto"/>
                <w:w w:val="97"/>
              </w:rPr>
              <w:t>First Amendment to Services Agreement, dated as of March 29, 2013, by and between Ocwen Mortgage Servicing, Inc. and</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Altisource Solutions S.à r.l. (incorporated by reference to Exhibit 10.5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9940" w:type="dxa"/>
            <w:vAlign w:val="bottom"/>
          </w:tcPr>
          <w:p>
            <w:pPr>
              <w:ind w:left="320"/>
              <w:spacing w:after="0"/>
              <w:rPr>
                <w:sz w:val="20"/>
                <w:szCs w:val="20"/>
                <w:color w:val="auto"/>
              </w:rPr>
            </w:pPr>
            <w:r>
              <w:rPr>
                <w:rFonts w:ascii="Arial" w:cs="Arial" w:eastAsia="Arial" w:hAnsi="Arial"/>
                <w:sz w:val="18"/>
                <w:szCs w:val="18"/>
                <w:color w:val="auto"/>
                <w:w w:val="95"/>
              </w:rPr>
              <w:t>First Amendment to Technology Products Services Agreement, dated as of March 29, 2013, by and between Ocwen Mortgage</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Servicing, Inc. and Altisource Solutions S.à r.l. (incorporated by reference to Exhibit 10.6 of the Company’s Form 8-K filed on April</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First Amendment to Data Center and Disaster Recovery Services Agreement, dated as of March 29, 2013, by and between Ocwen</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5"/>
              </w:rPr>
              <w:t>Mortgage Servicing, Inc. and Altisource Solutions S.à r.l. (incorporated by reference to Exhibit 10.7 of the Company’s Form 8-K</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filed on April 4, 2013)</w:t>
            </w:r>
          </w:p>
        </w:tc>
      </w:tr>
    </w:tbl>
    <w:p>
      <w:pPr>
        <w:spacing w:after="0" w:line="200" w:lineRule="exact"/>
        <w:rPr>
          <w:sz w:val="20"/>
          <w:szCs w:val="20"/>
          <w:color w:val="auto"/>
        </w:rPr>
      </w:pPr>
    </w:p>
    <w:p>
      <w:pPr>
        <w:sectPr>
          <w:pgSz w:w="11900" w:h="16838" w:orient="portrait"/>
          <w:cols w:equalWidth="0" w:num="1">
            <w:col w:w="10860"/>
          </w:cols>
          <w:pgMar w:left="240" w:top="125" w:right="799" w:bottom="1440" w:gutter="0" w:footer="0" w:header="0"/>
        </w:sectPr>
      </w:pPr>
    </w:p>
    <w:p>
      <w:pPr>
        <w:spacing w:after="0" w:line="177"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860"/>
          </w:cols>
          <w:pgMar w:left="240" w:top="125" w:right="79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First Amendment to Intellectual Property Agreement, dated as of March 29, 2013, by and between Ocwen Mortgage Servicing, Inc.</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7"/>
              </w:rPr>
              <w:t>and Altisource Solutions S.à r.l. (incorporated by reference to Exhibit 10.8 of the Company’s Form 8-K filed on April 4,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9940" w:type="dxa"/>
            <w:vAlign w:val="bottom"/>
          </w:tcPr>
          <w:p>
            <w:pPr>
              <w:ind w:left="320"/>
              <w:spacing w:after="0"/>
              <w:rPr>
                <w:sz w:val="20"/>
                <w:szCs w:val="20"/>
                <w:color w:val="auto"/>
              </w:rPr>
            </w:pPr>
            <w:r>
              <w:rPr>
                <w:rFonts w:ascii="Arial" w:cs="Arial" w:eastAsia="Arial" w:hAnsi="Arial"/>
                <w:sz w:val="18"/>
                <w:szCs w:val="18"/>
                <w:color w:val="auto"/>
                <w:w w:val="97"/>
              </w:rPr>
              <w:t>Agreement, dated as of April 12, 2013, by and among Altisource Solutions S.à r.l., Ocwen Financial Corporation and Ocwen</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Mortgage Servicing, Inc. (incorporated by reference to Exhibit 10.1 of the Company’s Form 8-K filed on April 18,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9940" w:type="dxa"/>
            <w:vAlign w:val="bottom"/>
          </w:tcPr>
          <w:p>
            <w:pPr>
              <w:ind w:left="320"/>
              <w:spacing w:after="0"/>
              <w:rPr>
                <w:sz w:val="20"/>
                <w:szCs w:val="20"/>
                <w:color w:val="auto"/>
              </w:rPr>
            </w:pPr>
            <w:r>
              <w:rPr>
                <w:rFonts w:ascii="Arial" w:cs="Arial" w:eastAsia="Arial" w:hAnsi="Arial"/>
                <w:sz w:val="18"/>
                <w:szCs w:val="18"/>
                <w:color w:val="auto"/>
                <w:w w:val="96"/>
              </w:rPr>
              <w:t>Amendment No. 1 to Credit Agreement, dated as of May 7, 2013, among Altisource Solutions S.à r.l., as borrower, Altisource</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Portfolio Solutions S.A., Bank of America, N.A., as administrative agent and incremental term lender and the other lenders party</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thereto (incorporated by reference to Exhibit 10.1 of the Company’s Form 8-K filed on May 13,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Amendment No. 2 to Credit Agreement, dated as of December 9, 2013, among Altisource Solutions S.à r.l., as borrower, Altisource</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Portfolio Solutions S.A., Bank of America, N.A., as Administrative Agent and the Lenders party thereto (incorporated by reference</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to Exhibit 10.1 of the Company’s Form 8-K filed on December 11, 2013)</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Amendment No. 3 to Credit Agreement, dated as of August 1, 2014, among Altisource Solutions S.à r.l., as borrower, Altisource</w:t>
            </w:r>
          </w:p>
        </w:tc>
      </w:tr>
      <w:tr>
        <w:trPr>
          <w:trHeight w:val="216"/>
        </w:trPr>
        <w:tc>
          <w:tcPr>
            <w:tcW w:w="88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Portfolio Solutions S.A., Bank of America, N.A., as Administrative Agent and incremental term lender and the other lenders party</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thereto (incorporated by reference to Exhibit 10.1 of the Company’s Form 8-K filed on August 6, 2014)</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9940" w:type="dxa"/>
            <w:vAlign w:val="bottom"/>
          </w:tcPr>
          <w:p>
            <w:pPr>
              <w:ind w:left="320"/>
              <w:spacing w:after="0"/>
              <w:rPr>
                <w:sz w:val="20"/>
                <w:szCs w:val="20"/>
                <w:color w:val="auto"/>
              </w:rPr>
            </w:pPr>
            <w:r>
              <w:rPr>
                <w:rFonts w:ascii="Arial" w:cs="Arial" w:eastAsia="Arial" w:hAnsi="Arial"/>
                <w:sz w:val="18"/>
                <w:szCs w:val="18"/>
                <w:color w:val="auto"/>
                <w:w w:val="92"/>
              </w:rPr>
              <w:t>Form of Cash Retention Award Agreement (incorporated by reference to Exhibit 10.1 of the Company’s Form 8-K filed on April 21,</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2015)</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Form of Restricted Stock Award Agreement (incorporated by reference to Exhibit 10.2 of the Company’s Form 8-K filed on April</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21, 2015)</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10.53†</w:t>
            </w:r>
          </w:p>
        </w:tc>
        <w:tc>
          <w:tcPr>
            <w:tcW w:w="9940" w:type="dxa"/>
            <w:vAlign w:val="bottom"/>
          </w:tcPr>
          <w:p>
            <w:pPr>
              <w:ind w:left="320"/>
              <w:spacing w:after="0"/>
              <w:rPr>
                <w:sz w:val="20"/>
                <w:szCs w:val="20"/>
                <w:color w:val="auto"/>
              </w:rPr>
            </w:pPr>
            <w:r>
              <w:rPr>
                <w:rFonts w:ascii="Arial" w:cs="Arial" w:eastAsia="Arial" w:hAnsi="Arial"/>
                <w:sz w:val="18"/>
                <w:szCs w:val="18"/>
                <w:color w:val="auto"/>
                <w:w w:val="95"/>
              </w:rPr>
              <w:t>Form of Non-Qualified Stock Option Award Agreement (incorporated by reference to Exhibit 10.3 of the Company’s Form 10-Q</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filed on July 23, 2015)</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10.54†</w:t>
            </w:r>
          </w:p>
        </w:tc>
        <w:tc>
          <w:tcPr>
            <w:tcW w:w="9940" w:type="dxa"/>
            <w:vAlign w:val="bottom"/>
          </w:tcPr>
          <w:p>
            <w:pPr>
              <w:ind w:left="320"/>
              <w:spacing w:after="0"/>
              <w:rPr>
                <w:sz w:val="20"/>
                <w:szCs w:val="20"/>
                <w:color w:val="auto"/>
              </w:rPr>
            </w:pPr>
            <w:r>
              <w:rPr>
                <w:rFonts w:ascii="Arial" w:cs="Arial" w:eastAsia="Arial" w:hAnsi="Arial"/>
                <w:sz w:val="18"/>
                <w:szCs w:val="18"/>
                <w:color w:val="auto"/>
                <w:w w:val="95"/>
              </w:rPr>
              <w:t>Consumer Analytics Division Equity Appreciation Rights Plan, made effective as of May 19, 2015 (incorporated by reference to</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Exhibit 10.4 of the Company’s Form 10-Q filed on July 23, 2015)</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10.55†</w:t>
            </w:r>
          </w:p>
        </w:tc>
        <w:tc>
          <w:tcPr>
            <w:tcW w:w="9940" w:type="dxa"/>
            <w:vAlign w:val="bottom"/>
          </w:tcPr>
          <w:p>
            <w:pPr>
              <w:ind w:left="320"/>
              <w:spacing w:after="0"/>
              <w:rPr>
                <w:sz w:val="20"/>
                <w:szCs w:val="20"/>
                <w:color w:val="auto"/>
              </w:rPr>
            </w:pPr>
            <w:r>
              <w:rPr>
                <w:rFonts w:ascii="Arial" w:cs="Arial" w:eastAsia="Arial" w:hAnsi="Arial"/>
                <w:sz w:val="18"/>
                <w:szCs w:val="18"/>
                <w:color w:val="auto"/>
                <w:w w:val="95"/>
              </w:rPr>
              <w:t>Document Solutions Division Equity Appreciation Rights Plan, made effective as of May 19, 2015 (incorporated by reference to</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Exhibit 10.5 of the Company’s Form 10-Q filed on July 23, 2015)</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10.56†</w:t>
            </w: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Marketplace Solutions Division Equity Appreciation Rights Plan, made effective as of May 19, 2015 (incorporated by reference to</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Exhibit 10.6 of the Company’s Form 10-Q filed on July 23, 2015)</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10.57†</w:t>
            </w: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Consumer Analytics Division Equity Appreciation Rights Award Agreement between the Company and Mark J. Hynes, dated May</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19, 2015 (incorporated by reference to Exhibit 10.7 of the Company’s Form 10-Q filed on July 23, 2015)</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10.58†</w:t>
            </w: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Document Solutions Division Equity Appreciation Rights Award Agreement between the Company and Mark J. Hynes, dated May</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19, 2015 (incorporated by reference to Exhibit 10.8 of the Company’s Form 10-Q filed on July 23, 2015)</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10.59†</w:t>
            </w:r>
          </w:p>
        </w:tc>
        <w:tc>
          <w:tcPr>
            <w:tcW w:w="9940" w:type="dxa"/>
            <w:vAlign w:val="bottom"/>
          </w:tcPr>
          <w:p>
            <w:pPr>
              <w:ind w:left="320"/>
              <w:spacing w:after="0"/>
              <w:rPr>
                <w:sz w:val="20"/>
                <w:szCs w:val="20"/>
                <w:color w:val="auto"/>
              </w:rPr>
            </w:pPr>
            <w:r>
              <w:rPr>
                <w:rFonts w:ascii="Arial" w:cs="Arial" w:eastAsia="Arial" w:hAnsi="Arial"/>
                <w:sz w:val="18"/>
                <w:szCs w:val="18"/>
                <w:color w:val="auto"/>
                <w:w w:val="94"/>
              </w:rPr>
              <w:t>Marketplace Solutions Division Equity Appreciation Rights Agreement between the Company and Mark J. Hynes, dated May 19,</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2015 (incorporated by reference to Exhibit 10.9 of the Company’s Form 10-Q filed on July 23, 2015)</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10.60*†</w:t>
            </w:r>
          </w:p>
        </w:tc>
        <w:tc>
          <w:tcPr>
            <w:tcW w:w="9940" w:type="dxa"/>
            <w:vAlign w:val="bottom"/>
          </w:tcPr>
          <w:p>
            <w:pPr>
              <w:ind w:left="320"/>
              <w:spacing w:after="0"/>
              <w:rPr>
                <w:sz w:val="20"/>
                <w:szCs w:val="20"/>
                <w:color w:val="auto"/>
              </w:rPr>
            </w:pPr>
            <w:r>
              <w:rPr>
                <w:rFonts w:ascii="Arial" w:cs="Arial" w:eastAsia="Arial" w:hAnsi="Arial"/>
                <w:sz w:val="18"/>
                <w:szCs w:val="18"/>
                <w:color w:val="auto"/>
              </w:rPr>
              <w:t>Employment Agreement dated April 30, 2013 between Altisource Solutions S.à r.l. and Vivek Bhandari</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10.61*†</w:t>
            </w:r>
          </w:p>
        </w:tc>
        <w:tc>
          <w:tcPr>
            <w:tcW w:w="9940" w:type="dxa"/>
            <w:vAlign w:val="bottom"/>
          </w:tcPr>
          <w:p>
            <w:pPr>
              <w:ind w:left="320"/>
              <w:spacing w:after="0"/>
              <w:rPr>
                <w:sz w:val="20"/>
                <w:szCs w:val="20"/>
                <w:color w:val="auto"/>
              </w:rPr>
            </w:pPr>
            <w:r>
              <w:rPr>
                <w:rFonts w:ascii="Arial" w:cs="Arial" w:eastAsia="Arial" w:hAnsi="Arial"/>
                <w:sz w:val="18"/>
                <w:szCs w:val="18"/>
                <w:color w:val="auto"/>
              </w:rPr>
              <w:t>Employment Agreement dated June 17, 2011 between Altisource Solutions S.à r.l. and Joseph A. Davila</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10.62*†</w:t>
            </w:r>
          </w:p>
        </w:tc>
        <w:tc>
          <w:tcPr>
            <w:tcW w:w="9940" w:type="dxa"/>
            <w:vAlign w:val="bottom"/>
          </w:tcPr>
          <w:p>
            <w:pPr>
              <w:ind w:left="320"/>
              <w:spacing w:after="0"/>
              <w:rPr>
                <w:sz w:val="20"/>
                <w:szCs w:val="20"/>
                <w:color w:val="auto"/>
              </w:rPr>
            </w:pPr>
            <w:r>
              <w:rPr>
                <w:rFonts w:ascii="Arial" w:cs="Arial" w:eastAsia="Arial" w:hAnsi="Arial"/>
                <w:sz w:val="18"/>
                <w:szCs w:val="18"/>
                <w:color w:val="auto"/>
              </w:rPr>
              <w:t>Employment Agreement dated December 31, 2013 between Altisource Solutions S.à r.l. and Mark J. Hynes</w:t>
            </w: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rPr>
              <w:t>10.63*†</w:t>
            </w: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Amended and Restated Employment Agreement effective as of October 1, 2014 between Altisource Solutions S.à r.l. and Gregory J.</w:t>
            </w:r>
          </w:p>
        </w:tc>
      </w:tr>
      <w:tr>
        <w:trPr>
          <w:trHeight w:val="230"/>
        </w:trPr>
        <w:tc>
          <w:tcPr>
            <w:tcW w:w="88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Ritts</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994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320"/>
              <w:spacing w:after="0"/>
              <w:rPr>
                <w:sz w:val="20"/>
                <w:szCs w:val="20"/>
                <w:color w:val="auto"/>
              </w:rPr>
            </w:pPr>
            <w:r>
              <w:rPr>
                <w:rFonts w:ascii="Arial" w:cs="Arial" w:eastAsia="Arial" w:hAnsi="Arial"/>
                <w:sz w:val="18"/>
                <w:szCs w:val="18"/>
                <w:color w:val="auto"/>
              </w:rPr>
              <w:t>Section 302 Certification of the Chief Executive Officer pursuant to Exchange Act Rule 13a-14(a).</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320"/>
              <w:spacing w:after="0"/>
              <w:rPr>
                <w:sz w:val="20"/>
                <w:szCs w:val="20"/>
                <w:color w:val="auto"/>
              </w:rPr>
            </w:pPr>
            <w:r>
              <w:rPr>
                <w:rFonts w:ascii="Arial" w:cs="Arial" w:eastAsia="Arial" w:hAnsi="Arial"/>
                <w:sz w:val="18"/>
                <w:szCs w:val="18"/>
                <w:color w:val="auto"/>
              </w:rPr>
              <w:t>Section 302 Certification of the Chief Financial Officer pursuant to Exchange Act Rule 13a-14(a).</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320"/>
              <w:spacing w:after="0"/>
              <w:rPr>
                <w:sz w:val="20"/>
                <w:szCs w:val="20"/>
                <w:color w:val="auto"/>
              </w:rPr>
            </w:pPr>
            <w:r>
              <w:rPr>
                <w:rFonts w:ascii="Arial" w:cs="Arial" w:eastAsia="Arial" w:hAnsi="Arial"/>
                <w:sz w:val="18"/>
                <w:szCs w:val="18"/>
                <w:color w:val="auto"/>
                <w:w w:val="93"/>
              </w:rPr>
              <w:t>Certification of the Chief Executive Officer and Chief Financial Officer pursuant to Section 906 of the Sarbanes-Oxley Act of 2002.</w:t>
            </w:r>
          </w:p>
        </w:tc>
      </w:tr>
    </w:tbl>
    <w:p>
      <w:pPr>
        <w:spacing w:after="0" w:line="200" w:lineRule="exact"/>
        <w:rPr>
          <w:sz w:val="20"/>
          <w:szCs w:val="20"/>
          <w:color w:val="auto"/>
        </w:rPr>
      </w:pPr>
    </w:p>
    <w:p>
      <w:pPr>
        <w:sectPr>
          <w:pgSz w:w="11900" w:h="16838" w:orient="portrait"/>
          <w:cols w:equalWidth="0" w:num="1">
            <w:col w:w="10860"/>
          </w:cols>
          <w:pgMar w:left="240" w:top="125" w:right="799" w:bottom="1440" w:gutter="0" w:footer="0" w:header="0"/>
        </w:sectPr>
      </w:pPr>
    </w:p>
    <w:p>
      <w:pPr>
        <w:spacing w:after="0" w:line="177"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860"/>
          </w:cols>
          <w:pgMar w:left="240" w:top="125" w:right="79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jc w:val="right"/>
              <w:ind w:right="330"/>
              <w:spacing w:after="0"/>
              <w:rPr>
                <w:sz w:val="20"/>
                <w:szCs w:val="20"/>
                <w:color w:val="auto"/>
              </w:rPr>
            </w:pPr>
            <w:r>
              <w:rPr>
                <w:rFonts w:ascii="Arial" w:cs="Arial" w:eastAsia="Arial" w:hAnsi="Arial"/>
                <w:sz w:val="18"/>
                <w:szCs w:val="18"/>
                <w:color w:val="auto"/>
                <w:w w:val="91"/>
              </w:rPr>
              <w:t>101*</w:t>
            </w:r>
          </w:p>
        </w:tc>
        <w:tc>
          <w:tcPr>
            <w:tcW w:w="10040" w:type="dxa"/>
            <w:vAlign w:val="bottom"/>
          </w:tcPr>
          <w:p>
            <w:pPr>
              <w:ind w:left="420"/>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Annual Report on Form 10-K for</w:t>
            </w:r>
          </w:p>
        </w:tc>
      </w:tr>
      <w:tr>
        <w:trPr>
          <w:trHeight w:val="216"/>
        </w:trPr>
        <w:tc>
          <w:tcPr>
            <w:tcW w:w="78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w w:val="93"/>
              </w:rPr>
              <w:t>the year ended December 31, 2015 is formatted in XBRL interactive data files: (i) Consolidated Balance Sheets at December 31,</w:t>
            </w:r>
          </w:p>
        </w:tc>
      </w:tr>
      <w:tr>
        <w:trPr>
          <w:trHeight w:val="216"/>
        </w:trPr>
        <w:tc>
          <w:tcPr>
            <w:tcW w:w="78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w w:val="95"/>
              </w:rPr>
              <w:t>2015 and December 31, 2014; (ii) Consolidated Statements of Operations for each of the years in the three-year period ended</w:t>
            </w:r>
          </w:p>
        </w:tc>
      </w:tr>
      <w:tr>
        <w:trPr>
          <w:trHeight w:val="230"/>
        </w:trPr>
        <w:tc>
          <w:tcPr>
            <w:tcW w:w="78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w w:val="90"/>
              </w:rPr>
              <w:t>December 31, 2015; (iii) Consolidated Statements of Equity for each of the years in the three-year period ended December 31, 2015;</w:t>
            </w:r>
          </w:p>
        </w:tc>
      </w:tr>
    </w:tbl>
    <w:p>
      <w:pPr>
        <w:ind w:left="1240" w:hanging="3"/>
        <w:spacing w:after="0" w:line="261" w:lineRule="auto"/>
        <w:tabs>
          <w:tab w:leader="none" w:pos="1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years in the three-year period ended December 31, 2015; (v) Notes to Consolidated Financial Statements; and (vi) Financial Statement Schedule.</w:t>
      </w:r>
    </w:p>
    <w:p>
      <w:pPr>
        <w:spacing w:after="0" w:line="34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84" w:lineRule="exact"/>
        <w:rPr>
          <w:rFonts w:ascii="Arial" w:cs="Arial" w:eastAsia="Arial" w:hAnsi="Arial"/>
          <w:sz w:val="18"/>
          <w:szCs w:val="18"/>
          <w:color w:val="auto"/>
        </w:rPr>
      </w:pPr>
    </w:p>
    <w:p>
      <w:pPr>
        <w:ind w:left="1180" w:right="60" w:hanging="639"/>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30" w:lineRule="exact"/>
        <w:rPr>
          <w:sz w:val="20"/>
          <w:szCs w:val="20"/>
          <w:color w:val="auto"/>
        </w:rPr>
      </w:pPr>
    </w:p>
    <w:p>
      <w:pPr>
        <w:ind w:left="1180" w:hanging="63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7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60"/>
          </w:cols>
          <w:pgMar w:left="240" w:top="125" w:right="7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2015, 2014 and 2013:</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60"/>
              <w:spacing w:after="0"/>
              <w:rPr>
                <w:sz w:val="20"/>
                <w:szCs w:val="20"/>
                <w:color w:val="auto"/>
              </w:rPr>
            </w:pPr>
            <w:r>
              <w:rPr>
                <w:rFonts w:ascii="Arial" w:cs="Arial" w:eastAsia="Arial" w:hAnsi="Arial"/>
                <w:sz w:val="16"/>
                <w:szCs w:val="16"/>
                <w:b w:val="1"/>
                <w:bCs w:val="1"/>
                <w:color w:val="auto"/>
              </w:rPr>
              <w:t>Additions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6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23"/>
                <w:szCs w:val="23"/>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23"/>
                <w:szCs w:val="2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 Accounts</w:t>
            </w:r>
          </w:p>
        </w:tc>
        <w:tc>
          <w:tcPr>
            <w:tcW w:w="200" w:type="dxa"/>
            <w:vAlign w:val="bottom"/>
          </w:tcPr>
          <w:p>
            <w:pPr>
              <w:spacing w:after="0"/>
              <w:rPr>
                <w:sz w:val="23"/>
                <w:szCs w:val="23"/>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23"/>
                <w:szCs w:val="23"/>
                <w:color w:val="auto"/>
              </w:rPr>
            </w:pPr>
          </w:p>
        </w:tc>
        <w:tc>
          <w:tcPr>
            <w:tcW w:w="118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60" w:type="dxa"/>
            <w:vAlign w:val="bottom"/>
          </w:tcPr>
          <w:p>
            <w:pPr>
              <w:spacing w:after="0"/>
              <w:rPr>
                <w:sz w:val="24"/>
                <w:szCs w:val="24"/>
                <w:color w:val="auto"/>
              </w:rPr>
            </w:pP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7"/>
              </w:rPr>
              <w:t>Note (a)(b)</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Note (c)(d)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End of Period</w:t>
            </w:r>
          </w:p>
        </w:tc>
      </w:tr>
      <w:tr>
        <w:trPr>
          <w:trHeight w:val="486"/>
        </w:trPr>
        <w:tc>
          <w:tcPr>
            <w:tcW w:w="6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Deductions from asset accounts: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2015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b w:val="1"/>
                <w:bCs w:val="1"/>
                <w:color w:val="auto"/>
              </w:rPr>
              <w:t>22,675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5,514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9,729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18,456</w:t>
            </w: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22,675</w:t>
            </w: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Year 2013</w:t>
            </w: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5,631</w:t>
            </w: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2015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b w:val="1"/>
                <w:bCs w:val="1"/>
                <w:color w:val="auto"/>
              </w:rPr>
              <w:t>3,115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b w:val="1"/>
                <w:bCs w:val="1"/>
                <w:color w:val="auto"/>
              </w:rPr>
              <w:t>674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3,558</w:t>
            </w:r>
          </w:p>
        </w:tc>
      </w:tr>
      <w:tr>
        <w:trPr>
          <w:trHeight w:val="27"/>
        </w:trPr>
        <w:tc>
          <w:tcPr>
            <w:tcW w:w="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3,115</w:t>
            </w: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Year 2013</w:t>
            </w: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3,189</w:t>
            </w:r>
          </w:p>
        </w:tc>
      </w:tr>
      <w:tr>
        <w:trPr>
          <w:trHeight w:val="243"/>
        </w:trPr>
        <w:tc>
          <w:tcPr>
            <w:tcW w:w="4040" w:type="dxa"/>
            <w:vAlign w:val="bottom"/>
            <w:gridSpan w:val="2"/>
          </w:tcPr>
          <w:p>
            <w:pPr>
              <w:jc w:val="right"/>
              <w:ind w:right="531"/>
              <w:spacing w:after="0"/>
              <w:rPr>
                <w:sz w:val="20"/>
                <w:szCs w:val="20"/>
                <w:color w:val="auto"/>
              </w:rPr>
            </w:pPr>
            <w:r>
              <w:rPr>
                <w:rFonts w:ascii="Arial" w:cs="Arial" w:eastAsia="Arial" w:hAnsi="Arial"/>
                <w:sz w:val="18"/>
                <w:szCs w:val="18"/>
                <w:color w:val="auto"/>
                <w:w w:val="89"/>
              </w:rPr>
              <w:t>______________________________________</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02" w:lineRule="exact"/>
        <w:rPr>
          <w:sz w:val="20"/>
          <w:szCs w:val="20"/>
          <w:color w:val="auto"/>
        </w:rPr>
      </w:pPr>
    </w:p>
    <w:p>
      <w:pPr>
        <w:ind w:firstLine="8"/>
        <w:spacing w:after="0" w:line="291" w:lineRule="auto"/>
        <w:tabs>
          <w:tab w:leader="none" w:pos="2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Allowance for doubtful accounts primarily includes amounts previously written off which were credited directly to this account when recovered. (b)Valuation allowance for deferred tax assets includes current year increase to valuation allowance charged to equity and reclassifications from other balance</w:t>
      </w:r>
    </w:p>
    <w:p>
      <w:pPr>
        <w:ind w:left="260"/>
        <w:spacing w:after="0"/>
        <w:rPr>
          <w:rFonts w:ascii="Arial" w:cs="Arial" w:eastAsia="Arial" w:hAnsi="Arial"/>
          <w:sz w:val="16"/>
          <w:szCs w:val="16"/>
          <w:color w:val="auto"/>
        </w:rPr>
      </w:pPr>
      <w:r>
        <w:rPr>
          <w:rFonts w:ascii="Arial" w:cs="Arial" w:eastAsia="Arial" w:hAnsi="Arial"/>
          <w:sz w:val="18"/>
          <w:szCs w:val="18"/>
          <w:color w:val="auto"/>
        </w:rPr>
        <w:t>sheet accounts.</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written off as uncollectible or transferred to other accounts or utilized.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Reductions to valuation allowances related to deferred tax assets.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383"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b w:val="1"/>
                <w:bCs w:val="1"/>
                <w:color w:val="auto"/>
              </w:rPr>
              <w:t>Altisource Portfolio Solutions S.A.</w:t>
            </w:r>
          </w:p>
        </w:tc>
      </w:tr>
      <w:tr>
        <w:trPr>
          <w:trHeight w:val="9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/s/ William B. Shepro</w:t>
            </w:r>
          </w:p>
        </w:tc>
      </w:tr>
      <w:tr>
        <w:trPr>
          <w:trHeight w:val="27"/>
        </w:trPr>
        <w:tc>
          <w:tcPr>
            <w:tcW w:w="4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Name:</w:t>
            </w:r>
          </w:p>
        </w:tc>
        <w:tc>
          <w:tcPr>
            <w:tcW w:w="3700" w:type="dxa"/>
            <w:vAlign w:val="bottom"/>
          </w:tcPr>
          <w:p>
            <w:pPr>
              <w:ind w:left="120"/>
              <w:spacing w:after="0"/>
              <w:rPr>
                <w:sz w:val="20"/>
                <w:szCs w:val="20"/>
                <w:color w:val="auto"/>
              </w:rPr>
            </w:pPr>
            <w:r>
              <w:rPr>
                <w:rFonts w:ascii="Arial" w:cs="Arial" w:eastAsia="Arial" w:hAnsi="Arial"/>
                <w:sz w:val="18"/>
                <w:szCs w:val="18"/>
                <w:color w:val="auto"/>
              </w:rPr>
              <w:t>William B. Shepro</w:t>
            </w:r>
          </w:p>
        </w:tc>
      </w:tr>
      <w:tr>
        <w:trPr>
          <w:trHeight w:val="270"/>
        </w:trPr>
        <w:tc>
          <w:tcPr>
            <w:tcW w:w="46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700" w:type="dxa"/>
            <w:vAlign w:val="bottom"/>
          </w:tcPr>
          <w:p>
            <w:pPr>
              <w:ind w:left="12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4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Name:</w:t>
            </w:r>
          </w:p>
        </w:tc>
        <w:tc>
          <w:tcPr>
            <w:tcW w:w="3700" w:type="dxa"/>
            <w:vAlign w:val="bottom"/>
          </w:tcPr>
          <w:p>
            <w:pPr>
              <w:ind w:left="120"/>
              <w:spacing w:after="0"/>
              <w:rPr>
                <w:sz w:val="20"/>
                <w:szCs w:val="20"/>
                <w:color w:val="auto"/>
              </w:rPr>
            </w:pPr>
            <w:r>
              <w:rPr>
                <w:rFonts w:ascii="Arial" w:cs="Arial" w:eastAsia="Arial" w:hAnsi="Arial"/>
                <w:sz w:val="18"/>
                <w:szCs w:val="18"/>
                <w:color w:val="auto"/>
              </w:rPr>
              <w:t>Michelle D. Esterman</w:t>
            </w:r>
          </w:p>
        </w:tc>
      </w:tr>
      <w:tr>
        <w:trPr>
          <w:trHeight w:val="270"/>
        </w:trPr>
        <w:tc>
          <w:tcPr>
            <w:tcW w:w="46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7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56"/>
        </w:trPr>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4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25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67"/>
        </w:trPr>
        <w:tc>
          <w:tcPr>
            <w:tcW w:w="2560" w:type="dxa"/>
            <w:vAlign w:val="bottom"/>
          </w:tcPr>
          <w:p>
            <w:pPr>
              <w:ind w:left="20"/>
              <w:spacing w:after="0"/>
              <w:rPr>
                <w:sz w:val="20"/>
                <w:szCs w:val="20"/>
                <w:color w:val="auto"/>
              </w:rPr>
            </w:pPr>
            <w:r>
              <w:rPr>
                <w:rFonts w:ascii="Arial" w:cs="Arial" w:eastAsia="Arial" w:hAnsi="Arial"/>
                <w:sz w:val="18"/>
                <w:szCs w:val="18"/>
                <w:color w:val="auto"/>
              </w:rPr>
              <w:t>/s/ Timo Vättö</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of the Board of Directors</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March 15, 2016</w:t>
            </w: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Timo Vättö</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94"/>
        </w:trPr>
        <w:tc>
          <w:tcPr>
            <w:tcW w:w="2560" w:type="dxa"/>
            <w:vAlign w:val="bottom"/>
          </w:tcPr>
          <w:p>
            <w:pPr>
              <w:ind w:left="20"/>
              <w:spacing w:after="0"/>
              <w:rPr>
                <w:sz w:val="20"/>
                <w:szCs w:val="20"/>
                <w:color w:val="auto"/>
              </w:rPr>
            </w:pPr>
            <w:r>
              <w:rPr>
                <w:rFonts w:ascii="Arial" w:cs="Arial" w:eastAsia="Arial" w:hAnsi="Arial"/>
                <w:sz w:val="18"/>
                <w:szCs w:val="18"/>
                <w:color w:val="auto"/>
              </w:rPr>
              <w:t>/s/ William B. Shepro</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Director and Chief Executive Officer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March 15, 2016</w:t>
            </w: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 w:type="dxa"/>
            <w:vAlign w:val="bottom"/>
          </w:tcPr>
          <w:p>
            <w:pPr>
              <w:spacing w:after="0"/>
              <w:rPr>
                <w:sz w:val="20"/>
                <w:szCs w:val="20"/>
                <w:color w:val="auto"/>
              </w:rPr>
            </w:pPr>
          </w:p>
        </w:tc>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220" w:type="dxa"/>
            <w:vAlign w:val="bottom"/>
          </w:tcPr>
          <w:p>
            <w:pPr>
              <w:spacing w:after="0"/>
              <w:rPr>
                <w:sz w:val="20"/>
                <w:szCs w:val="20"/>
                <w:color w:val="auto"/>
              </w:rPr>
            </w:pPr>
          </w:p>
        </w:tc>
      </w:tr>
      <w:tr>
        <w:trPr>
          <w:trHeight w:val="594"/>
        </w:trPr>
        <w:tc>
          <w:tcPr>
            <w:tcW w:w="2560" w:type="dxa"/>
            <w:vAlign w:val="bottom"/>
          </w:tcPr>
          <w:p>
            <w:pPr>
              <w:ind w:left="20"/>
              <w:spacing w:after="0"/>
              <w:rPr>
                <w:sz w:val="20"/>
                <w:szCs w:val="20"/>
                <w:color w:val="auto"/>
              </w:rPr>
            </w:pPr>
            <w:r>
              <w:rPr>
                <w:rFonts w:ascii="Arial" w:cs="Arial" w:eastAsia="Arial" w:hAnsi="Arial"/>
                <w:sz w:val="18"/>
                <w:szCs w:val="18"/>
                <w:color w:val="auto"/>
              </w:rPr>
              <w:t>/s/ W. Michael Linn</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March 15, 2016</w:t>
            </w: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W. Michael Linn</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94"/>
        </w:trPr>
        <w:tc>
          <w:tcPr>
            <w:tcW w:w="2560" w:type="dxa"/>
            <w:vAlign w:val="bottom"/>
          </w:tcPr>
          <w:p>
            <w:pPr>
              <w:ind w:left="20"/>
              <w:spacing w:after="0"/>
              <w:rPr>
                <w:sz w:val="20"/>
                <w:szCs w:val="20"/>
                <w:color w:val="auto"/>
              </w:rPr>
            </w:pPr>
            <w:r>
              <w:rPr>
                <w:rFonts w:ascii="Arial" w:cs="Arial" w:eastAsia="Arial" w:hAnsi="Arial"/>
                <w:sz w:val="18"/>
                <w:szCs w:val="18"/>
                <w:color w:val="auto"/>
              </w:rPr>
              <w:t>/s/ Roland Müller-Ineichen</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March 15, 2016</w:t>
            </w: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Roland Müller-Ineichen</w:t>
            </w:r>
          </w:p>
        </w:tc>
        <w:tc>
          <w:tcPr>
            <w:tcW w:w="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594"/>
        </w:trPr>
        <w:tc>
          <w:tcPr>
            <w:tcW w:w="2560" w:type="dxa"/>
            <w:vAlign w:val="bottom"/>
          </w:tcPr>
          <w:p>
            <w:pPr>
              <w:ind w:left="20"/>
              <w:spacing w:after="0"/>
              <w:rPr>
                <w:sz w:val="20"/>
                <w:szCs w:val="20"/>
                <w:color w:val="auto"/>
              </w:rPr>
            </w:pPr>
            <w:r>
              <w:rPr>
                <w:rFonts w:ascii="Arial" w:cs="Arial" w:eastAsia="Arial" w:hAnsi="Arial"/>
                <w:sz w:val="18"/>
                <w:szCs w:val="18"/>
                <w:color w:val="auto"/>
              </w:rPr>
              <w:t>/s/ Michelle D. Esterman</w:t>
            </w:r>
          </w:p>
        </w:tc>
        <w:tc>
          <w:tcPr>
            <w:tcW w:w="100" w:type="dxa"/>
            <w:vAlign w:val="bottom"/>
          </w:tcPr>
          <w:p>
            <w:pPr>
              <w:spacing w:after="0"/>
              <w:rPr>
                <w:sz w:val="24"/>
                <w:szCs w:val="2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March 15, 2016</w:t>
            </w:r>
          </w:p>
        </w:tc>
      </w:tr>
      <w:tr>
        <w:trPr>
          <w:trHeight w:val="27"/>
        </w:trPr>
        <w:tc>
          <w:tcPr>
            <w:tcW w:w="2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Michelle D. Esterman</w:t>
            </w:r>
          </w:p>
        </w:tc>
        <w:tc>
          <w:tcPr>
            <w:tcW w:w="100" w:type="dxa"/>
            <w:vAlign w:val="bottom"/>
          </w:tcPr>
          <w:p>
            <w:pPr>
              <w:spacing w:after="0"/>
              <w:rPr>
                <w:sz w:val="20"/>
                <w:szCs w:val="20"/>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2220" w:type="dxa"/>
            <w:vAlign w:val="bottom"/>
          </w:tcPr>
          <w:p>
            <w:pPr>
              <w:spacing w:after="0"/>
              <w:rPr>
                <w:sz w:val="20"/>
                <w:szCs w:val="20"/>
                <w:color w:val="auto"/>
              </w:rPr>
            </w:pPr>
          </w:p>
        </w:tc>
      </w:tr>
      <w:tr>
        <w:trPr>
          <w:trHeight w:val="702"/>
        </w:trPr>
        <w:tc>
          <w:tcPr>
            <w:tcW w:w="2560" w:type="dxa"/>
            <w:vAlign w:val="bottom"/>
          </w:tcPr>
          <w:p>
            <w:pPr>
              <w:spacing w:after="0"/>
              <w:rPr>
                <w:sz w:val="24"/>
                <w:szCs w:val="24"/>
                <w:color w:val="auto"/>
              </w:rPr>
            </w:pPr>
          </w:p>
        </w:tc>
        <w:tc>
          <w:tcPr>
            <w:tcW w:w="5740" w:type="dxa"/>
            <w:vAlign w:val="bottom"/>
            <w:gridSpan w:val="2"/>
          </w:tcPr>
          <w:p>
            <w:pPr>
              <w:jc w:val="right"/>
              <w:ind w:right="277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72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10069195</wp:posOffset>
            </wp:positionV>
            <wp:extent cx="666750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72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72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363220</wp:posOffset>
            </wp:positionV>
            <wp:extent cx="6667500" cy="9572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10069195</wp:posOffset>
            </wp:positionV>
            <wp:extent cx="666750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0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72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518160</wp:posOffset>
            </wp:positionV>
            <wp:extent cx="6667500" cy="9572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517525</wp:posOffset>
            </wp:positionV>
            <wp:extent cx="6667500" cy="9572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67500" cy="9572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subsidiaries of Altisource Portfolio Solutions S.A. as of December 31, 2015 and the jurisdictions in which they are organized.</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w w:val="95"/>
              </w:rPr>
              <w:t>Jurisdiction of incorporation or</w:t>
            </w:r>
          </w:p>
        </w:tc>
        <w:tc>
          <w:tcPr>
            <w:tcW w:w="0" w:type="dxa"/>
            <w:vAlign w:val="bottom"/>
          </w:tcPr>
          <w:p>
            <w:pPr>
              <w:spacing w:after="0"/>
              <w:rPr>
                <w:sz w:val="1"/>
                <w:szCs w:val="1"/>
                <w:color w:val="auto"/>
              </w:rPr>
            </w:pPr>
          </w:p>
        </w:tc>
      </w:tr>
      <w:tr>
        <w:trPr>
          <w:trHeight w:val="192"/>
        </w:trPr>
        <w:tc>
          <w:tcPr>
            <w:tcW w:w="8780" w:type="dxa"/>
            <w:vAlign w:val="bottom"/>
            <w:gridSpan w:val="2"/>
            <w:vMerge w:val="continue"/>
          </w:tcPr>
          <w:p>
            <w:pPr>
              <w:spacing w:after="0"/>
              <w:rPr>
                <w:sz w:val="16"/>
                <w:szCs w:val="16"/>
                <w:color w:val="auto"/>
              </w:rPr>
            </w:pPr>
          </w:p>
        </w:tc>
        <w:tc>
          <w:tcPr>
            <w:tcW w:w="2060" w:type="dxa"/>
            <w:vAlign w:val="bottom"/>
          </w:tcPr>
          <w:p>
            <w:pPr>
              <w:ind w:left="640"/>
              <w:spacing w:after="0"/>
              <w:rPr>
                <w:sz w:val="20"/>
                <w:szCs w:val="20"/>
                <w:color w:val="auto"/>
              </w:rPr>
            </w:pPr>
            <w:r>
              <w:rPr>
                <w:rFonts w:ascii="Arial" w:cs="Arial" w:eastAsia="Arial" w:hAnsi="Arial"/>
                <w:sz w:val="14"/>
                <w:szCs w:val="14"/>
                <w:b w:val="1"/>
                <w:bCs w:val="1"/>
                <w:color w:val="auto"/>
              </w:rPr>
              <w:t>organization</w:t>
            </w:r>
          </w:p>
        </w:tc>
        <w:tc>
          <w:tcPr>
            <w:tcW w:w="0" w:type="dxa"/>
            <w:vAlign w:val="bottom"/>
          </w:tcPr>
          <w:p>
            <w:pPr>
              <w:spacing w:after="0"/>
              <w:rPr>
                <w:sz w:val="1"/>
                <w:szCs w:val="1"/>
                <w:color w:val="auto"/>
              </w:rPr>
            </w:pPr>
          </w:p>
        </w:tc>
      </w:tr>
      <w:tr>
        <w:trPr>
          <w:trHeight w:val="243"/>
        </w:trPr>
        <w:tc>
          <w:tcPr>
            <w:tcW w:w="8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Holdings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Asia Holdings Ltd I</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Business Solutions Private Limited</w:t>
            </w:r>
          </w:p>
        </w:tc>
        <w:tc>
          <w:tcPr>
            <w:tcW w:w="20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Portfolio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Fulfillment Operations,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REALHome Services and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US Data,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Springhouse, LLC</w:t>
            </w:r>
          </w:p>
        </w:tc>
        <w:tc>
          <w:tcPr>
            <w:tcW w:w="2060" w:type="dxa"/>
            <w:vAlign w:val="bottom"/>
          </w:tcPr>
          <w:p>
            <w:pPr>
              <w:ind w:left="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Progressive – Nevada,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Premium Title Services, Inc.</w:t>
            </w:r>
          </w:p>
        </w:tc>
        <w:tc>
          <w:tcPr>
            <w:tcW w:w="2060" w:type="dxa"/>
            <w:vAlign w:val="bottom"/>
          </w:tcPr>
          <w:p>
            <w:pPr>
              <w:ind w:left="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Premium Title Agency,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Western Progressive – Arizona,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Premium Title of California,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PTS – Texas Title,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Nationwide Credit,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Online Auction,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Power Default Services,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Beltline Road Insurance Agency, Inc.</w:t>
            </w:r>
          </w:p>
        </w:tc>
        <w:tc>
          <w:tcPr>
            <w:tcW w:w="206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Asset Acquisition,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Owners Realty, Inc.</w:t>
            </w:r>
          </w:p>
        </w:tc>
        <w:tc>
          <w:tcPr>
            <w:tcW w:w="20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Hubzu USA,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Hubzu Notes,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noteXchange,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Western Progressive Trustee,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Outsourcing Solutions S.R.L.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Holdings,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Single Family,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Solutions B.V.</w:t>
            </w:r>
          </w:p>
        </w:tc>
        <w:tc>
          <w:tcPr>
            <w:tcW w:w="20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Business Solutions,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The Mortgage Partnership of America, L.L.C.</w:t>
            </w:r>
          </w:p>
        </w:tc>
        <w:tc>
          <w:tcPr>
            <w:tcW w:w="2060" w:type="dxa"/>
            <w:vAlign w:val="bottom"/>
          </w:tcPr>
          <w:p>
            <w:pPr>
              <w:ind w:left="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Equator,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Real Estate Web Portal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Consumer Analytics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Mortgage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Spend Management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Business Solutions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Technology Solutions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Collaborative S.à r.l.</w:t>
            </w:r>
          </w:p>
        </w:tc>
        <w:tc>
          <w:tcPr>
            <w:tcW w:w="20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Document Solutions S.à r.l.</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Association of Certified Originators</w:t>
            </w:r>
          </w:p>
        </w:tc>
        <w:tc>
          <w:tcPr>
            <w:tcW w:w="206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CastleLine Re, Inc.</w:t>
            </w:r>
          </w:p>
        </w:tc>
        <w:tc>
          <w:tcPr>
            <w:tcW w:w="206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CastleLine Risk and Insurance Services,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CastleLine Holdings, LLC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GoldenGator,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REIsmart, LLC</w:t>
            </w:r>
          </w:p>
        </w:tc>
        <w:tc>
          <w:tcPr>
            <w:tcW w:w="2060" w:type="dxa"/>
            <w:vAlign w:val="bottom"/>
          </w:tcPr>
          <w:p>
            <w:pPr>
              <w:ind w:left="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Onit Solutions, LLC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Altisource Access, Inc.</w:t>
            </w: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Altisource Access CA, Inc.</w:t>
            </w:r>
          </w:p>
        </w:tc>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Western Progressive - Washington, Inc.</w:t>
            </w:r>
          </w:p>
        </w:tc>
        <w:tc>
          <w:tcPr>
            <w:tcW w:w="206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bl>
    <w:p>
      <w:pPr>
        <w:sectPr>
          <w:pgSz w:w="11900" w:h="16838" w:orient="portrait"/>
          <w:cols w:equalWidth="0" w:num="1">
            <w:col w:w="11240"/>
          </w:cols>
          <w:pgMar w:left="420" w:top="580" w:right="239" w:bottom="0" w:gutter="0" w:footer="0" w:header="0"/>
        </w:sectPr>
      </w:pPr>
    </w:p>
    <w:bookmarkStart w:id="162" w:name="page163"/>
    <w:bookmarkEnd w:id="1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 333-161175 on Form S-8 of our reports dated March 15, 2016, relating to the consolidated financial statements and financial statement schedule of Altisource Portfolio Solutions S.A. and subsidiaries (the “Company”) (which report expresses an unqualified opinion on the consolidated financial statements and includes an explanatory paragraph related to the concentration of revenue with Ocwen Financial Corporation and an emphasis of a matter paragraph related to uncertainties faced by Ocwen), and our report dated March 15, 2016, relating to internal control over financial reporting (which report expressed an adverse opinion on the effectiveness of the Company’s internal control over financial reporting because of a material weakness) appearing in this Annual Report on Form 10-K of the Company for the year ended December 31, 2015.</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and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58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2015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5840" w:val="left"/>
          <w:tab w:leader="none" w:pos="6520" w:val="left"/>
        </w:tabs>
        <w:rPr>
          <w:sz w:val="20"/>
          <w:szCs w:val="20"/>
          <w:color w:val="auto"/>
        </w:rPr>
      </w:pPr>
      <w:r>
        <w:rPr>
          <w:rFonts w:ascii="Arial" w:cs="Arial" w:eastAsia="Arial" w:hAnsi="Arial"/>
          <w:sz w:val="18"/>
          <w:szCs w:val="18"/>
          <w:color w:val="auto"/>
        </w:rPr>
        <w:t>Date: March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2015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840" w:val="left"/>
          <w:tab w:leader="none" w:pos="6520" w:val="left"/>
        </w:tabs>
        <w:rPr>
          <w:sz w:val="20"/>
          <w:szCs w:val="20"/>
          <w:color w:val="auto"/>
        </w:rPr>
      </w:pPr>
      <w:r>
        <w:rPr>
          <w:rFonts w:ascii="Arial" w:cs="Arial" w:eastAsia="Arial" w:hAnsi="Arial"/>
          <w:sz w:val="18"/>
          <w:szCs w:val="18"/>
          <w:color w:val="auto"/>
        </w:rPr>
        <w:t>Date: March 15,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ANNUAL REPORT ON FORM 10-K OF ALTISOURCE PORTFOLIO SOLUTIONS S.A. FOR THE YEAR ENDED DECEMBER 31, 2015</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2015,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March 15, 2016</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March 15, 2016</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lvl>
    <w:lvl w:ilvl="1">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3"/>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lowerRoman"/>
      <w:start w:val="5"/>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lvl w:ilvl="1">
      <w:lvlJc w:val="left"/>
      <w:lvlText w:val="(%2)"/>
      <w:numFmt w:val="lowerRoman"/>
      <w:start w:val="4"/>
    </w:lvl>
  </w:abstractNum>
  <w:abstractNum w:abstractNumId="25">
    <w:nsid w:val="2901D82"/>
    <w:multiLevelType w:val="hybridMultilevel"/>
    <w:lvl w:ilvl="0">
      <w:lvlJc w:val="left"/>
      <w:lvlText w:val="**"/>
      <w:numFmt w:val="bullet"/>
      <w:start w:val="1"/>
    </w:lvl>
    <w:lvl w:ilvl="1">
      <w:lvlJc w:val="left"/>
      <w:lvlText w:val="%2"/>
      <w:numFmt w:val="lowerRoman"/>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3"/>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2019-12-29T12:30:27Z</dcterms:created>
  <dcterms:modified xsi:type="dcterms:W3CDTF">2019-12-29T12:30:27Z</dcterms:modified>
</cp:coreProperties>
</file>