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-195580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92"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-248285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 the quarterly period ended March 31, 2015</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380" w:right="1300" w:hanging="3967"/>
        <w:spacing w:after="0" w:line="296" w:lineRule="auto"/>
        <w:tabs>
          <w:tab w:leader="none" w:pos="957"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125730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Luxembourg</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98-0554932</w:t>
      </w:r>
    </w:p>
    <w:p>
      <w:pPr>
        <w:spacing w:after="0" w:line="79" w:lineRule="exact"/>
        <w:rPr>
          <w:sz w:val="24"/>
          <w:szCs w:val="24"/>
          <w:color w:val="auto"/>
        </w:rPr>
      </w:pPr>
    </w:p>
    <w:p>
      <w:pPr>
        <w:sectPr>
          <w:pgSz w:w="11900" w:h="16838" w:orient="portrait"/>
          <w:cols w:equalWidth="0" w:num="2">
            <w:col w:w="7400" w:space="720"/>
            <w:col w:w="3300"/>
          </w:cols>
          <w:pgMar w:left="240" w:top="507" w:right="2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507"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 avenue Monterey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L-2163 Luxembourg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ind w:left="5500" w:hanging="431"/>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24 69 79 00</w:t>
      </w:r>
    </w:p>
    <w:p>
      <w:pPr>
        <w:spacing w:after="0" w:line="31" w:lineRule="exact"/>
        <w:rPr>
          <w:rFonts w:ascii="Times New Roman" w:cs="Times New Roman" w:eastAsia="Times New Roman" w:hAnsi="Times New Roman"/>
          <w:sz w:val="18"/>
          <w:szCs w:val="18"/>
          <w:b w:val="1"/>
          <w:bCs w:val="1"/>
          <w:color w:val="auto"/>
        </w:rPr>
      </w:pPr>
    </w:p>
    <w:p>
      <w:pPr>
        <w:ind w:left="4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(Registrant’s telephone number)</w:t>
      </w:r>
    </w:p>
    <w:p>
      <w:pPr>
        <w:spacing w:after="0" w:line="207"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Times New Roman" w:cs="Times New Roman" w:eastAsia="Times New Roman" w:hAnsi="Times New Roman"/>
          <w:sz w:val="16"/>
          <w:szCs w:val="16"/>
          <w:b w:val="1"/>
          <w:bCs w:val="1"/>
          <w:color w:val="auto"/>
        </w:rPr>
        <w:t>o</w:t>
      </w:r>
    </w:p>
    <w:p>
      <w:pPr>
        <w:spacing w:after="0" w:line="15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6"/>
          <w:szCs w:val="16"/>
          <w:b w:val="1"/>
          <w:bCs w:val="1"/>
          <w:color w:val="auto"/>
        </w:rPr>
        <w:t>o</w:t>
      </w:r>
    </w:p>
    <w:p>
      <w:pPr>
        <w:spacing w:after="0" w:line="182"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07" w:right="239" w:bottom="1440" w:gutter="0" w:footer="0" w:header="0"/>
          <w:type w:val="continuous"/>
        </w:sectPr>
      </w:pPr>
    </w:p>
    <w:p>
      <w:pPr>
        <w:spacing w:after="0" w:line="83" w:lineRule="exact"/>
        <w:rPr>
          <w:sz w:val="24"/>
          <w:szCs w:val="24"/>
          <w:color w:val="auto"/>
        </w:rPr>
      </w:pPr>
    </w:p>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73" w:lineRule="exact"/>
        <w:rPr>
          <w:sz w:val="24"/>
          <w:szCs w:val="24"/>
          <w:color w:val="auto"/>
        </w:rPr>
      </w:pPr>
    </w:p>
    <w:p>
      <w:pPr>
        <w:sectPr>
          <w:pgSz w:w="11900" w:h="16838" w:orient="portrait"/>
          <w:cols w:equalWidth="0" w:num="2">
            <w:col w:w="7520" w:space="720"/>
            <w:col w:w="3180"/>
          </w:cols>
          <w:pgMar w:left="240" w:top="507" w:right="2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200" w:lineRule="exact"/>
        <w:rPr>
          <w:sz w:val="24"/>
          <w:szCs w:val="24"/>
          <w:color w:val="auto"/>
        </w:rPr>
      </w:pPr>
    </w:p>
    <w:p>
      <w:pPr>
        <w:sectPr>
          <w:pgSz w:w="11900" w:h="16838" w:orient="portrait"/>
          <w:cols w:equalWidth="0" w:num="2">
            <w:col w:w="7520" w:space="720"/>
            <w:col w:w="3180"/>
          </w:cols>
          <w:pgMar w:left="240" w:top="507" w:right="239" w:bottom="1440" w:gutter="0" w:footer="0" w:header="0"/>
          <w:type w:val="continuous"/>
        </w:sectPr>
      </w:pPr>
    </w:p>
    <w:p>
      <w:pPr>
        <w:spacing w:after="0" w:line="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20, 2015, there were 20,132,326 outstanding shares of the registrant’s shares of beneficial interest (excluding 5,280,422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97790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PART I — Financial Information</w:t>
              </w:r>
            </w:hyperlink>
          </w:p>
        </w:tc>
        <w:tc>
          <w:tcPr>
            <w:tcW w:w="7960" w:type="dxa"/>
            <w:vAlign w:val="bottom"/>
            <w:gridSpan w:val="14"/>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5"/>
        </w:trPr>
        <w:tc>
          <w:tcPr>
            <w:tcW w:w="920" w:type="dxa"/>
            <w:vAlign w:val="bottom"/>
          </w:tcPr>
          <w:p>
            <w:pPr>
              <w:spacing w:after="0"/>
              <w:rPr>
                <w:sz w:val="24"/>
                <w:szCs w:val="24"/>
                <w:color w:val="auto"/>
              </w:rPr>
            </w:pPr>
          </w:p>
        </w:tc>
        <w:tc>
          <w:tcPr>
            <w:tcW w:w="460" w:type="dxa"/>
            <w:vAlign w:val="bottom"/>
            <w:gridSpan w:val="2"/>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340" w:type="dxa"/>
            <w:vAlign w:val="bottom"/>
            <w:gridSpan w:val="3"/>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Interim Condensed Consolidated Financial Statements (Unaudited)</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7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356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10"/>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Condensed Consolidated Statements of Operations</w:t>
              </w:r>
            </w:hyperlink>
          </w:p>
        </w:tc>
        <w:tc>
          <w:tcPr>
            <w:tcW w:w="4600" w:type="dxa"/>
            <w:vAlign w:val="bottom"/>
            <w:gridSpan w:val="6"/>
          </w:tcPr>
          <w:p>
            <w:pPr>
              <w:spacing w:after="0"/>
              <w:rPr>
                <w:sz w:val="21"/>
                <w:szCs w:val="21"/>
                <w:color w:val="auto"/>
              </w:rPr>
            </w:pPr>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1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Equity</w:t>
              </w:r>
            </w:hyperlink>
          </w:p>
        </w:tc>
        <w:tc>
          <w:tcPr>
            <w:tcW w:w="4600" w:type="dxa"/>
            <w:vAlign w:val="bottom"/>
            <w:gridSpan w:val="6"/>
          </w:tcPr>
          <w:p>
            <w:pPr>
              <w:spacing w:after="0"/>
              <w:rPr>
                <w:sz w:val="21"/>
                <w:szCs w:val="21"/>
                <w:color w:val="auto"/>
              </w:rPr>
            </w:pPr>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6</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Item 2</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24</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Item 3</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Quantitative and Qualitative Disclosures about Market Risk</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43</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4</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PART II — Other Information</w:t>
              </w:r>
            </w:hyperlink>
          </w:p>
        </w:tc>
        <w:tc>
          <w:tcPr>
            <w:tcW w:w="8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Item 1</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0" w:type="dxa"/>
            <w:vAlign w:val="bottom"/>
            <w:gridSpan w:val="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1A</w:t>
              </w:r>
            </w:hyperlink>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Issuer Purchases of Equity Securities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60" w:type="dxa"/>
            <w:vAlign w:val="bottom"/>
            <w:gridSpan w:val="2"/>
          </w:tcPr>
          <w:p>
            <w:pPr>
              <w:spacing w:after="0"/>
              <w:rPr>
                <w:rFonts w:ascii="Times New Roman" w:cs="Times New Roman" w:eastAsia="Times New Roman" w:hAnsi="Times New Roman"/>
                <w:sz w:val="18"/>
                <w:szCs w:val="18"/>
                <w:color w:val="0000EE"/>
                <w:w w:val="94"/>
              </w:rPr>
            </w:pPr>
            <w:hyperlink w:anchor="page46">
              <w:r>
                <w:rPr>
                  <w:rFonts w:ascii="Times New Roman" w:cs="Times New Roman" w:eastAsia="Times New Roman" w:hAnsi="Times New Roman"/>
                  <w:sz w:val="18"/>
                  <w:szCs w:val="18"/>
                  <w:color w:val="0000EE"/>
                  <w:w w:val="94"/>
                </w:rPr>
                <w:t>Item 6</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w:t>
              </w:r>
            </w:hyperlink>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720" w:type="dxa"/>
            <w:vAlign w:val="bottom"/>
            <w:gridSpan w:val="6"/>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SIGNATURES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gridSpan w:val="4"/>
          </w:tcPr>
          <w:p>
            <w:pPr>
              <w:jc w:val="right"/>
              <w:ind w:right="4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48</w:t>
              </w:r>
            </w:hyperlink>
          </w:p>
        </w:tc>
      </w:tr>
      <w:tr>
        <w:trPr>
          <w:trHeight w:val="723"/>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gridSpan w:val="12"/>
          </w:tcPr>
          <w:p>
            <w:pPr>
              <w:ind w:left="39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832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161,361</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 securities - investment in HLSS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112,183</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23,567</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4,987</w:t>
            </w:r>
          </w:p>
        </w:tc>
      </w:tr>
      <w:tr>
        <w:trPr>
          <w:trHeight w:val="237"/>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285,161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302,098</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127,759</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90,851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245,246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22,267</w:t>
            </w:r>
          </w:p>
        </w:tc>
      </w:tr>
      <w:tr>
        <w:trPr>
          <w:trHeight w:val="237"/>
        </w:trPr>
        <w:tc>
          <w:tcPr>
            <w:tcW w:w="8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760,681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788,221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0"/>
        </w:trPr>
        <w:tc>
          <w:tcPr>
            <w:tcW w:w="8320" w:type="dxa"/>
            <w:vAlign w:val="bottom"/>
            <w:tcBorders>
              <w:bottom w:val="single" w:sz="8" w:color="CCEEFF"/>
            </w:tcBorders>
            <w:shd w:val="clear" w:color="auto" w:fill="CCEEFF"/>
          </w:tcPr>
          <w:p>
            <w:pPr>
              <w:ind w:left="46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111,766</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5,945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9,829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13,227</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140,767</w:t>
            </w:r>
          </w:p>
        </w:tc>
      </w:tr>
      <w:tr>
        <w:trPr>
          <w:trHeight w:val="243"/>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582,669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20,648</w:t>
            </w:r>
          </w:p>
        </w:tc>
      </w:tr>
      <w:tr>
        <w:trPr>
          <w:trHeight w:val="243"/>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contingencies and regulatory matters (Note 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5"/>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($1.00 par value; 25,413 shares authorized and issued and 20,132 outstanding as of March 31,</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2015; 25,413 shares authorized and issued and 20,279 outstanding as of December 31, 2014)</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25,413</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91,509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367,967</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(5,281 shares as of March 31, 2015 and 5,134 shares as of December 31, 2014)</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(444,495)</w:t>
            </w:r>
          </w:p>
        </w:tc>
      </w:tr>
      <w:tr>
        <w:trPr>
          <w:trHeight w:val="237"/>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Altisource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40,394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41,443</w:t>
            </w:r>
          </w:p>
        </w:tc>
      </w:tr>
      <w:tr>
        <w:trPr>
          <w:trHeight w:val="237"/>
        </w:trPr>
        <w:tc>
          <w:tcPr>
            <w:tcW w:w="8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760,681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788,221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1" w:right="25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4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259"/>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239,269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172,826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147,805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67,656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91,464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43,534</w:t>
            </w:r>
          </w:p>
        </w:tc>
      </w:tr>
      <w:tr>
        <w:trPr>
          <w:trHeight w:val="237"/>
        </w:trPr>
        <w:tc>
          <w:tcPr>
            <w:tcW w:w="8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47,930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loss on HLSS equity securities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43,201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37"/>
        </w:trPr>
        <w:tc>
          <w:tcPr>
            <w:tcW w:w="8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40,146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Altisource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39,631</w:t>
            </w:r>
          </w:p>
        </w:tc>
      </w:tr>
      <w:tr>
        <w:trPr>
          <w:trHeight w:val="230"/>
        </w:trPr>
        <w:tc>
          <w:tcPr>
            <w:tcW w:w="8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24,662</w:t>
            </w:r>
          </w:p>
        </w:tc>
      </w:tr>
      <w:tr>
        <w:trPr>
          <w:trHeight w:val="230"/>
        </w:trPr>
        <w:tc>
          <w:tcPr>
            <w:tcW w:w="8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related parties included above: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148,639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145,558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8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Altisource Equity</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2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74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157,741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40,146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holders</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March 31, 2014</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89,931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277,460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162,527</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2014</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91,509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367,967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(444,495)</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41,443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holders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2015</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369,964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41,881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40" w:type="dxa"/>
            <w:vAlign w:val="bottom"/>
          </w:tcPr>
          <w:p>
            <w:pPr>
              <w:spacing w:after="0"/>
              <w:rPr>
                <w:sz w:val="24"/>
                <w:szCs w:val="24"/>
                <w:color w:val="auto"/>
              </w:rPr>
            </w:pPr>
          </w:p>
        </w:tc>
        <w:tc>
          <w:tcPr>
            <w:tcW w:w="6200" w:type="dxa"/>
            <w:vAlign w:val="bottom"/>
            <w:gridSpan w:val="14"/>
          </w:tcPr>
          <w:p>
            <w:pPr>
              <w:ind w:left="3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4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9"/>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loss on HLSS equity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the fair value of acquisition 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7,695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36,309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HLSS equity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161,361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130,324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105,623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116,376</w:t>
            </w:r>
          </w:p>
        </w:tc>
      </w:tr>
      <w:tr>
        <w:trPr>
          <w:trHeight w:val="230"/>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payables for purchases of premises and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operations through three reportable segments: Mortgage Services, Financial Services and Technology Services. In addition, we report our corporate related expenditures and eliminations separately (see Note 20 for a description of our business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and inter-segment transactions and accounts have been eliminated in consolidation. Certain prior year amounts reported by the Mortgage Services and Technology Services segments have been reclassified to conform with the current year presentation.</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Mortgage Partnership of America, L.L.C. (“MPA”), a wholly-owned subsidiary of Altisource, serves as the manager of Best Partners Mortgage Cooperative, Inc. doing business as Lenders One Mortgage Cooperative (“Lenders One”). MPA provides services to Lenders One under a management agreement that ends on December 31, 2025. The management agreement between MPA and Lenders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members,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March 31, 2015, Lenders One had total assets of $8.8 million and total liabilities of $7.7 million. As of December 31, 2014, Lenders One had total assets of $7.7 million and total liabilities of $6.7 million.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consolidated financial statements and notes thereto contained in our Form 10-K for the year ended December 31, 2014, filed with the SEC on March 2, 2015, which contains a summary of our significant accounting policies. Certain footnote detail in the Form 10-K is omitted from the information included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Immaterial Errors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disclosed, during 2014 we determined that while we properly identified our related parties in previously issued financial statements, disclosures of certain immaterial related party expenses were omitted. We corrected the previously presented disclosures of related party expenses in Note 2 - </w:t>
      </w:r>
      <w:r>
        <w:rPr>
          <w:rFonts w:ascii="Times New Roman" w:cs="Times New Roman" w:eastAsia="Times New Roman" w:hAnsi="Times New Roman"/>
          <w:sz w:val="18"/>
          <w:szCs w:val="18"/>
          <w:i w:val="1"/>
          <w:iCs w:val="1"/>
          <w:color w:val="auto"/>
        </w:rPr>
        <w:t xml:space="preserve">Transactions with Related Parties </w:t>
      </w:r>
      <w:r>
        <w:rPr>
          <w:rFonts w:ascii="Times New Roman" w:cs="Times New Roman" w:eastAsia="Times New Roman" w:hAnsi="Times New Roman"/>
          <w:sz w:val="18"/>
          <w:szCs w:val="18"/>
          <w:color w:val="auto"/>
        </w:rPr>
        <w:t>and on the face of the condensed consolidated statements of operations for the three months ended March 31, 2014.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correcting these items in the notes to the condensed consolidated financial statements had the effect of:</w:t>
      </w:r>
    </w:p>
    <w:p>
      <w:pPr>
        <w:spacing w:after="0" w:line="180"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amounts disclosed as related party cost of revenue from Ocwen Financial Corporation and its subsidiaries (“Ocwen”) by $7.3 million for the three months ended March 31, 2014;</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amounts disclosed as selling, general and administrative expenses from Ocwen billings to Altisource by $0.4 million for the three months ended March 31, 2014;</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amounts disclosed as selling, general and administrative expenses from Altisource billings to Ocwen by $0.2 million for the three months ended March 31, 2014; and</w:t>
      </w: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amounts disclosed as selling, general and administrative expenses from Altisource billings to Altisource Asset Management Corporation (“AAMC”) by $0.3 million for the three months ended March 31, 2014.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Correcting these items on the face of the condensed consolidated statements of operations resulted in the disclosure of related party cost of revenue of $7.3 million and a decrease in previously disclosed related party selling, general and administrative expenses by $1.1 million for the three months ended March 31, 2014.</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Financial Accounting Standards Board (“FASB”) Accounting Standards Codification (“ASC”) Topic 250, </w:t>
      </w:r>
      <w:r>
        <w:rPr>
          <w:rFonts w:ascii="Times New Roman" w:cs="Times New Roman" w:eastAsia="Times New Roman" w:hAnsi="Times New Roman"/>
          <w:sz w:val="18"/>
          <w:szCs w:val="18"/>
          <w:i w:val="1"/>
          <w:iCs w:val="1"/>
          <w:color w:val="auto"/>
        </w:rPr>
        <w:t>Accounting Changes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Error Corrections</w:t>
      </w:r>
      <w:r>
        <w:rPr>
          <w:rFonts w:ascii="Times New Roman" w:cs="Times New Roman" w:eastAsia="Times New Roman" w:hAnsi="Times New Roman"/>
          <w:sz w:val="18"/>
          <w:szCs w:val="18"/>
          <w:color w:val="auto"/>
        </w:rPr>
        <w:t>, the Company evaluated the effect of the disclosure and presentation errors on its previously issued annual and quarterly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both qualitatively and quantitatively, and concluded that the related party disclosures in the Company’s previously issued annual and quarterly financial statements are not materially misstated.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2014,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2015, FASB issued ASU No. 2015-02, </w:t>
      </w:r>
      <w:r>
        <w:rPr>
          <w:rFonts w:ascii="Times New Roman" w:cs="Times New Roman" w:eastAsia="Times New Roman" w:hAnsi="Times New Roman"/>
          <w:sz w:val="18"/>
          <w:szCs w:val="18"/>
          <w:i w:val="1"/>
          <w:iCs w:val="1"/>
          <w:color w:val="auto"/>
        </w:rPr>
        <w:t>Consolidation: Amendments to the Consolidation Analysis</w:t>
      </w:r>
      <w:r>
        <w:rPr>
          <w:rFonts w:ascii="Times New Roman" w:cs="Times New Roman" w:eastAsia="Times New Roman" w:hAnsi="Times New Roman"/>
          <w:sz w:val="18"/>
          <w:szCs w:val="18"/>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w:t>
      </w:r>
    </w:p>
    <w:p>
      <w:pPr>
        <w:sectPr>
          <w:pgSz w:w="11900" w:h="16838" w:orient="portrait"/>
          <w:cols w:equalWidth="0" w:num="1">
            <w:col w:w="11420"/>
          </w:cols>
          <w:pgMar w:left="240" w:top="12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beginning of the year that includes that interim period. The Company is currently evaluating the impact this new guidance may have on its results of operations and financial position.</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2015,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This revised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TRANSACTIONS WITH RELATED PARTIES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January 16, 2015, William C. Erbey served as our Chairman as well as the Executive Chairman of Ocwen and Chairman of each of Home Loan Servicing Solutions, Ltd. (“HLSS”), Altisource Residential Corporation (“Residential”) and AAMC. Effective January 16, 2015, Mr. Erbey stepped down as the Executive Chairman of Ocwen and Chairman of each of Altisource, HLSS, Residential and AAMC and is no longer a member of the Board of Directors for any of these companies. As of March 31, 2015, Mr. Erbey owned or controlled approximately 30% of the common stock of Altisource, approximately 14% of the common stock of Ocwen, approximately 1% of the common stock of HLSS, approximately 4% of the common stock of Residential and approximately 28% of the common stock of AAMC. As of March 31, 2015, Mr. Erbey also held 857,543 options to purchase Altisource common stock (all of which were exercisable), 3,572,626 options to purchase Ocwen common stock (3,322,626 of which were exercisable) and 85,755 options to purchase AAMC common stock (all of which were exercisable). Accordingly, as a result of Mr. Erbey’s positions and the continuing common ownership, these companies have been and are related parties of Altisource.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Ocwen is our largest customer. Ocwen purchases certain mortgage services and technology services from us under the terms of the master services agreements and amendments to the master services agreements (collectively, the “Service Agreements”) with terms extending through August 2025. The Service Agreements, among other things, contain a “most favored nation” provision and the parties to the Service Agreements have the right to renegotiate pricing. The Service Agreements also prohibit Ocwen from establishing fee-based businesses that would directly or indirectly compete with Altisource’s services with respect to the Homeward Residential, Inc. and Residential Capital, LLC portfolios. In addition, Ocwen purchases certain origination services from Altisource under an agreement that extends through January 2017. We settle amounts with Ocwen on a daily, weekly or monthly basis depending upon the nature of the service and when the service is provided.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party revenue primarily consists of revenue earned directly from Ocwen and revenue earned from the loans serviced by Ocwen when Ocwen designates us as the service provider. Related party revenue from Ocwen as a percentage of segment and consolidated revenue was as follows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71755</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0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7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Services</w:t>
            </w:r>
          </w:p>
        </w:tc>
        <w:tc>
          <w:tcPr>
            <w:tcW w:w="206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69%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Services</w:t>
            </w:r>
          </w:p>
        </w:tc>
        <w:tc>
          <w:tcPr>
            <w:tcW w:w="20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1"/>
                <w:szCs w:val="21"/>
                <w:color w:val="auto"/>
              </w:rPr>
            </w:pPr>
          </w:p>
        </w:tc>
        <w:tc>
          <w:tcPr>
            <w:tcW w:w="20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26%</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Services</w:t>
            </w:r>
          </w:p>
        </w:tc>
        <w:tc>
          <w:tcPr>
            <w:tcW w:w="206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w:t>
            </w:r>
          </w:p>
        </w:tc>
        <w:tc>
          <w:tcPr>
            <w:tcW w:w="20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1"/>
                <w:szCs w:val="21"/>
                <w:color w:val="auto"/>
              </w:rPr>
            </w:pPr>
          </w:p>
        </w:tc>
        <w:tc>
          <w:tcPr>
            <w:tcW w:w="20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61%</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on the portfolios serviced by Ocwen that is not considered related party revenue when a party other than Ocwen selects Altisource as the service provider. For the three months ended March 31, 2015 and 2014, we recognized revenue of $53.5 million and $54.7 million, respectively, on the portfolios serviced by Ocwen that is not considered related party revenue.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times, we use Ocwen’s contractors and/or employees to support Altisource related services. Ocwen generally bills us for these contractors and/or employees based on their fully-allocated cost. Additionally, through March 31, 2015, we purchased certain data relating to Ocwen’s servicing portfolio in connection with a Data Access and Services Agreement. The Data Access and Services Agreement could be renegotiated and could be canceled by either Altisource or Ocwen with 90 days prior written notice. Based upon our previously provided notice, the Data Access and Services Agreement was terminated effective March 31, 2015. Ocwen billed us a per asset fee for this data. For the three months ended March 31, 2015 and 2014, Ocwen billed us $10.3 million and $7.3 million, respectively. These amounts are reflected as a component of cost of revenue in the condensed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certain other services to Ocwen and Ocwen provides certain other services to us in connection with Support Services Agreements. Prior to January 1, 2015, these services included such areas as human resources, vendor management, vendor oversight, corporate services, operational effectiveness, quality assurance, quantitative analytics, tax and treasury. For the three months ended March 31, 2015, these services included vendor management, corporate services and facility charges. The Support Services Agreement with Ocwen Mortgage Servicing, Inc. extends through September 2018 with automatic one-year renewals thereafter. The Support Services Agreement with Ocwen Financial Corporation extends through October 2017 with automatic one-year renewals thereafter. Billings for these services were generally based on the fully-allocated cost of providing the service based on an estimate of the time and expense of providing the service or estimates thereof. For the three months ended March 31, 2015 and 2014, we billed Ocwen $0.6 million and $1.0 million, respectively, and Ocwen billed us $1.6 million and $1.2 million, respectively. These amounts are reflected as a component of selling, general and administrative expenses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HLSS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HLSS is a publicly traded company whose primary objective is the acquisition of mortgage servicing rights and related servicing advances, loans held for investment and other residential mortgage related assets. As of March 31, 2015 and December 31, 2014, HLSS owned, for a significant portion of Ocwen-serviced non-government-sponsored enterprise loans, (1) the rights to receive the servicing fees that Ocwen is entitled to receive and (2) associated servicing advances.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 support services agreement, we provide HLSS certain finance, human resources, tax and facilities services and we sell information technology services to HLSS. We billed HLSS $0.6 million and $0.2 million for the three months ended March 31, 2015 and 2014, respectively. Of these amounts, $0.5 million for the three months ended March 31, 2015 (no comparative amount in 2014) is reflected in revenue in the condensed consolidated statements of operations and, for the three months ended March 31, 2015 and 2014, $0.1 million and $0.2 million, respectively, is reflected as a component of selling, general and administrative expenses in the condensed consolidated statements of operations.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22, 2015, HLSS and New Residential Investment Corp. (“NRZ”) announced they entered into a definitive agreement whereby NRZ would acquire all of the outstanding shares of HLSS, subject to shareholder approval and other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March 10, 2015 to March 17, 2015, we purchased 1.6 million shares of HLSS common stock for $30.0 million in the open market. See Note 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2015, HLSS and NRZ announced they terminated the merger agreement announced on February 22, 2015 and entered into a purchase agreement under which NRZ acquired substantially all of the assets and assumed substantially all of the liabilities of HLSS. The asset purchase was consummated concurrently with signing of the purchase agreement. Furthermore, NRZ separately agreed to a multi-year extension of the servicing contracts with Ocwen. HLSS also announced that it adopted a plan of complete liquidation and dissolution. Additional information is contained in HLSS’ public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and AAMC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and AAMC were separated from Altisource on December 21, 2012 and their equity was distributed to our shareholders on December 24, 2012 and they are each separate publicly traded companies. Residential is focused on acquiring and managing single family rental properties by acquiring sub-performing and non-performing residential mortgage loans as well as single family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homes at or following the foreclosure sale throughout the United States. AAMC’s primary business is to provide asset management and certain corporate governance services to institutional investors. Its primary client currently is Residential.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governing certain ongoing relationships between Altisource, Residential and AAMC, we entered into certain agreements with Residential and AAMC. We have agreements to provide Residential with renovation management, lease management, property management and REO asset management services. In addition, we have agreements with Residential and AAMC to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2015 and 2014, we billed Residential $6.8 million and $0.8 million, respectively, under these services agreements. These amounts are reflected in revenue in the condensed consolidated statements of operations. This excludes revenue from services we provide to Residential’s loans serviced by Ocwen where we are retained by Ocwen. That revenue is included in Ocwen related party revenue. For the three months ended March 31, 2015 and 2014, we billed AAMC $0.2 million and $0.3 million, respectively, under the services agreements. Of these amounts, less than $0.1 million in each period is reflected in revenue in the condensed consolidated statements of operations and, for the three months ended March 31, 2015 and 2014, $0.2 million and $0.3 million, respectively, is reflected as a component of selling, general and administrative expenses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Builder Acquisition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12, 2014, we acquired certain assets and assumed certain liabilities of Mortgage Builder Software, Inc. (“Mortgage Builder”) pursuant to a Purchase and Sale Agreement dated July 18, 2014 (the “Purchase and Sale Agreement”). Mortgage Builder is a provider of residential mortgage loan origination and servicing software systems. Pursuant to the terms of the Purchase and Sale Agreement, we paid $15.7 million at closing in cash (net of closing working capital adjustments). Additionally, the Purchase and Sale Agreement provides for the payment of up to $7.0 million in potential additional consideration (the “MB Earn-Out”) based on Adjusted Revenue (as defined in the Purchase and Sale Agreement) in the three consecutive 12-month periods following closing. At closing, we estimated the fair value of the MB Earn-Out to be $1.6 million, determined based on the present value of future estimated MB Earn-Out payments. The Mortgage Builder acquisition is not material in relation to the Company’s results of operations or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is as follows: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9,135</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18,114</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17,233</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21, 2014, we acquired certain assets and assumed certain liabilities of Owners Advantage, LLC (“Owners”). Owners is a self-directed online real estate marketplace. We paid $19.8 million at closing in cash plus contingent consideration of up to an additional $7.0 million over two years (“Owners Earn Out”), based on Adjusted Revenue (as defined in the purchase agreement). At closing, we estimated the fair value of the Owners Earn Out to be $1.9 million determined based on the present value of future estimated Owners Earn Out payments. The Owners acquisition is not material in relation to the Company’s results of operations or financial position.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70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870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is as follows: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19,775</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21,780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21,739</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3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 for sale securities are carried at fair value and consist of 1.6 million shares of HLSS common stock as of March 31, 2015 (no comparative amount in 2014). As of March 31, 2015, the fair value of available for sale securities was $26.7 million (1,613,125 shares at $16.54 per share) (no comparative amount in 2014). Available for sale securities are measured using Level 1 inputs as these securities have quoted prices in active markets.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for acquisition related contingent consideration are carried at fair value and were recorded in connection with the acquisitions of Equator, LLC in 2013 and Mortgage Builder and Owners in 2014. As of March 31, 2015 and December 31, 2014, the fair value of acquisition related contingent consideration was $11.8 million and $11.6 million, respectively (see Note 13). We measured the liabilities for acquisition related contingent consideration using Level 3 inputs as they are determined based on the present value of future estimated payments, which included sensitivities pertaining to discount rates and financial projections.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held by the Company at March 31, 2015 and December 31, 2014 that are not carried at fair value. The fair values are estimated using market information and what the Company believes to be appropriate valuation methodologies under GAAP:</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105,623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161,361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161,361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590,057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430,742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591,543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467,319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assets and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We do not believe that there is an active market for our debt, based on the frequency of trading. Therefore, the quoted prices are considered Level 2 inputs.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AVAILABLE FOR SALE SECURITIES - INVESTMENT IN HLSS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2015, we purchased 1.6 million shares of HLSS common stock for $30.0 million in the open market (1,613,125 shares at an average price per share of $18.58). This investment is classified as available for sale and reflected at fair value at the balance sheet date ($26.7 million as of March 31, 2015) (no comparative amount in 2014). Unrealized gains and losses on available for sale securities are reflected in other comprehensive income, unless there is an impairment that is other than temporary. In the event that a decline in market value is other than temporary, we record a charge to earnings and a new cost basis in the investment is established. Based on HLSS’ sale of substantially all of its assets and plan of complete liquidation and dissolution (see Note 2), we determined that our investment in HLSS is other than temporarily impaired. Accordingly, we recognized an other than temporary impairment loss on HLSS equity securities of $3.3 million in the accompanying condensed consolidated statements of operations during the three months ended March 31, 2015. This amount reflects the difference between the cost and fair value of the HLSS equity securities as of March 31, 2015 (based on 1,613,125 shares at $16.54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36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Billed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Non-related parties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Ocwen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HLSS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AAMC</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88,385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73,532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Unbilled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Non-related parties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Ocwen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HLSS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134,858</w:t>
            </w:r>
          </w:p>
        </w:tc>
        <w:tc>
          <w:tcPr>
            <w:tcW w:w="0" w:type="dxa"/>
            <w:vAlign w:val="bottom"/>
          </w:tcPr>
          <w:p>
            <w:pPr>
              <w:spacing w:after="0"/>
              <w:rPr>
                <w:sz w:val="1"/>
                <w:szCs w:val="1"/>
                <w:color w:val="auto"/>
              </w:rPr>
            </w:pPr>
          </w:p>
        </w:tc>
      </w:tr>
      <w:tr>
        <w:trPr>
          <w:trHeight w:val="243"/>
        </w:trPr>
        <w:tc>
          <w:tcPr>
            <w:tcW w:w="83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126,716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112,183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Unbilled receivables consist primarily of asset management and default management services for which we recognize revenues over the service delivery period but bill following completion of the service. We also include in unbilled receivables amounts that are earned during a month and billed in the following month.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agreements,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21,154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23,567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PREMISES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140,799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223,131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126,521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127,759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amounted to $8.8 million and $6.2 million for the three months ended March 31, 2015 and 2014, respectively, and is included in cost of revenue for operating assets and in selling, general and administrative expenses for non-operating assets in the accompanying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2015 and December 31, 2014</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32,733</w:t>
            </w:r>
          </w:p>
        </w:tc>
        <w:tc>
          <w:tcPr>
            <w:tcW w:w="9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2,378</w:t>
            </w:r>
          </w:p>
        </w:tc>
        <w:tc>
          <w:tcPr>
            <w:tcW w:w="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55,740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90,851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234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40" w:type="dxa"/>
            <w:vAlign w:val="bottom"/>
          </w:tcPr>
          <w:p>
            <w:pPr>
              <w:spacing w:after="0"/>
              <w:rPr>
                <w:sz w:val="24"/>
                <w:szCs w:val="24"/>
                <w:color w:val="auto"/>
              </w:rPr>
            </w:pPr>
          </w:p>
        </w:tc>
        <w:tc>
          <w:tcPr>
            <w:tcW w:w="2220" w:type="dxa"/>
            <w:vAlign w:val="bottom"/>
            <w:gridSpan w:val="8"/>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8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7"/>
                <w:szCs w:val="7"/>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7"/>
                <w:szCs w:val="7"/>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7"/>
                <w:szCs w:val="7"/>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0" w:type="dxa"/>
            <w:vAlign w:val="bottom"/>
          </w:tcPr>
          <w:p>
            <w:pPr>
              <w:spacing w:after="0"/>
              <w:rPr>
                <w:sz w:val="16"/>
                <w:szCs w:val="16"/>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related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289,308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209,702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agreement</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338,497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338,497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(93,251)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245,246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$8.9 million and $9.5 million for the three months ended March 31, 2015 and 2014,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Expected annual definite lived intangible asset amortization for 2015 through 2019 is $37.9 million, $34.5 million, $30.3 million, $26.4 million and $23.2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222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2014</w:t>
            </w:r>
          </w:p>
        </w:tc>
      </w:tr>
    </w:tbl>
    <w:p>
      <w:pPr>
        <w:spacing w:after="0" w:line="200" w:lineRule="exact"/>
        <w:rPr>
          <w:sz w:val="20"/>
          <w:szCs w:val="20"/>
          <w:color w:val="auto"/>
        </w:rPr>
      </w:pPr>
    </w:p>
    <w:p>
      <w:pPr>
        <w:sectPr>
          <w:pgSz w:w="11900" w:h="16838" w:orient="portrait"/>
          <w:cols w:equalWidth="0" w:num="2">
            <w:col w:w="8300" w:space="60"/>
            <w:col w:w="3060"/>
          </w:cols>
          <w:pgMar w:left="240" w:top="121" w:right="239" w:bottom="252"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deposits,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Debt issuance costs, net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agreements, non-current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22,267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ACCOUNTS PAYABLE, 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to Ocwen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 - general</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44,150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 - Ocwen</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87,845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111,766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Book overdrafts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10,407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13,227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590,057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591,543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unamortized discount,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587,255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588,614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581,310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582,669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w:t>
      </w:r>
    </w:p>
    <w:p>
      <w:pPr>
        <w:sectPr>
          <w:pgSz w:w="11900" w:h="16838" w:orient="portrait"/>
          <w:cols w:equalWidth="0" w:num="1">
            <w:col w:w="11420"/>
          </w:cols>
          <w:pgMar w:left="240" w:top="121" w:right="239" w:bottom="252"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252"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unless defined herein, are defined in the senior secured term loan agreement). As of March 31, 2015, $587.3 million, net of unamortized discount of $2.8 million, was outstanding under the senior secured term loan agreement, as amended, compared to $588.6 million, net of unamortized discount of $2.9 million, as of December 31, 2014.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upon the occurrence of any event of default under the senior secured term loan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scheduled principal payments, the term loan is (with certain exceptions) subject to mandatory prepayment upon issuances of debt, casualty and condemnation events and sales of assets, as well as from a percentage of Consolidated Excess Cash Flow if the leverage ratio is greater than 3.00 to 1.00. No mandatory prepayments were owed for the three months ended March 31,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March 31, 2015 was 4.50%.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spacing w:after="0" w:line="2" w:lineRule="exact"/>
        <w:rPr>
          <w:sz w:val="20"/>
          <w:szCs w:val="20"/>
          <w:color w:val="auto"/>
        </w:rPr>
      </w:pPr>
    </w:p>
    <w:p>
      <w:pPr>
        <w:jc w:val="both"/>
        <w:ind w:firstLine="8"/>
        <w:spacing w:after="0" w:line="252"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2015, debt issuance costs were $7.7 million, net of $2.5 million of accumulated amortization. At December 31, 2014, debt issuance costs were $8.1 million, net of $2.2 million of accumulated amortization. Debt issuance costs are included in other assets in the accompanying condensed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term loans, including amortization of debt issuance costs and the net debt discount, totaled $7.2 million and $4.8 million for the three months ended March 31,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NON-CURRENT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related contingent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11,616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9,032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20,648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March 31, 2015, we have purchased approximately 6.4 million shares of our common stock in the open market at an average price of $77.69 per share. We purchased 0.2 million shares of common stock at an average price of $23.44 per share during the three months ended March 31, 2015 and 0.3 million shares at an average price of $109.97 per share during the three months ended March 31, 2014. As of March 31, 2015, approximately 1.0 million shares of common stock remain available for repurchase under the new program. Our senior secured term loan limits the amount we can spend on share repurchases in any year and may prevent repurchases in certain circumstances. As of March 31, 2015, approximately $285 million was available to repurchase our common stock under our senior secured term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issue share-based awards in the form of stock options and certain other equity-based awards for certain employees and officers. We recorded share-based compensation expense of $0.4 million and $0.7 million for the three months ended March 31, 2015 and 2014,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share-based compensation currently consists primarily of stock option grants that are a combination of service-based and market-based options.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are granted at fair value on the date of grant. The options generally vest over four years with equal annual cliff-vesting and expire on the earlier of ten years after the date of grant or following termination of service. A total of 0.7 million service-based awards were outstanding at March 31, 2015.</w:t>
      </w:r>
    </w:p>
    <w:p>
      <w:pPr>
        <w:spacing w:after="0" w:line="17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1.9 million market-based awards were outstanding at March 31, 2015.</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granted less than 0.1 million stock options (at a weighted average exercise price of $26.42 per share) during the three months ended March 31, 2015. There were no options granted during the three months ended March 31, 2014.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service-based options was determined using the Black-Scholes option pricing model and the fair value of the market-based options was determined using a lattice (binomial) model. The following assumptions were used to determine the fair value as of the grant date: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3"/>
                <w:szCs w:val="13"/>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44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Black-Scholes</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Binomial</w:t>
            </w:r>
          </w:p>
        </w:tc>
      </w:tr>
      <w:tr>
        <w:trPr>
          <w:trHeight w:val="242"/>
        </w:trPr>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 (%)</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0.02% - 2.01%</w:t>
            </w:r>
          </w:p>
        </w:tc>
      </w:tr>
      <w:tr>
        <w:trPr>
          <w:trHeight w:val="243"/>
        </w:trPr>
        <w:tc>
          <w:tcPr>
            <w:tcW w:w="8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55.06%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Borders>
              <w:bottom w:val="single" w:sz="8" w:color="CCEEFF"/>
            </w:tcBorders>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life (in years)</w:t>
            </w:r>
          </w:p>
        </w:tc>
        <w:tc>
          <w:tcPr>
            <w:tcW w:w="1380" w:type="dxa"/>
            <w:vAlign w:val="bottom"/>
            <w:tcBorders>
              <w:bottom w:val="single" w:sz="8" w:color="CCEEFF"/>
            </w:tcBorders>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$10.68 - $11.93</w:t>
            </w:r>
          </w:p>
        </w:tc>
      </w:tr>
      <w:tr>
        <w:trPr>
          <w:trHeight w:val="702"/>
        </w:trPr>
        <w:tc>
          <w:tcPr>
            <w:tcW w:w="70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fair value of stock options granted, the total intrinsic value of stock options exercised and the grant date fair value of stock options vested during the period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5"/>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40" w:type="dxa"/>
            <w:vAlign w:val="bottom"/>
          </w:tcPr>
          <w:p>
            <w:pPr>
              <w:spacing w:after="0"/>
              <w:rPr>
                <w:sz w:val="23"/>
                <w:szCs w:val="23"/>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3"/>
                <w:szCs w:val="23"/>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at grant date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fair value of options vested during the period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is recorded net of estimated forfeiture rates ranging from 1% to 10%.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2015, estimated unrecognized compensation costs related to share-based payments amounted to $3.2 million, which we expect to recognize over a weighted average remaining requisite service period of approximately 3.3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2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15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2,601,892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47,805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2,586,908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March 31, 2015</w:t>
            </w: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2,264,976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15 — COST OF REVENUE</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 for the three months ended March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69,326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52,650</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52,828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28,795</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8,841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4,691</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147,805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SELLING, 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for personnel employed in executive, finance, legal, compliance, human resources, vendor management, risk and operational effectiveness roles. This category also includes occupancy costs, professional fees and depreciation and amortization on non-operating assets. The components of selling, general and administrative expenses were as follows for the three months ended March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8,989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Occupancy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costs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 OTHER INCOME (EXPENSE), NET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three months ended March 31: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4"/>
                <w:szCs w:val="24"/>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EPS are calculated as follows for the three months ended March 31:</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8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Altisource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39,631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22,509</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24,662</w:t>
            </w:r>
          </w:p>
        </w:tc>
      </w:tr>
      <w:tr>
        <w:trPr>
          <w:trHeight w:val="257"/>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and 2014, 0.7 million options and less than 0.1 million options, respectively, that were anti-dilutive have been excluded from the computation of diluted EPS. These options were anti-dilutive because their exercise price was greater than the average market price of our common stock. Also excluded from the computation of diluted EPS are 0.2 million options and less than 0.1 million options for each of the three months ended March 31, 2015 and 2014, respectively,</w:t>
      </w:r>
    </w:p>
    <w:p>
      <w:pPr>
        <w:sectPr>
          <w:pgSz w:w="11900" w:h="16838" w:orient="portrait"/>
          <w:cols w:equalWidth="0" w:num="1">
            <w:col w:w="11420"/>
          </w:cols>
          <w:pgMar w:left="240" w:top="121" w:right="239" w:bottom="482"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482"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granted for shares that are issuable upon the achievement of certain market and performance criteria related to our common stock price and an annualized rate of return to investors that have not yet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COMMITMENTS, CONTINGENCIES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on behalf of Ocwen for alleged breaches of fiduciary duty by Ocwen’s current and former officers and directors, which were allegedly aided and abetted by Altisource and other defendants. Altisource, which has not been served with the suit, intends to vigorously defend the lawsuit.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is unable to predict the outcomes of these lawsuits or reasonably estimate the potential loss, if any, arising from the suits, given that a motion to dismiss was filed but has not yet been adjudicated in the first case, Altisource has not been served in the second case, discovery has not commenced in either case and significant legal and factual issues remain to be determined in both cases.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Ocwen is our largest customer and 59% of our revenue for the three months ended March 31, 2015 was related party revenue from Ocwen. Additionally, 24% of our revenue for the three months ended March 31, 2015 was earned on the portfolios serviced by Ocwen, but is not considered related party revenue because a party other than Ocwen selects Altisource as the service provider. Ocwen has been and is subject to a number of pending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New York Department of Financial Services (“NYDFS”), which is assessing the adequacy and effectiveness of Ocwen’s operations, including information technology systems, (iii) required to perform benchmarking pricing studies for transactions with related parties, which are subject to periodic review by the monitor imposed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the NYDFS and (iv) subject to requirements under an agreement with the Consumer Finance Protection Bureau and various states attorneys general and agencies that imposed specific servicing guidelines and oversight by an independent national monitor, who is investigating the reliability of information Ocwen has provided.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various difficulties faced by Ocwen, its debt and servicer ratings have been downgraded. Further, certain bondholders of Ocwen-serviced residential mortgage-backed securities (“RMBS”) alleged that Ocwen, as servicer of certain mortgage-backed securities trusts, defaulted on these servicing agreements.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services), it may be required to seek changes to its existing pricing structure with related parties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Any or all of these effects could result in our eventual loss of Ocwen as a customer or a reduction in the volume of services they purchase from us or the loss of other customers.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would be significantly lower and our results of operations would be materially adversely affected, including from the impairment or write-off of goodwill, intangible assets, property and equipment, other assets and accounts receivable:</w:t>
      </w:r>
    </w:p>
    <w:p>
      <w:pPr>
        <w:spacing w:after="0" w:line="162"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or sells a significant portion or all of its non-GSE servicing rights or subservicing arrangements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its state servicing licenses in states with a significant number of loans in Ocwen’s servicing portfolio</w:t>
      </w:r>
    </w:p>
    <w:p>
      <w:pPr>
        <w:spacing w:after="0" w:line="9" w:lineRule="exact"/>
        <w:rPr>
          <w:rFonts w:ascii="Times New Roman" w:cs="Times New Roman" w:eastAsia="Times New Roman" w:hAnsi="Times New Roman"/>
          <w:sz w:val="18"/>
          <w:szCs w:val="18"/>
          <w:color w:val="auto"/>
        </w:rPr>
      </w:pPr>
    </w:p>
    <w:p>
      <w:pPr>
        <w:ind w:right="2660" w:firstLine="8"/>
        <w:spacing w:after="0" w:line="261" w:lineRule="auto"/>
        <w:tabs>
          <w:tab w:leader="none" w:pos="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allows us to realign our cost structure in line with remaining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include:</w:t>
      </w:r>
    </w:p>
    <w:p>
      <w:pPr>
        <w:spacing w:after="0" w:line="180"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clients to our comprehensive default related businesses</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origination services and technology businesses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innovative online real estate marketplaces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property management and renovation services businesses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our plans, together with current liquidity and cash flows from operations will be sufficient to meet working capital, capital expenditures, debt service and other cash needs for at least the next year. However, there can be no assurance that our plans would be successful or our operations would be profitable.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Trust Balances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$86.8 million and $62.5 million at March 31, 2015 and December 31, 2014,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classify our businesses into three reportable segments. The </w:t>
      </w:r>
      <w:r>
        <w:rPr>
          <w:rFonts w:ascii="Times New Roman" w:cs="Times New Roman" w:eastAsia="Times New Roman" w:hAnsi="Times New Roman"/>
          <w:sz w:val="18"/>
          <w:szCs w:val="18"/>
          <w:i w:val="1"/>
          <w:iCs w:val="1"/>
          <w:color w:val="auto"/>
        </w:rPr>
        <w:t>Mortgage Services</w:t>
      </w:r>
      <w:r>
        <w:rPr>
          <w:rFonts w:ascii="Times New Roman" w:cs="Times New Roman" w:eastAsia="Times New Roman" w:hAnsi="Times New Roman"/>
          <w:sz w:val="18"/>
          <w:szCs w:val="18"/>
          <w:color w:val="auto"/>
        </w:rPr>
        <w:t xml:space="preserve"> segment provides services that span the mortgage and real estate lifecycle and are typically outsourced by loan servicers, loan originators, investors and other sellers of single family homes. The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Times New Roman" w:cs="Times New Roman" w:eastAsia="Times New Roman" w:hAnsi="Times New Roman"/>
          <w:sz w:val="18"/>
          <w:szCs w:val="18"/>
          <w:i w:val="1"/>
          <w:iCs w:val="1"/>
          <w:color w:val="auto"/>
        </w:rPr>
        <w:t>Technology Services</w:t>
      </w:r>
      <w:r>
        <w:rPr>
          <w:rFonts w:ascii="Times New Roman" w:cs="Times New Roman" w:eastAsia="Times New Roman" w:hAnsi="Times New Roman"/>
          <w:sz w:val="18"/>
          <w:szCs w:val="18"/>
          <w:color w:val="auto"/>
        </w:rPr>
        <w:t xml:space="preserve"> segment provides a portfolio of software, data analytics and infrastructure management services that support the efficient and compliant management of mortgage and real estate activities and marketplace transactions across the lifecycle. In addition, </w:t>
      </w:r>
      <w:r>
        <w:rPr>
          <w:rFonts w:ascii="Times New Roman" w:cs="Times New Roman" w:eastAsia="Times New Roman" w:hAnsi="Times New Roman"/>
          <w:sz w:val="18"/>
          <w:szCs w:val="18"/>
          <w:i w:val="1"/>
          <w:iCs w:val="1"/>
          <w:color w:val="auto"/>
        </w:rPr>
        <w:t>Corporate Items and Eliminations</w:t>
      </w:r>
      <w:r>
        <w:rPr>
          <w:rFonts w:ascii="Times New Roman" w:cs="Times New Roman" w:eastAsia="Times New Roman" w:hAnsi="Times New Roman"/>
          <w:sz w:val="18"/>
          <w:szCs w:val="18"/>
          <w:color w:val="auto"/>
        </w:rPr>
        <w:t xml:space="preserve"> include eliminations of transactions between the reportable segments, interest expense and costs related to corporate support functions including executive, finance, legal, compliance, human resources, vendor management, risk and operational effectiveness and marketing. Intercompany transactions primarily consist of information technology infrastructure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6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2"/>
                <w:szCs w:val="12"/>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42"/>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240,482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172,826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67,656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41,637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4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6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2"/>
                <w:szCs w:val="12"/>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42"/>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239,269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147,805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91,464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47,930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54,067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43,201</w:t>
            </w:r>
          </w:p>
        </w:tc>
        <w:tc>
          <w:tcPr>
            <w:tcW w:w="0" w:type="dxa"/>
            <w:vAlign w:val="bottom"/>
          </w:tcPr>
          <w:p>
            <w:pPr>
              <w:spacing w:after="0"/>
              <w:rPr>
                <w:sz w:val="1"/>
                <w:szCs w:val="1"/>
                <w:color w:val="auto"/>
              </w:rPr>
            </w:pPr>
          </w:p>
        </w:tc>
      </w:tr>
      <w:tr>
        <w:trPr>
          <w:trHeight w:val="24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664845</wp:posOffset>
            </wp:positionV>
            <wp:extent cx="463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15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Items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720"/>
            <w:col w:w="8300"/>
          </w:cols>
          <w:pgMar w:left="240" w:top="121"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31,</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299,647</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54,365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238,580</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168,089</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760,681</w:t>
            </w:r>
          </w:p>
        </w:tc>
      </w:tr>
      <w:tr>
        <w:trPr>
          <w:trHeight w:val="27"/>
        </w:trPr>
        <w:tc>
          <w:tcPr>
            <w:tcW w:w="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December</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31, 2014</w:t>
            </w:r>
          </w:p>
        </w:tc>
        <w:tc>
          <w:tcPr>
            <w:tcW w:w="1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313,550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56,096</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250,059</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168,516</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788,221</w:t>
            </w:r>
          </w:p>
        </w:tc>
      </w:tr>
      <w:tr>
        <w:trPr>
          <w:trHeight w:val="27"/>
        </w:trPr>
        <w:tc>
          <w:tcPr>
            <w:tcW w:w="9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primarily located in the United States. Premises and equipment, net consist of the following, by country: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9"/>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88,274</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27,082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126,521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127,759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9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2014 filed with the Securities and Exchange Commission (“SEC”) on March 2, 2015.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6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the sources of liquidity and the adequacy of financial resources;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collection rates and placements in our Financial Services segment;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the calculation of our effective tax rate;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2014 and include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difficulties faced by Ocwen Financial Corporation and its subsidiaries (“Ocwen”), we were to lose Ocwen as a customer or there is a significant reduction in the volume of services they purchase from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toward outsourcing;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debt;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directors, executive officers and key personnel; and</w:t>
      </w:r>
    </w:p>
    <w:p>
      <w:pPr>
        <w:spacing w:after="0" w:line="198" w:lineRule="exact"/>
        <w:rPr>
          <w:rFonts w:ascii="Times New Roman" w:cs="Times New Roman" w:eastAsia="Times New Roman" w:hAnsi="Times New Roman"/>
          <w:sz w:val="18"/>
          <w:szCs w:val="18"/>
          <w:color w:val="auto"/>
        </w:rPr>
      </w:pPr>
    </w:p>
    <w:p>
      <w:pPr>
        <w:ind w:left="660" w:right="2040" w:hanging="328"/>
        <w:spacing w:after="0" w:line="39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burdens imposed by governmental regulations, taxes and policies and any changes in such regulations, taxes and policies.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contained herein to reflect any change in our expectations with regard thereto or any change in events, conditions or circumstances on which any such statement is based.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“we,” “us,” “our,” the “Company” or “Altisource” we mean Altisource Portfolio Solutions S.A., a Luxembourg société anonyme, or public limited company, and its wholly-owned subsidiaries.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businesses into the following three reportable segments: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Mortgage Services</w:t>
      </w:r>
      <w:r>
        <w:rPr>
          <w:rFonts w:ascii="Times New Roman" w:cs="Times New Roman" w:eastAsia="Times New Roman" w:hAnsi="Times New Roman"/>
          <w:sz w:val="18"/>
          <w:szCs w:val="18"/>
          <w:color w:val="auto"/>
        </w:rPr>
        <w:t>: Provides services that span the mortgage and real estate lifecycle and are typically outsourced by loan servicers, loan originators,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and other sellers of single family homes. We provide most of these services primarily for loan portfolios serviced by Ocwen. We also have longstanding relationships with commercial banks, insurance companies and mortgage bankers. Within the Mortgage Services segment, we provide the following services:</w:t>
      </w:r>
    </w:p>
    <w:p>
      <w:pPr>
        <w:spacing w:after="0" w:line="180" w:lineRule="exact"/>
        <w:rPr>
          <w:sz w:val="20"/>
          <w:szCs w:val="20"/>
          <w:color w:val="auto"/>
        </w:rPr>
      </w:pPr>
    </w:p>
    <w:p>
      <w:pPr>
        <w:jc w:val="both"/>
        <w:ind w:left="340" w:firstLine="324"/>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Asset management </w:t>
      </w:r>
      <w:r>
        <w:rPr>
          <w:rFonts w:ascii="Times New Roman" w:cs="Times New Roman" w:eastAsia="Times New Roman" w:hAnsi="Times New Roman"/>
          <w:sz w:val="18"/>
          <w:szCs w:val="18"/>
          <w:color w:val="auto"/>
        </w:rPr>
        <w:t>- Asset management services principally include property preservation, property inspection, real estate owned (“REO”)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Hubzu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Owners.com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consumer real estate portals and real estate brokerage services. We also provide property management, lease management and renovation management services for single family rental properties.</w:t>
      </w:r>
    </w:p>
    <w:p>
      <w:pPr>
        <w:spacing w:after="0" w:line="198" w:lineRule="exact"/>
        <w:rPr>
          <w:sz w:val="20"/>
          <w:szCs w:val="20"/>
          <w:color w:val="auto"/>
        </w:rPr>
      </w:pPr>
    </w:p>
    <w:p>
      <w:pPr>
        <w:jc w:val="both"/>
        <w:ind w:lef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Insurance services </w:t>
      </w:r>
      <w:r>
        <w:rPr>
          <w:rFonts w:ascii="Times New Roman" w:cs="Times New Roman" w:eastAsia="Times New Roman" w:hAnsi="Times New Roman"/>
          <w:sz w:val="18"/>
          <w:szCs w:val="18"/>
          <w:color w:val="auto"/>
        </w:rPr>
        <w:t>- Insurance services include an array of insurance services including pre-foreclosure, REO and refinance title searches,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agency services, settlement and escrow services and loss draft claims processing. Prior to the November 11, 2014 discontinuation, we provided insurance program management and insurance brokerage services for REO and lender placed insurance companies.</w:t>
      </w:r>
    </w:p>
    <w:p>
      <w:pPr>
        <w:spacing w:after="0" w:line="174" w:lineRule="exact"/>
        <w:rPr>
          <w:sz w:val="20"/>
          <w:szCs w:val="20"/>
          <w:color w:val="auto"/>
        </w:rPr>
      </w:pPr>
    </w:p>
    <w:p>
      <w:pPr>
        <w:jc w:val="both"/>
        <w:ind w:lef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Residential property valuation </w:t>
      </w:r>
      <w:r>
        <w:rPr>
          <w:rFonts w:ascii="Times New Roman" w:cs="Times New Roman" w:eastAsia="Times New Roman" w:hAnsi="Times New Roman"/>
          <w:sz w:val="18"/>
          <w:szCs w:val="18"/>
          <w:color w:val="auto"/>
        </w:rPr>
        <w:t>- Residential property valuation services principally include traditional appraisal products through our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 management company and alternative valuation products, some of which are through our network of real estate professionals. We generally provide these services for residential loan servicers, residential lenders and investors in single family homes.</w:t>
      </w:r>
    </w:p>
    <w:p>
      <w:pPr>
        <w:spacing w:after="0" w:line="174" w:lineRule="exact"/>
        <w:rPr>
          <w:sz w:val="20"/>
          <w:szCs w:val="20"/>
          <w:color w:val="auto"/>
        </w:rPr>
      </w:pPr>
    </w:p>
    <w:p>
      <w:pPr>
        <w:jc w:val="both"/>
        <w:ind w:lef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Default management services </w:t>
      </w:r>
      <w:r>
        <w:rPr>
          <w:rFonts w:ascii="Times New Roman" w:cs="Times New Roman" w:eastAsia="Times New Roman" w:hAnsi="Times New Roman"/>
          <w:sz w:val="18"/>
          <w:szCs w:val="18"/>
          <w:color w:val="auto"/>
        </w:rPr>
        <w:t>- Default management services principally include foreclosure trustee services for loan servicers and non-legal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related services for and under the supervision of foreclosure, bankruptcy and eviction attorneys.</w:t>
      </w:r>
    </w:p>
    <w:p>
      <w:pPr>
        <w:spacing w:after="0" w:line="158" w:lineRule="exact"/>
        <w:rPr>
          <w:sz w:val="20"/>
          <w:szCs w:val="20"/>
          <w:color w:val="auto"/>
        </w:rPr>
      </w:pPr>
    </w:p>
    <w:p>
      <w:pPr>
        <w:jc w:val="both"/>
        <w:ind w:left="340" w:firstLine="324"/>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Origination management services </w:t>
      </w:r>
      <w:r>
        <w:rPr>
          <w:rFonts w:ascii="Times New Roman" w:cs="Times New Roman" w:eastAsia="Times New Roman" w:hAnsi="Times New Roman"/>
          <w:sz w:val="18"/>
          <w:szCs w:val="18"/>
          <w:color w:val="auto"/>
        </w:rPr>
        <w:t>- Origination management services principally include Mortgage Partnership of America, L.L.C. (“MPA”)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underwriting and quality control businesses. MPA serves as the manager of Best Partners Mortgage Cooperative, Inc., which is referred to as the Lenders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and insurance services businesses. In September 2014, we launched Best Partners Mortgage Brokers Cooperative, Inc., which is referred to as the Wholesale One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Mortgage Cooperative (“Wholesale One”), for the wholesale mortgage industry. Wholesale One will assist mortgage brokers and other third party originators with tools to improve their businesses. In April 2015, we launched a new cooperative, Best Partners Residential Investor Cooperative, Inc., which is referred to as Residential Investor One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Residential Investor One was formed to deliver savings and efficiencies to individual and institutional residential real estate investors.</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Provides collection and customer relationship management services primarily to debt originators and servicers (e.g., credit card,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retail credit and mortgage) and the utility, insurance and hotel industries. Within the Financial Services segment, we provide the following services:</w:t>
      </w:r>
    </w:p>
    <w:p>
      <w:pPr>
        <w:spacing w:after="0" w:line="1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 xml:space="preserve">Asset recovery management </w:t>
      </w:r>
      <w:r>
        <w:rPr>
          <w:rFonts w:ascii="Times New Roman" w:cs="Times New Roman" w:eastAsia="Times New Roman" w:hAnsi="Times New Roman"/>
          <w:sz w:val="18"/>
          <w:szCs w:val="18"/>
          <w:color w:val="auto"/>
        </w:rPr>
        <w:t>- Asset recovery management principally includes post-charge-off debt collection services on a contingency fee basis.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Customer relationship management </w:t>
      </w:r>
      <w:r>
        <w:rPr>
          <w:rFonts w:ascii="Times New Roman" w:cs="Times New Roman" w:eastAsia="Times New Roman" w:hAnsi="Times New Roman"/>
          <w:sz w:val="18"/>
          <w:szCs w:val="18"/>
          <w:color w:val="auto"/>
        </w:rPr>
        <w:t>- Customer relationship management principally includes customer care, technical support and early 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services as well as insurance call center services and administrative support.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Technology Services</w:t>
      </w:r>
      <w:r>
        <w:rPr>
          <w:rFonts w:ascii="Times New Roman" w:cs="Times New Roman" w:eastAsia="Times New Roman" w:hAnsi="Times New Roman"/>
          <w:sz w:val="18"/>
          <w:szCs w:val="18"/>
          <w:color w:val="auto"/>
        </w:rPr>
        <w:t>: Provides a portfolio of software, data analytics and infrastructure management services that support the efficient and compliant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mortgage and real estate activities and marketplace transactions across the lifecycle. We currently provide our information technology (“IT”) infrastructure management services to Ocwen, Home Loan Servicing Solutions, Ltd. (“HLSS”), Altisource Residential Corporation (“Residential”) and Altisource Asset Management Corporation (“AAMC”), through managed services agreements, and our other segments in a shared services model. Our software and analytics solutions primarily include REALSuite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Equator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and Mortgage Builder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software solutions, as described briefly below:</w:t>
      </w:r>
    </w:p>
    <w:p>
      <w:pPr>
        <w:spacing w:after="0" w:line="81"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The REALSuite platform provides a fully integrated set of software applications and technologies that manage the end-to-end lifecycle for residential and commercial mortgage loan servicing including the automated management and payment of a distributed network of vendors.</w:t>
      </w:r>
    </w:p>
    <w:p>
      <w:pPr>
        <w:spacing w:after="0" w:line="160" w:lineRule="exact"/>
        <w:rPr>
          <w:sz w:val="20"/>
          <w:szCs w:val="20"/>
          <w:color w:val="auto"/>
        </w:rPr>
      </w:pPr>
    </w:p>
    <w:p>
      <w:pPr>
        <w:jc w:val="both"/>
        <w:ind w:left="980" w:firstLine="324"/>
        <w:spacing w:after="0" w:line="214" w:lineRule="auto"/>
        <w:rPr>
          <w:sz w:val="20"/>
          <w:szCs w:val="20"/>
          <w:color w:val="auto"/>
        </w:rPr>
      </w:pPr>
      <w:r>
        <w:rPr>
          <w:rFonts w:ascii="Times New Roman" w:cs="Times New Roman" w:eastAsia="Times New Roman" w:hAnsi="Times New Roman"/>
          <w:sz w:val="18"/>
          <w:szCs w:val="18"/>
          <w:i w:val="1"/>
          <w:iCs w:val="1"/>
          <w:color w:val="auto"/>
        </w:rPr>
        <w:t>REALServicing</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An enterprise residential mortgage loan servicing platform that offers an efficient and compliant platform for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including default administration. This solution spans the loan servicing lifecycle from loan boarding to satisfaction including automation for collections, borrower communications, payment processing and reporting. We also offer the REALSynergy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enterprise commercial loan servicing system.</w:t>
      </w:r>
    </w:p>
    <w:p>
      <w:pPr>
        <w:spacing w:after="0" w:line="199" w:lineRule="exact"/>
        <w:rPr>
          <w:sz w:val="20"/>
          <w:szCs w:val="20"/>
          <w:color w:val="auto"/>
        </w:rPr>
      </w:pPr>
    </w:p>
    <w:p>
      <w:pPr>
        <w:jc w:val="both"/>
        <w:ind w:left="980" w:firstLine="324"/>
        <w:spacing w:after="0" w:line="219" w:lineRule="auto"/>
        <w:rPr>
          <w:sz w:val="20"/>
          <w:szCs w:val="20"/>
          <w:color w:val="auto"/>
        </w:rPr>
      </w:pPr>
      <w:r>
        <w:rPr>
          <w:rFonts w:ascii="Times New Roman" w:cs="Times New Roman" w:eastAsia="Times New Roman" w:hAnsi="Times New Roman"/>
          <w:sz w:val="18"/>
          <w:szCs w:val="18"/>
          <w:i w:val="1"/>
          <w:iCs w:val="1"/>
          <w:color w:val="auto"/>
        </w:rPr>
        <w:t>REALResolution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technology platform that provides servicers with an automated default management and home retention solution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delinquent and defaulted loans.</w:t>
      </w:r>
    </w:p>
    <w:p>
      <w:pPr>
        <w:spacing w:after="0" w:line="197" w:lineRule="exact"/>
        <w:rPr>
          <w:sz w:val="20"/>
          <w:szCs w:val="20"/>
          <w:color w:val="auto"/>
        </w:rPr>
      </w:pPr>
    </w:p>
    <w:p>
      <w:pPr>
        <w:jc w:val="both"/>
        <w:ind w:left="980" w:firstLine="324"/>
        <w:spacing w:after="0" w:line="233" w:lineRule="auto"/>
        <w:rPr>
          <w:sz w:val="20"/>
          <w:szCs w:val="20"/>
          <w:color w:val="auto"/>
        </w:rPr>
      </w:pPr>
      <w:r>
        <w:rPr>
          <w:rFonts w:ascii="Times New Roman" w:cs="Times New Roman" w:eastAsia="Times New Roman" w:hAnsi="Times New Roman"/>
          <w:sz w:val="18"/>
          <w:szCs w:val="18"/>
          <w:i w:val="1"/>
          <w:iCs w:val="1"/>
          <w:color w:val="auto"/>
        </w:rPr>
        <w:t>REALTrans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patented electronic services marketplace platform that automates and simplifies vendor selection, ordering, tracking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fulfilling of vendor provided services principally related to real estate and mortgage marketplaces. This technology solution, whether accessed through the web or integrated into existing business processing applications, connects to a marketplace of services through a single platform and delivers an efficient method for managing a large scale network of vendors.</w:t>
      </w:r>
    </w:p>
    <w:p>
      <w:pPr>
        <w:spacing w:after="0" w:line="198" w:lineRule="exact"/>
        <w:rPr>
          <w:sz w:val="20"/>
          <w:szCs w:val="20"/>
          <w:color w:val="auto"/>
        </w:rPr>
      </w:pPr>
    </w:p>
    <w:p>
      <w:pPr>
        <w:jc w:val="both"/>
        <w:ind w:left="980" w:firstLine="324"/>
        <w:spacing w:after="0" w:line="228" w:lineRule="auto"/>
        <w:rPr>
          <w:sz w:val="20"/>
          <w:szCs w:val="20"/>
          <w:color w:val="auto"/>
        </w:rPr>
      </w:pPr>
      <w:r>
        <w:rPr>
          <w:rFonts w:ascii="Times New Roman" w:cs="Times New Roman" w:eastAsia="Times New Roman" w:hAnsi="Times New Roman"/>
          <w:sz w:val="18"/>
          <w:szCs w:val="18"/>
          <w:i w:val="1"/>
          <w:iCs w:val="1"/>
          <w:color w:val="auto"/>
        </w:rPr>
        <w:t>REALRemit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patented electronic invoicing and payment system that provides vendors with the ability to submit invoices electronically,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payors with the ability to automatically adjudicate invoices according to compliance rules and for electronic payments to be fulfilled subject to approval review rules and workflows.</w:t>
      </w:r>
    </w:p>
    <w:p>
      <w:pPr>
        <w:spacing w:after="0" w:line="198" w:lineRule="exact"/>
        <w:rPr>
          <w:sz w:val="20"/>
          <w:szCs w:val="20"/>
          <w:color w:val="auto"/>
        </w:rPr>
      </w:pPr>
    </w:p>
    <w:p>
      <w:pPr>
        <w:jc w:val="both"/>
        <w:ind w:left="980" w:firstLine="324"/>
        <w:spacing w:after="0" w:line="233" w:lineRule="auto"/>
        <w:rPr>
          <w:sz w:val="20"/>
          <w:szCs w:val="20"/>
          <w:color w:val="auto"/>
        </w:rPr>
      </w:pPr>
      <w:r>
        <w:rPr>
          <w:rFonts w:ascii="Times New Roman" w:cs="Times New Roman" w:eastAsia="Times New Roman" w:hAnsi="Times New Roman"/>
          <w:sz w:val="18"/>
          <w:szCs w:val="18"/>
          <w:i w:val="1"/>
          <w:iCs w:val="1"/>
          <w:color w:val="auto"/>
        </w:rPr>
        <w:t>REALDoc</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An automated document management platform that consists of three primary modules: REALDoc Capture, which converts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images into processable data, indexes documents and 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171" w:lineRule="exact"/>
        <w:rPr>
          <w:sz w:val="20"/>
          <w:szCs w:val="20"/>
          <w:color w:val="auto"/>
        </w:rPr>
      </w:pPr>
    </w:p>
    <w:p>
      <w:pPr>
        <w:jc w:val="both"/>
        <w:ind w:left="980" w:firstLine="324"/>
        <w:spacing w:after="0" w:line="228" w:lineRule="auto"/>
        <w:rPr>
          <w:sz w:val="20"/>
          <w:szCs w:val="20"/>
          <w:color w:val="auto"/>
        </w:rPr>
      </w:pPr>
      <w:r>
        <w:rPr>
          <w:rFonts w:ascii="Times New Roman" w:cs="Times New Roman" w:eastAsia="Times New Roman" w:hAnsi="Times New Roman"/>
          <w:sz w:val="18"/>
          <w:szCs w:val="18"/>
          <w:i w:val="1"/>
          <w:iCs w:val="1"/>
          <w:color w:val="auto"/>
        </w:rPr>
        <w:t>REALAnalytics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A data analytics and delivery platform that utilizes advanced econometric modeling and behavioral economics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and real estate service providers in optimizing risk management, value measurement, loss mitigation and consumer behavior outcomes across the mortgage and real estate lifecycle.</w:t>
      </w:r>
    </w:p>
    <w:p>
      <w:pPr>
        <w:spacing w:after="0" w:line="171" w:lineRule="exact"/>
        <w:rPr>
          <w:sz w:val="20"/>
          <w:szCs w:val="20"/>
          <w:color w:val="auto"/>
        </w:rPr>
      </w:pPr>
    </w:p>
    <w:p>
      <w:pPr>
        <w:jc w:val="both"/>
        <w:ind w:left="340"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Equator </w:t>
      </w:r>
      <w:r>
        <w:rPr>
          <w:rFonts w:ascii="Times New Roman" w:cs="Times New Roman" w:eastAsia="Times New Roman" w:hAnsi="Times New Roman"/>
          <w:sz w:val="18"/>
          <w:szCs w:val="18"/>
          <w:color w:val="auto"/>
        </w:rPr>
        <w:t>- Includes the EQ Workstation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EQ Marketplace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EQ Midsource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 Portal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and can be used separately or together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1" w:lineRule="exact"/>
        <w:rPr>
          <w:sz w:val="20"/>
          <w:szCs w:val="20"/>
          <w:color w:val="auto"/>
        </w:rPr>
      </w:pPr>
    </w:p>
    <w:p>
      <w:pPr>
        <w:jc w:val="both"/>
        <w:ind w:left="34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Mortgage Builder </w:t>
      </w:r>
      <w:r>
        <w:rPr>
          <w:rFonts w:ascii="Times New Roman" w:cs="Times New Roman" w:eastAsia="Times New Roman" w:hAnsi="Times New Roman"/>
          <w:sz w:val="18"/>
          <w:szCs w:val="18"/>
          <w:color w:val="auto"/>
        </w:rPr>
        <w:t>- Includes the Architect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Surveyance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Colonnade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LoanXEngine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which are software solutions for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banks, community banks, credit unions and other financial institutions. The Architect platform is a cloud 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Corporate Items and Eliminations</w:t>
      </w:r>
      <w:r>
        <w:rPr>
          <w:rFonts w:ascii="Times New Roman" w:cs="Times New Roman" w:eastAsia="Times New Roman" w:hAnsi="Times New Roman"/>
          <w:sz w:val="18"/>
          <w:szCs w:val="18"/>
          <w:color w:val="auto"/>
        </w:rPr>
        <w:t>: Includes interest expense and costs related to corporate support functions including executive, finance, legal,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vendor management, risk and operational effectiveness and marketing, and also includes eliminations of transactions between the reportable segments. Corporate Items and Eliminations also include the cost of facilities until approximately 40% of the facilities are occupied by the business unit(s), at which time costs are charged to the business unit(s).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March 31, 2015, we have purchased approximately 6.4 million shares of our common stock in the open market at an average price of $77.69 per share. We purchased 0.2 million shares of common stock at an average price of $23.44 per share during the three months ended March 31, 2015 and 0.3 million shares at an average price of $109.97 per share during the three months ended March 31, 2014. As of March 31, 2015, approximately 1.0 million shares of common stock remain available for repurchase under the new program. Our senior secured term loan limits the amount we can spend on share repurchases in any year and may prevent repurchases in certain circumstances. As of March 31, 2015, approximately $285 million was available to repurchase our common stock under our senior secured term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Altisource’s Vision and Growth Initiatives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provides a suite of mortgage, real estate and consumer debt services, leveraging our technology and global operations. Our relationship with Ocwen provided a foundation on which we built our business and Ocwen, as our largest customer, remains an important priority for us. Leveraging the services we have built through Ocwen and other relationships, Altisource is focused on becoming the premier provider of real estate and mortgage marketplaces offering both distribution and content to a diversified customer base. Within the real estate and mortgage markets, we are facilitating transactions related to home sales, home rentals, home maintenance, mortgage origination and mortgage servicing.</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expect our revenue from Ocwen’s servicing portfolio to decline in 2015, we believe we have opportunities to continue to build our business from our revenue and diversification initiatives. Ocwen remains a very important component of our business and we believe that its existing non-government-sponsored enterprise (“non-GSE”) portfolio provides continuing revenue opportunities for Altisource. While we have been working on our strategic growth initiatives for some time, we have historically had to balance this activity with the need to support Ocwen during a period of its own rapid growth. Given our current expectations relative to Ocwen going forward and the recognized importance of diversifying further our customer base, we are increasing our focus on our strategic growth initiatives. Our strategic growth initiatives 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market: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clients to our comprehensive default related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origination services and technologies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market: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innovative online real estate marketplace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property management and renovation services business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may impact the comparability of our results: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loans serviced by Ocwen on REALServicing was 2.4 million for three months ended March 31, 2015 compared to 1.9 million for the three months ended March 31, 2014. The average number of delinquent non-GSE loans serviced by Ocwen on REALServicing was 314 thousand for the three months ended March 31, 2015 compared to 369 thousand for the three months ended March 31, 2014;</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2015, we recognized a $3.3 million impairment loss on our investment in HLSS equity securities;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2014, we acquired certain assets and assumed certain liabilities of Owners Advantage, LLC (“Owners”), a leading self-directed online real estate marketplace, for an initial purchase price of $19.8 million plus contingent earn out consideration of up to an additional $7.0 million over two years, subject to Owners achieving annual performance targets;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2014, we discontinued our lender placed insurance brokerage line of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2014, we completed the acquisition of certain assets and assumed certain liabilities of Mortgage Builder Software, Inc. (“Mortgage Builder”), a provider of mortgage loan origination and servicing software systems, for an initial purchase price of $15.7 million plus contingent earn out consideration of up to an additional $7.0 million over three years, subject to Mortgage Builder achieving annual performance targets;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2014, we amended our senior secured term loan agreement and increased our borrowings by $200.0 million to $594.5 million. Interest expense totaled $7.2 million for the three months ended March 31, 2015 compared to $4.8 million for the three months ended March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Immaterial Errors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disclosed, during 2014 we determined that while we properly identified our related parties in previously issued financial statements, disclosures of certain immaterial related party expenses were omitted. We corrected the previously presented disclosures of related party expenses in Note 2 - </w:t>
      </w:r>
      <w:r>
        <w:rPr>
          <w:rFonts w:ascii="Times New Roman" w:cs="Times New Roman" w:eastAsia="Times New Roman" w:hAnsi="Times New Roman"/>
          <w:sz w:val="18"/>
          <w:szCs w:val="18"/>
          <w:i w:val="1"/>
          <w:iCs w:val="1"/>
          <w:color w:val="auto"/>
        </w:rPr>
        <w:t xml:space="preserve">Transactions with Related Parties </w:t>
      </w:r>
      <w:r>
        <w:rPr>
          <w:rFonts w:ascii="Times New Roman" w:cs="Times New Roman" w:eastAsia="Times New Roman" w:hAnsi="Times New Roman"/>
          <w:sz w:val="18"/>
          <w:szCs w:val="18"/>
          <w:color w:val="auto"/>
        </w:rPr>
        <w:t>and on the face of the condensed consolidated statements of operations for the three months ended March 31, 2014.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correcting these items in the notes to the condensed consolidated financial statements had the effect of:</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amounts disclosed as related party cost of revenue from Ocwen by $7.3 million for the three months ended March 31, 2014;</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amounts disclosed as selling, general and administrative expenses (“SG&amp;A”) from Ocwen billings to Altisource by $0.4 million for the three months ended March 31, 2014;</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amounts disclosed as SG&amp;A from Altisource billings to Ocwen by $0.2 million for the three months ended March 31, 2014;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amounts disclosed as SG&amp;A from Altisource billings to AAMC by $0.3 million for the three months ended March 31, 2014.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Correcting these items on the face of the condensed consolidated statements of operations resulted in the disclosure of related party cost of revenue of $7.3 million for the three months ended March 31, 2014 and a decrease in previously disclosed related party SG&amp;A by $1.1 million for the three months ended March 31, 2014.</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Financial Accounting Standards Board (“FASB”) Accounting Standards Codification (“ASC”) Topic 250, </w:t>
      </w:r>
      <w:r>
        <w:rPr>
          <w:rFonts w:ascii="Times New Roman" w:cs="Times New Roman" w:eastAsia="Times New Roman" w:hAnsi="Times New Roman"/>
          <w:sz w:val="18"/>
          <w:szCs w:val="18"/>
          <w:i w:val="1"/>
          <w:iCs w:val="1"/>
          <w:color w:val="auto"/>
        </w:rPr>
        <w:t>Accounting Changes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Error Corrections</w:t>
      </w:r>
      <w:r>
        <w:rPr>
          <w:rFonts w:ascii="Times New Roman" w:cs="Times New Roman" w:eastAsia="Times New Roman" w:hAnsi="Times New Roman"/>
          <w:sz w:val="18"/>
          <w:szCs w:val="18"/>
          <w:color w:val="auto"/>
        </w:rPr>
        <w:t>, the Company evaluated the effect of the disclosure and presentation errors on its previously issued annual and quarterly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both qualitatively and quantitatively, and concluded that the related party disclosures in the Company’s previously issued annual and quarterly financial statements are not materially misstated.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Consolidated Results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results of operations for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400" w:type="dxa"/>
            <w:vAlign w:val="bottom"/>
          </w:tcPr>
          <w:p>
            <w:pPr>
              <w:spacing w:after="0"/>
              <w:rPr>
                <w:sz w:val="13"/>
                <w:szCs w:val="13"/>
                <w:color w:val="auto"/>
              </w:rPr>
            </w:pPr>
          </w:p>
        </w:tc>
        <w:tc>
          <w:tcPr>
            <w:tcW w:w="1260" w:type="dxa"/>
            <w:vAlign w:val="bottom"/>
            <w:vMerge w:val="restart"/>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vMerge w:val="restart"/>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5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Services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144,381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147,148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Services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24,257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Services</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46,850</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(8,296)</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service revenue</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207,816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209,959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28,795</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515</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240,482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239,269</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172,826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147,805</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67,656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91,464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43,534</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47,930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(4,776)</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loss on HLSS equity securities</w:t>
            </w: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43,201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(3,055)</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40,146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Altisource</w:t>
            </w: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39,631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Margins: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profit/service revenue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operations/service revenue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1"/>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service revenue of $207.8 million for the three months ended March 31, 2015, a 1% decrease compared to the three months ended March 31, 2014. The slight decline in service revenue was primarily due to the discontinuation of the lender placed insurance brokerage line of business in the fourth quarter of 2014, fewer property valuation services referrals and lower Equator revenue from the full amortization of acquisition related deferred revenue in 2014. These declines were largely offset by revenue expansion in the asset management services businesses primarily from growth in the number of non-Ocwen homes and Ocwen REO sold on Hubzu and a higher percentage of homes sold through auction.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revenues are impacted by seasonality. More specifically, Mortgage Services’ revenue is impacted by REO sales and lawn maintenance, which tend to be at their lowest level during the fall and winter months and highest during the spring and</w:t>
      </w:r>
    </w:p>
    <w:p>
      <w:pPr>
        <w:sectPr>
          <w:pgSz w:w="11900" w:h="16838" w:orient="portrait"/>
          <w:cols w:equalWidth="0" w:num="1">
            <w:col w:w="11420"/>
          </w:cols>
          <w:pgMar w:left="240" w:top="121" w:right="239" w:bottom="441"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441"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summer months. Financial Services’ asset recovery management revenue tends to be higher in the first quarter, as borrowers may utilize tax refunds and bonuses to pay debts, and generally declines throughout the rest of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cost of revenue of $172.8 million for the three months ended March 31, 2015, a 17% increase compared to the three months ended March 31, 2014. The increase in cost of revenue is primarily attributable to increases in compensation and benefits and technology and telecommunications costs. Compensation and benefits increased primarily due to increased headcount and related benefits, contractor costs and severance costs incurred in connection with cost reduction initiatives implemented during the three months ended March 31, 2015. Technology and telecommunications costs increased due to increases in service contracts and consulting fees. Recognizing that our business with Ocwen is not expected to grow in the near term due to challenges faced by Ocwen, in late 2014 and early 2015 we developed and are executing on a plan that includes eliminating certain non-revenue generating businesses, reducing vendor costs and eliminating staff. During the three months ended March 31, 2015, we recognized severance expense of $4.0 million related to the elimination of staff.</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to $67.7 million, representing 33% of service revenue, for the three months ended March 31, 2015 from $91.5 million, representing 44% of service revenue, for the three months ended March 31, 2014. Gross profit as a percentage of service revenue declined in 2015 due largely to lower revenue from Mortgage Services’ higher gross margin businesses and higher compensation and benefits and technology and telecommunications costs without corresponding revenue growth principally within the Technology Services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and Income from Operations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includes payroll for personnel employed in executive, finance, legal, compliance, human resources, vendor management, risk and operational effectiveness and marketing roles. This category also includes occupancy costs, professional fees and depreciation and amortization of intangible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SG&amp;A of $52.4 million for the three months ended March 31, 2015, a 20% increase compared to the three months ended March 31, 2014. This increase is driven primarily by higher compensation and benefits cost due to expansion of certain support functions, severance costs incurred in connection with cost reduction initiatives implemented during the three months ended March 31, 2015 and higher legal costs related to regulatory and litigation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to $15.3 million, representing 7% of service revenue, for the three months ended March 31, 2015 from $47.9 million, representing 23% of service revenue, for the three months ended March 31, 2014. The decrease in operating income margin is primarily driven by the increase in cost of revenues and the increase in SG&amp;A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principally includes interest expense, interest income and an other than temporary impairment loss on HLSS equity securities. Interest expense was $7.2 million for the three months ended March 31, 2015, an increase of $2.4 million compared to the three months ended March 31, 2014, resulting from the additional $200.0 million senior secured term loan borrowings on August 1, 2014.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2015, we purchased 1.6 million shares of HLSS common stock for $30.0 million in the open market. This investment is classified as available for sale and reflected at fair value at March 31, 2015. Based on HLSS’ sale of substantially all of its assets and plan of complete liquidation and dissolution, we determined that our investment in HLSS is other than temporarily impaired. Accordingly, we recognized an other than temporary impairment loss of $3.3 million during the three months ended March 31, 2015. This amount reflects the difference between the cost and fair value of the HLSS equity securities as of March 31,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an income tax provision of $0.4 million for the three months ended March 31, 2015 compared to $3.1 million for the three months ended March 31, 2014. Our effective tax rate was 8.3% and 7.1% for the three months ended March 31,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March 31, 2014, respectively. Our effective tax rate differs from the Luxembourg statutory tax rate of 29.2% primarily due to the effect of certain deductions in Luxembourg from a tax ruling, which expires in 2019 unless extended or renewed, and the mix of income and losses with varying tax rates in multiple taxing jurisdictions.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services. We reflect these as service revenue in the Technology Services segment and technology and telecommunications expense within cost of revenue and SG&amp;A in the segment receiving the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6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2"/>
                <w:szCs w:val="12"/>
                <w:color w:val="auto"/>
              </w:rPr>
            </w:pPr>
          </w:p>
        </w:tc>
        <w:tc>
          <w:tcPr>
            <w:tcW w:w="11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42"/>
        </w:trPr>
        <w:tc>
          <w:tcPr>
            <w:tcW w:w="4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144,381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22,313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207,816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31,956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240,482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52,723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172,826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67,656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52,406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41,637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81"/>
        </w:trPr>
        <w:tc>
          <w:tcPr>
            <w:tcW w:w="4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Margins: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25,089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148,639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6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42"/>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147,148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24,257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209,959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28,795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176,430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239,269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147,805</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91,464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47,930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 and</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54,067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43,201</w:t>
            </w:r>
          </w:p>
        </w:tc>
        <w:tc>
          <w:tcPr>
            <w:tcW w:w="0" w:type="dxa"/>
            <w:vAlign w:val="bottom"/>
          </w:tcPr>
          <w:p>
            <w:pPr>
              <w:spacing w:after="0"/>
              <w:rPr>
                <w:sz w:val="1"/>
                <w:szCs w:val="1"/>
                <w:color w:val="auto"/>
              </w:rPr>
            </w:pPr>
          </w:p>
        </w:tc>
      </w:tr>
      <w:tr>
        <w:trPr>
          <w:trHeight w:val="281"/>
        </w:trPr>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Margins: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from operations/service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145,558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service line was as follows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3"/>
                <w:szCs w:val="1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12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7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89,584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74,725</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property valuation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5,837</w:t>
            </w:r>
          </w:p>
        </w:tc>
        <w:tc>
          <w:tcPr>
            <w:tcW w:w="13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Origination management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4,425</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147,148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27,162</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13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management services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31,915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28,767</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177,006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176,430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80,630</w:t>
            </w:r>
          </w:p>
        </w:tc>
        <w:tc>
          <w:tcPr>
            <w:tcW w:w="13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Insurance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property valuation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4,169</w:t>
            </w: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management services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 from related parties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117,941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122,439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service revenue of $144.4 million for the three months ended March 31, 2015, a 2% decrease compared to the three months ended March 31, 2014, primarily due to the discontinuation of the lender placed insurance brokerage line of business in the fourth quarter of 2014 and fewer property valuation services referrals. These declines were largely offset by revenue expansion in the asset management services businesses primarily from growth in the number of non-Ocwen homes and Ocwen REO sold on Hubzu and a higher percentage of homes sold through auction.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Mortgage Services businesses are impacted by seasonality. REO sales and lawn maintenance services are generally lowest during the fall and winter months and highest during the spring and summer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3"/>
                <w:szCs w:val="13"/>
                <w:color w:val="auto"/>
              </w:rPr>
            </w:pPr>
          </w:p>
        </w:tc>
        <w:tc>
          <w:tcPr>
            <w:tcW w:w="12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15,452</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4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52,283</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28,767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4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6,204</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114,804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103,237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57"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657"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three months ended March 31, 2015 of $114.8 million increased by 11% compared to the three months ended March 31, 2014, primarily due to the increase in compensation and benefits and technology and telecommunications costs. Compensation and benefits costs increased during 2014 to support growth in certain of our Mortgage Services businesses and our growth initiatives. Technology and telecommunications costs increased primarily due to increased IT infrastructure investments. Recognizing that our business with Ocwen is not expected to grow in the near term due to challenges faced by Ocwen, in late 2014 and early 2015 we developed and are executing on a plan that includes eliminating certain non-revenue generating businesses, reducing vendor costs and eliminating staff. During the three months ended March 31, 2015, we recognized severance expense in the Mortgage Services segment of $1.1 million related to the elimination of staff.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to $62.2 million, representing 43% of service revenue, for the three months ended March 31, 2015 from $73.2 million, representing 50% of service revenue, for the three months ended March 31, 2014. The gross profit margin decreased due to service revenue mix with no revenue in 2015 from the higher margin lender placed insurance brokerage business and from costs incurred in the three months ended March 31, 2015 related to certain non-revenue generating businesses that will no longer be incurred after March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margins can vary substantially depending upon service revenue mix.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and Income from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6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4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2,380</w:t>
            </w:r>
          </w:p>
        </w:tc>
        <w:tc>
          <w:tcPr>
            <w:tcW w:w="14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14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19,174</w:t>
            </w:r>
          </w:p>
        </w:tc>
        <w:tc>
          <w:tcPr>
            <w:tcW w:w="14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three months ended March 31, 2015 of $20.6 million increased by 7% compared to the three months ended March 31, 2014, primarily driven by an increase in legal costs related to legal and regulatory matters. This increase was partially offset by lower Hubzu marketing costs as we continue to optimize our marketing spend and lower bad debt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to $41.6 million, representing 29% of service revenue, for the three months ended March 31, 2015 compared to $54.0 million, representing 37% of service revenue, for the three months ended March 31, 2014. The decrease in operating income margin is the result of the decrease in gross profit as a percentage of service revenue and higher SG&amp;A expenses as a percentage of service revenue, as discussed above.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service line was as follows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 management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24,257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64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22,354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24,285</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6,302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service revenue of $22.3 million for the three months ended March 31, 2015, an 8% decrease compared to the three months ended March 31, 2014, primarily due to lower customer relationship management business from an existing customer, due to its vendor diversification initiatives, partially offset by the addition of a new customer.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3"/>
                <w:szCs w:val="13"/>
                <w:color w:val="auto"/>
              </w:rPr>
            </w:pPr>
          </w:p>
        </w:tc>
        <w:tc>
          <w:tcPr>
            <w:tcW w:w="12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4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4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2,440</w:t>
            </w: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14,613</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for the three months ended March 31, 2015 of $15.1 million increased by 3% compared to the three months ended March 31, 2014, primarily due to higher technology and telecommunications costs from increased IT infrastructure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to $7.3 million, representing 32% of service revenue, for the three months ended March 31, 2015 compared to $9.7 million, representing 40% of service revenue, for the three months ended March 31, 2014. Gross profit margin decreased primarily due to the decrease in revenues from a customer relationship management customer, due to its vendor diversification initiatives, without a similar reduction in compensation and benefits and higher technology and telecommunications costs.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5700"/>
        <w:spacing w:after="0" w:line="48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and Income from Operations </w:t>
      </w:r>
      <w:r>
        <w:rPr>
          <w:rFonts w:ascii="Times New Roman" w:cs="Times New Roman" w:eastAsia="Times New Roman" w:hAnsi="Times New Roman"/>
          <w:sz w:val="18"/>
          <w:szCs w:val="18"/>
          <w:color w:val="auto"/>
        </w:rPr>
        <w:t>SG&amp;A expenses consist of the following for the three months ended March 31:</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1,828</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691</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4,663</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three months ended March 31, 2015 of $4.7 million increased by 1% compared to the three months ended March 31, 2014, primarily due to an increase in depreciation and amortization expense and other expenses due to leasehold improvements in connection with facility relocations, partially offset by a decrease in amortization of intangible assets.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was $2.5 million, representing 11% of service revenue, for the three months ended March 31, 2015 compared to $5.0 million, representing 21% of service revenue, for the three months ended March 31, 2014. The decrease in operating income as a percentage of service revenue is primarily the result of lower gross profit margins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service line was as follows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3"/>
                <w:szCs w:val="13"/>
                <w:color w:val="auto"/>
              </w:rPr>
            </w:pPr>
          </w:p>
        </w:tc>
        <w:tc>
          <w:tcPr>
            <w:tcW w:w="12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34,604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12,246</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51,970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46,850</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11,350</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5,467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 from related parties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16,817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service revenue of $52.0 million for the three months ended March 31, 2015, an 11% increase compared to the three months ended March 31, 2014, primarily driven by IT infrastructure services revenue. IT infrastructure services are typically billed on a cost plus basis and costs in the IT infrastructure business were higher than the same period in 2014. (See cost of revenue section below for further discussion.) Within the software services businesses, lower Equator revenue from the full amortization of acquisition related deferred revenue in 2014 was partially offset by revenue from a higher number of loans serviced by Ocwen on REALServicing.</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segment presentation purposes, revenue from services provided by Technology Services to our other reportable segments is eliminated in consolidation. This inter-segment revenue is included as revenue in the Technology Services segment and as technology and telecommunications expense, a component of cost of revenue and SG&amp;A, in our other reportable segments.</w:t>
      </w:r>
    </w:p>
    <w:p>
      <w:pPr>
        <w:sectPr>
          <w:pgSz w:w="11900" w:h="16838" w:orient="portrait"/>
          <w:cols w:equalWidth="0" w:num="1">
            <w:col w:w="11420"/>
          </w:cols>
          <w:pgMar w:left="240" w:top="121"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three months ended March 31: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3"/>
                <w:szCs w:val="13"/>
                <w:color w:val="auto"/>
              </w:rPr>
            </w:pPr>
          </w:p>
        </w:tc>
        <w:tc>
          <w:tcPr>
            <w:tcW w:w="122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26,158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4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7,303</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37,332</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for the three months ended March 31, 2015 of $52.7 million increased by 41% compared to the three months ended March 31, 2014, primarily due to increased compensation and benefits and technology and telecommunications costs. A portion of the increase in costs relates to the September 2014 acquisition of Mortgage Builder. The remaining increase relates to businesses we have been investing in to support our growth. Recognizing that our business with Ocwen is not expected to grow in the near term due to challenges faced by Ocwen, in late 2014 and early 2015 we developed and are executing on a plan that includes eliminating certain non-revenue generating businesses, reducing vendor costs and eliminating staff. During the three months ended March 31, 2015, we recognized severance expense in the Technology Services segment of $2.8 million related to the elimination of staff.</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(loss) decreased to $(0.8) million, representing (1)% of service revenue, for the three months ended March 31, 2015 compared to $9.5 million, representing 20% of service revenue, for the three months ended March 31, 2014. Gross profit (loss) margins decreased primarily due to higher costs,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and Income from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three months ended March 31: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6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2,631</w:t>
            </w:r>
          </w:p>
        </w:tc>
        <w:tc>
          <w:tcPr>
            <w:tcW w:w="1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6,614</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three months ended March 31, 2015 of $7.3 million increased by 11% compared to the three months ended March 31, 2014, primarily due to increased occupancy related costs driven by facility expansions and relocations as well as increased intangible asset amortization related to the Mortgage Builder acquisition, partially offset by lower bad debt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was $(8.1) million, representing (16)% of service revenue, for the three months ended March 31, 2015 compared to income from operations of $2.9 million, representing 6% of service revenue, for the three months ended March 31, 2014. Income from operations as a percentage of service revenue decreased primarily due to the decline in gross profit margins and the increase in SG&amp;A,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 and Eliminations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Items and Eliminations include interest expense, other than temporary impairment loss on HLSS equity securities and costs related to corporate support functions including executive, finance, legal, compliance, human resources, vendor management, risk and operational effectiveness and marketing. It also includes eliminations of transactions between the reportable segments.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costs consist of the following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6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6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7,649</w:t>
            </w:r>
          </w:p>
        </w:tc>
        <w:tc>
          <w:tcPr>
            <w:tcW w:w="14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2,605</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512</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13,083</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4,760</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corporate costs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30,242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17,843</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Corporate costs for the three months ended March 31, 2015 of $30.2 million increased by 69% compared to the three months ended March 31, 2014, primarily due to higher compensation and benefits costs, legal and compliance costs related to regulatory and litigation matters, interest expense and an other than temporary impairment loss on HLSS equity securities. We incurred higher compensation and benefits costs as we are expanding certain corporate functions. In addition, we incurred $0.5 million of severance costs in connection with cost reduction initiatives implemented during the three months ended March 31, 2015. Interest expense for the three months ended March 31, 2015 was $7.2 million, an increase of $2.4 million compared to the three months ended March 31, 2014, resulting from the additional $200.0 million senior secured term loan borrowings on August 1, 2014. In addition, we recorded a $3.3 million loss related to an other than temporary impairment of HLSS equity securities for the three months ended March 31, 2015 (no comparative amount in 2014).</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Intercompany revenue that is eliminated in consolidation increased for the three months ended March 31, 2015 compared to the three months ended March 31, 2014. These intercompany transactions primarily consisted of IT infrastructure services. While the expenses are recognized in the Mortgage Services and Financial Services segments above, the elimination of these expenses is reflected in Corporate Items and Eliminations.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may consider business acquisitions and other opportunities that may arise from time to time. During January 2015, we used $4.0 million to repurchase Altisource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relationship with Ocwen is subject to a number of risks and uncertainties that could result in changes to our relationship and have an adverse effect on our liquidity. We intend to closely monitor the Ocwen related uncertainties and to modify our business plan as needed in response. As a result of these uncertainties, we intend to increase our cash and cash equivalents position throughout 2015. However, we will continue to monitor market conditions, and may, at some point in the future, consider repurchasing our common stock and/or our debt if we believe conditions are favorable.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March 31, 2015, $587.3 million, net of</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unamortized discount of $2.8 million, was outstanding under the senior secured term loan agreement, as amended, compared to $588.6 million, net of unamortized discount of $2.9 million, as of December 31, 2014.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upon the occurrence of any event of default under the senior secured term loan agreement. However, if leverage ratios exceed 3.00 to 1.00, a percentage of cash flows must be used to repay principal. No mandatory prepayments were owed for the three months ended March 31, 2015. Interest payments are due monthly. The interest rate as of March 31, 2015 was 4.50%.</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3"/>
                <w:szCs w:val="13"/>
                <w:color w:val="auto"/>
              </w:rPr>
            </w:pPr>
          </w:p>
        </w:tc>
        <w:tc>
          <w:tcPr>
            <w:tcW w:w="114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4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7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2"/>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36,309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100" w:type="dxa"/>
            <w:vAlign w:val="bottom"/>
          </w:tcPr>
          <w:p>
            <w:pPr>
              <w:spacing w:after="0"/>
              <w:rPr>
                <w:sz w:val="20"/>
                <w:szCs w:val="20"/>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130,324</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116,376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income. For the three months ended March 31, 2015, we generated negative cash flows from operating activities of $(15.9) million, or approximately $(0.08) for every dollar of service revenue compared to cash flows from operating activities of $36.3 million, or approximately $0.17 for every dollar of service revenue for the three months ended March 31, 2014. The decrease in cash flows from operations for the three months ended March 31, 2015 compared to the three months ended March 31, 2014 is principally driven by lower net income, after adding back depreciation and amortization including amortization of intangible assets, and unfavorable working capital changes. Changes in working capital were principally due to higher accounts receivable from the timing of collections and a decrease in accounts payable and accrued expenses due to the timing of payments, including higher annual incentive compensation payments.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include our purchase of 1.6 million shares HLSS common stock from March 10, 2015 to March 17, 2015. Cash flows from investing activities also include capital expenditures of $3.9 million and $12.9 million for the three months ended March 31, 2015 and 2014, respectively, primarily related to facility build-outs and investments in IT infrastructure.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2015 and 2014 primarily include activity associated with share repurchases, debt repayment, stock option exercises and payments to non-controlling interests. During the three months ended March 31, 2015 and 2014, we spent $4.0 million and $35.8 million, respectively, to repurchase our common stock. During the three months ended March 31, 2015 and 2014, we repaid $1.5 million and $1.0 million, respectively, of the borrowings under the senior secured term loan. Stock option exercises provided proceeds of $0.2 million and $0.4 million for the three months ended March 31, 2015 and 2014, respectively. Distributions to non-controlling interests were $0.7 million for each of the three months ended March 31, 2015 and 2014.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Requirements after March 31, 2015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15, 2013, we completed the acquisition of Equator, LLC (“Equator”). The purchase agreement provided for the payment of up to $80 million in potential additional consideration determined based on Equator’s Adjusted EBITA (as defined in the purchase agreement) in the three consecutive 12-month periods following closing. Up to $22.5 million of this potential additional consideration could be earned in each of the first two 12-month periods, and up to $35.0 million could be earned in the third 12-month period. Any amounts earned upon the achievement of Adjusted EBITA thresholds are payable through 2017. We may, at our discretion, pay up to 20% of each payment of any of this potential additional consideration in shares of Company restricted stock, with the balance to be paid in cash. As of March 31, 2015, we estimated the fair value of the potential additional consideration related to the Equator acquisition to be $8.1 million. No payment was earned during the initial 12-month period. The amount ultimately paid will depend on Equator’s actual Adjusted EBITA in the three consecutive 12-month periods following closing.</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12, 2014, we acquired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$1.6 million as of March 31, 2015. The amount ultimately paid will depend on Mortgage Builder’s Adjusted Revenue in the three consecutive 12-month periods following closing.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21, 2014, we acquired Owners. The Owners purchase agreement provides for a payment of up to $7.0 million of potential additional consideration based on Adjusted Revenue (as defined in the purchase agreement) earned in the two consecutive 12-month periods following closing. We have estimated the fair value of the Owners contingent consideration to be $2.0 million as of March 31, 2015. The amount ultimately paid will depend on Owners’ Adjusted Revenue earned in the two consecutive 12-month periods following closing.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2015, we expect to distribute $0.7 million to the Lenders One members representing non-controlling interests and repay $1.5 million of the senior secured term loan.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will generate sufficient cash flows from operations to fund capital expenditures and required debt and interest payments for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there were no significant changes to our contractual obligations from those identified in our Form 10-K for the fiscal year ended December 31, 2014, other than those that occur in the normal course of business. See also Note 19 to the interim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2014 filed with the SEC on March 2, 2015. Those policies have not changed during the three months ended March 31,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2014,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2015, FASB issued ASU No. 2015-02, </w:t>
      </w:r>
      <w:r>
        <w:rPr>
          <w:rFonts w:ascii="Times New Roman" w:cs="Times New Roman" w:eastAsia="Times New Roman" w:hAnsi="Times New Roman"/>
          <w:sz w:val="18"/>
          <w:szCs w:val="18"/>
          <w:i w:val="1"/>
          <w:iCs w:val="1"/>
          <w:color w:val="auto"/>
        </w:rPr>
        <w:t>Consolidation: Amendments to the Consolidation Analysis</w:t>
      </w:r>
      <w:r>
        <w:rPr>
          <w:rFonts w:ascii="Times New Roman" w:cs="Times New Roman" w:eastAsia="Times New Roman" w:hAnsi="Times New Roman"/>
          <w:sz w:val="18"/>
          <w:szCs w:val="18"/>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is currently evaluating the impact this new guidance may have on its results of operations and financial position.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2015,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This revised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Ocwen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2015 and 2014, we generated Mortgage Services segment revenue from Ocwen of $111.1 million and $122.4 million, respectively. For the three months ended March 31, 2015 and 2014, we generated Financial Services segment revenue from Ocwen of $5.6 million and $6.3 million, respectively. Also, for the three months ended March 31, 2015 and 2014, we generated Technology Services segment revenue of $24.6 million and $16.8 million, respectively. Services provided to Ocwen during such periods included residential property valuation, real estate asset management and sales, trustee management services, property inspection and preservation, insurance services, charge-off mortgage collections, IT infrastructure management and software applications including our software platforms. We record revenue we earn from Ocwen under the service agreements at rates we believe to be comparable market rates as we believe they are consistent with fees we charge to other customers and/or fees charged by our competitors for comparable services.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on the portfolios serviced by Ocwen that is not considered related party revenue when a party other than Ocwen selects Altisource as the service provider. For the three months ended March 31, 2015 and 2014, we recognized revenue of $53.5 million and $54.7 million, respectively, on the portfolios serviced by Ocwen that is not considered related party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and 2014, Ocwen billed us $10.3 million and $7.3 million, respectively, for data access fees and contractor and/or employee costs under agreements described in Note 2 to the condensed consolidated financial statements. These amounts are reflected as a component of cost of revenue in the condensed consolidated statements of operations. Based upon our previously provided notice, the Data Access and Services Agreement was terminated effective March 31,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and 2014, we billed Ocwen $0.6 million and $1.0 million, respectively, and Ocwen billed us $1.6 million and $1.2 million, respectively, for other services provided under the agreements described in Note 2 to the condensed consolidated financial statements. These amounts are reflected as a component of SG&amp;A in the condensed consolidated statements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HLSS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HLSS is a publicly traded company whose primary objective is the acquisition of mortgage servicing rights and related servicing advances, loans held for investment and other residential mortgage related assets. As of March 31, 2015 and December 31, 2014, HLSS owned, for a significant portion of Ocwen-serviced non-GSE loans, (1) the rights to receive the servicing fees that Ocwen is entitled to receive and (2) associated servicing advances.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 support services agreement, we provide HLSS certain finance, human resources, tax and facilities services and we sell information technology services to HLSS. We billed HLSS $0.6 million and $0.2 million for the three months ended March 31, 2015 and 2014, respectively. Of these amounts, $0.5 million for the three months ended March 31, 2015 (no comparative amount in 2014) is reflected in revenue in the condensed consolidated statements of operations and, for the three months ended March 31, 2015 and 2014, $0.1 million and $0.2 million, respectively, is reflected as a component of SG&amp;A in the condensed consolidated statements of operations.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22, 2015, HLSS and New Residential Investment Corp. (“NRZ”) announced they entered into a definitive agreement whereby NRZ would acquire all of the outstanding shares of HLSS, subject to shareholder approval and other customary closing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March 10, 2015 to March 17, 2015, we purchased 1.6 million shares of HLSS common stock for $30.0 million in the open market. See Note 5 to the condensed consolidated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2015, HLSS and NRZ announced they terminated the merger agreement announced on February 22, 2015 and entered into a purchase agreement under which NRZ acquired substantially all of the assets and assumed substantially all of the liabilities of HLSS. The asset purchase was consummated concurrently with signing of the purchase agreement. Furthermore, NRZ separately agreed to a multi-year extension of the servicing contracts with Ocwen. HLSS also announced that it adopted a plan of complete liquidation and dissolution. Additional information is contained in HLSS’ public filings.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and AAMC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2015 and 2014, we billed Residential $6.8 million and $0.8 million, respectively. These amounts are reflected in revenue in the condensed consolidated statements of operations. This excludes revenue from services we provide to Residential’s loans serviced by Ocwen where we are retained by Ocwen. That revenue is included in Ocwen related party revenue. For the three months ended March 31, 2015 and 2014, we billed AAMC $0.2 million and $0.3 million, respectively, under the services agreements described in Note 2 to the condensed consolidated financial statements. Of these amounts, less than $0.1 million in each period is reflected in revenue in the condensed consolidated statements of operations and, for the three months ended March 31, 2015 and 2014, $0.2 million and $0.3 million, respectively, is reflected as a component of SG&amp;A in the condensed consolidated statements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2015, the interest rate charged on the senior secured term loan was 4.50%. The interest rate is calculated based on the Adjusted Eurodollar Rate (as defined in the senior secured term loan agreement) with a minimum floor of 1.00% plus 3.50%.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at March 31, 2015, a one percentage point increase in the Eurodollar Rate would increase our annual interest expense by approximately $1.6 million, based on the March 31, 2015 Adjusted Eurodollar Rate. There would be no change in our annual interest expense if there was a one percentage point decrease in the Eurodollar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the three months ended March 31, 2015, a one percentage point increase or decrease in value of the Indian rupee in relation to the United States dollar would increase or decrease our annual expenses by approximately $1.2 million.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4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on behalf of Ocwen for alleged breaches of fiduciary duty by Ocwen’s current and former officers and directors, which were allegedly aided and abetted by Altisource and other defendants. Altisource, which has not been served with the suit, intends to vigorously defend the lawsuit.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is unable to predict the outcomes of these lawsuits or reasonably estimate the potential loss, if any, arising from the suits, given that a motion to dismiss was filed but has not yet been adjudicated in the first case, Altisource has not been served in the second case, discovery has not commenced in either case and significant legal and factual issues remain to be determined in both cases.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2014 filed with the SEC on March 2, 2015.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 repurchased by 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repurchases of our equity securities during the three months ended March 31,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80" w:type="dxa"/>
            <w:vAlign w:val="bottom"/>
          </w:tcPr>
          <w:p>
            <w:pPr>
              <w:spacing w:after="0"/>
              <w:rPr>
                <w:sz w:val="12"/>
                <w:szCs w:val="12"/>
                <w:color w:val="auto"/>
              </w:rPr>
            </w:pPr>
          </w:p>
        </w:tc>
        <w:tc>
          <w:tcPr>
            <w:tcW w:w="15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1 — 31, 2015</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168,700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168,700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969,638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1 — 28, 2015</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969,638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1 — 31, 2015</w:t>
            </w: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969,638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168,700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168,700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969,638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80" w:hanging="258"/>
        <w:spacing w:after="0"/>
        <w:tabs>
          <w:tab w:leader="none" w:pos="28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May include shares withheld from employees to satisfy tax withholding obligations that arose from the exercise of stock options.</w:t>
      </w:r>
    </w:p>
    <w:p>
      <w:pPr>
        <w:spacing w:after="0" w:line="197" w:lineRule="exact"/>
        <w:rPr>
          <w:rFonts w:ascii="Times New Roman" w:cs="Times New Roman" w:eastAsia="Times New Roman" w:hAnsi="Times New Roman"/>
          <w:sz w:val="25"/>
          <w:szCs w:val="25"/>
          <w:color w:val="auto"/>
          <w:vertAlign w:val="superscript"/>
        </w:rPr>
      </w:pPr>
    </w:p>
    <w:p>
      <w:pPr>
        <w:ind w:left="280" w:hanging="258"/>
        <w:spacing w:after="0" w:line="218" w:lineRule="auto"/>
        <w:tabs>
          <w:tab w:leader="none" w:pos="28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February 28, 2014, our shareholders authorized a new share repurchase program that replaced the prior program and authorizes us to purchase up to 3.4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1620" w:right="80" w:hanging="526"/>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10.1</w:t>
        <w:tab/>
        <w:t>Form of Cash Retention Award Agreement (incorporated by reference to Exhibit 10.1 to the Company’s Form 8-K filed on April 21, 2015)</w:t>
      </w:r>
    </w:p>
    <w:p>
      <w:pPr>
        <w:spacing w:after="0" w:line="121" w:lineRule="exact"/>
        <w:rPr>
          <w:sz w:val="20"/>
          <w:szCs w:val="20"/>
          <w:color w:val="auto"/>
        </w:rPr>
      </w:pPr>
    </w:p>
    <w:p>
      <w:pPr>
        <w:ind w:left="1620" w:hanging="526"/>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10.2</w:t>
        <w:tab/>
        <w:t>Form of Restricted Stock Award Agreement (incorporated by reference to Exhibit 10.2 to the Company’s Form 8-K filed on April 21, 2015)</w:t>
      </w:r>
    </w:p>
    <w:p>
      <w:pPr>
        <w:spacing w:after="0" w:line="121" w:lineRule="exact"/>
        <w:rPr>
          <w:sz w:val="20"/>
          <w:szCs w:val="20"/>
          <w:color w:val="auto"/>
        </w:rPr>
      </w:pPr>
    </w:p>
    <w:p>
      <w:pPr>
        <w:ind w:left="1100"/>
        <w:spacing w:after="0"/>
        <w:tabs>
          <w:tab w:leader="none" w:pos="16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Form of Non-Qualified Stock Option Award Agreement (incorporated by reference to Exhibit 10.3 to the Company’s Form</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8-K filed on April 21, 2015)</w:t>
      </w:r>
    </w:p>
    <w:p>
      <w:pPr>
        <w:spacing w:after="0" w:line="166" w:lineRule="exact"/>
        <w:rPr>
          <w:sz w:val="20"/>
          <w:szCs w:val="20"/>
          <w:color w:val="auto"/>
        </w:rPr>
      </w:pPr>
    </w:p>
    <w:p>
      <w:pPr>
        <w:ind w:left="1100" w:hanging="14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   Section 302 Certification of the Chief Executive Officer pursuant to Exchange Act Rule 13a-14(a).</w:t>
      </w:r>
    </w:p>
    <w:p>
      <w:pPr>
        <w:spacing w:after="0" w:line="184" w:lineRule="exact"/>
        <w:rPr>
          <w:rFonts w:ascii="Times New Roman" w:cs="Times New Roman" w:eastAsia="Times New Roman" w:hAnsi="Times New Roman"/>
          <w:sz w:val="18"/>
          <w:szCs w:val="18"/>
          <w:color w:val="auto"/>
        </w:rPr>
      </w:pPr>
    </w:p>
    <w:p>
      <w:pPr>
        <w:ind w:left="1100" w:hanging="14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Section 302 Certification of the Chief Financial Officer pursuant to Exchange Act Rule 13a-14(a).</w:t>
      </w:r>
    </w:p>
    <w:p>
      <w:pPr>
        <w:spacing w:after="0" w:line="184" w:lineRule="exact"/>
        <w:rPr>
          <w:rFonts w:ascii="Times New Roman" w:cs="Times New Roman" w:eastAsia="Times New Roman" w:hAnsi="Times New Roman"/>
          <w:sz w:val="18"/>
          <w:szCs w:val="18"/>
          <w:color w:val="auto"/>
        </w:rPr>
      </w:pPr>
    </w:p>
    <w:p>
      <w:pPr>
        <w:ind w:left="1620" w:right="20" w:hanging="662"/>
        <w:spacing w:after="0" w:line="282"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Certification by the Chief Executive Officer and Chief Financial Officer pursuant to Section 906 of the Sarbanes-Oxley Act of 2002.</w:t>
      </w:r>
    </w:p>
    <w:p>
      <w:pPr>
        <w:spacing w:after="0" w:line="121" w:lineRule="exact"/>
        <w:rPr>
          <w:rFonts w:ascii="Times New Roman" w:cs="Times New Roman" w:eastAsia="Times New Roman" w:hAnsi="Times New Roman"/>
          <w:sz w:val="18"/>
          <w:szCs w:val="18"/>
          <w:color w:val="auto"/>
        </w:rPr>
      </w:pPr>
    </w:p>
    <w:p>
      <w:pPr>
        <w:ind w:left="1620" w:hanging="662"/>
        <w:spacing w:after="0" w:line="256"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Pursuant to Rule 405 of Regulation S-T, the following financial information from the Company’s Quarterly Report on Form 10-Q for the period ended March 31, 2015 is formatted in XBRL interactive data files: (i) Condensed Consolidated Balance Sheets at March 31, 2015 and December 31, 2014; (ii Condensed Consolidated Statements of Operations for the three months ended March 31, 2015 and 2014; (iii) Condensed Consolidated Statements of Equity for the three months ended March 31, 2015 and 2014; (iv) Condensed Consolidated Statements of Cash Flows for the three months ended March 31, 2015 and 2014; and (v) Notes to Condensed Consolidated Financial Statements.</w:t>
      </w:r>
    </w:p>
    <w:p>
      <w:pPr>
        <w:spacing w:after="0" w:line="349" w:lineRule="exact"/>
        <w:rPr>
          <w:rFonts w:ascii="Times New Roman" w:cs="Times New Roman" w:eastAsia="Times New Roman" w:hAnsi="Times New Roman"/>
          <w:sz w:val="18"/>
          <w:szCs w:val="18"/>
          <w:color w:val="auto"/>
        </w:rPr>
      </w:pPr>
    </w:p>
    <w:p>
      <w:pPr>
        <w:ind w:left="1100" w:hanging="14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240" w:top="121" w:right="109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600" w:val="left"/>
          <w:tab w:leader="none" w:pos="6280" w:val="left"/>
        </w:tabs>
        <w:rPr>
          <w:sz w:val="20"/>
          <w:szCs w:val="20"/>
          <w:color w:val="auto"/>
        </w:rPr>
      </w:pPr>
      <w:r>
        <w:rPr>
          <w:rFonts w:ascii="Times New Roman" w:cs="Times New Roman" w:eastAsia="Times New Roman" w:hAnsi="Times New Roman"/>
          <w:sz w:val="18"/>
          <w:szCs w:val="18"/>
          <w:color w:val="auto"/>
        </w:rPr>
        <w:t>Date: April 23,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34290</wp:posOffset>
            </wp:positionV>
            <wp:extent cx="3249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March 31, 2015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80"/>
        <w:spacing w:after="0"/>
        <w:tabs>
          <w:tab w:leader="none" w:pos="7220" w:val="left"/>
          <w:tab w:leader="none" w:pos="7900" w:val="left"/>
        </w:tabs>
        <w:rPr>
          <w:sz w:val="20"/>
          <w:szCs w:val="20"/>
          <w:color w:val="auto"/>
        </w:rPr>
      </w:pPr>
      <w:r>
        <w:rPr>
          <w:rFonts w:ascii="Times New Roman" w:cs="Times New Roman" w:eastAsia="Times New Roman" w:hAnsi="Times New Roman"/>
          <w:sz w:val="18"/>
          <w:szCs w:val="18"/>
          <w:color w:val="auto"/>
        </w:rPr>
        <w:t>Date: April 23,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March 31, 2015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5840" w:val="left"/>
          <w:tab w:leader="none" w:pos="6520" w:val="left"/>
        </w:tabs>
        <w:rPr>
          <w:sz w:val="20"/>
          <w:szCs w:val="20"/>
          <w:color w:val="auto"/>
        </w:rPr>
      </w:pPr>
      <w:r>
        <w:rPr>
          <w:rFonts w:ascii="Times New Roman" w:cs="Times New Roman" w:eastAsia="Times New Roman" w:hAnsi="Times New Roman"/>
          <w:sz w:val="18"/>
          <w:szCs w:val="18"/>
          <w:color w:val="auto"/>
        </w:rPr>
        <w:t>Date: April 23,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2015</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Altisource Portfolio Solutions S.A. (the “Company”) for the quarterly period ending March 31, 2015,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William B. Shepro</w:t>
            </w: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5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2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23, 2015</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23, 2015</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35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Roman"/>
      <w:start w:val="5"/>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2019-12-29T17:51:16Z</dcterms:created>
  <dcterms:modified xsi:type="dcterms:W3CDTF">2019-12-29T17:51:16Z</dcterms:modified>
</cp:coreProperties>
</file>