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-175895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173990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212" w:lineRule="exact"/>
        <w:rPr>
          <w:sz w:val="24"/>
          <w:szCs w:val="24"/>
          <w:color w:val="auto"/>
        </w:rPr>
      </w:pPr>
    </w:p>
    <w:p>
      <w:pPr>
        <w:ind w:left="960" w:right="120" w:hanging="587"/>
        <w:spacing w:after="0" w:line="217" w:lineRule="auto"/>
        <w:tabs>
          <w:tab w:leader="none" w:pos="960" w:val="left"/>
        </w:tabs>
        <w:numPr>
          <w:ilvl w:val="0"/>
          <w:numId w:val="1"/>
        </w:numPr>
        <w:rPr>
          <w:rFonts w:ascii="MS PGothic" w:cs="MS PGothic" w:eastAsia="MS PGothic" w:hAnsi="MS PGothic"/>
          <w:sz w:val="37"/>
          <w:szCs w:val="37"/>
          <w:color w:val="auto"/>
          <w:vertAlign w:val="subscript"/>
        </w:rPr>
      </w:pPr>
      <w:r>
        <w:rPr>
          <w:rFonts w:ascii="Arial" w:cs="Arial" w:eastAsia="Arial" w:hAnsi="Arial"/>
          <w:sz w:val="13"/>
          <w:szCs w:val="13"/>
          <w:b w:val="1"/>
          <w:bCs w:val="1"/>
          <w:color w:val="auto"/>
        </w:rPr>
        <w:t>ANNUAL REPORT PURSUANT TO SECTION 13 OR 15(d) OF THE SECURITIES EXCHANGE ACT OF 1934 FOR THE FISCAL YEAR ENDED DECEMBER 31, 2014</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420"/>
          </w:cols>
          <w:pgMar w:left="240" w:top="522" w:right="239" w:bottom="1440" w:gutter="0" w:footer="0" w:header="0"/>
        </w:sectPr>
      </w:pPr>
    </w:p>
    <w:p>
      <w:pPr>
        <w:spacing w:after="0" w:line="199" w:lineRule="exact"/>
        <w:rPr>
          <w:sz w:val="24"/>
          <w:szCs w:val="24"/>
          <w:color w:val="auto"/>
        </w:rPr>
      </w:pPr>
    </w:p>
    <w:p>
      <w:pPr>
        <w:jc w:val="center"/>
        <w:ind w:left="420"/>
        <w:spacing w:after="0"/>
        <w:rPr>
          <w:sz w:val="20"/>
          <w:szCs w:val="20"/>
          <w:color w:val="auto"/>
        </w:rPr>
      </w:pPr>
      <w:r>
        <w:rPr>
          <w:rFonts w:ascii="Arial" w:cs="Arial" w:eastAsia="Arial" w:hAnsi="Arial"/>
          <w:sz w:val="19"/>
          <w:szCs w:val="19"/>
          <w:b w:val="1"/>
          <w:bCs w:val="1"/>
          <w:color w:val="auto"/>
        </w:rPr>
        <w:t>o</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177800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40" w:space="420"/>
            <w:col w:w="10460"/>
          </w:cols>
          <w:pgMar w:left="240" w:top="522" w:right="239" w:bottom="1440" w:gutter="0" w:footer="0" w:header="0"/>
          <w:type w:val="continuous"/>
        </w:sectPr>
      </w:pP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ALTISOURCE PORTFOLIO SOLUTIONS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p>
      <w:pPr>
        <w:ind w:left="2400"/>
        <w:spacing w:after="0"/>
        <w:tabs>
          <w:tab w:leader="none" w:pos="8140" w:val="left"/>
        </w:tabs>
        <w:rPr>
          <w:sz w:val="20"/>
          <w:szCs w:val="20"/>
          <w:color w:val="auto"/>
        </w:rPr>
      </w:pPr>
      <w:r>
        <w:rPr>
          <w:rFonts w:ascii="Arial" w:cs="Arial" w:eastAsia="Arial" w:hAnsi="Arial"/>
          <w:sz w:val="16"/>
          <w:szCs w:val="16"/>
          <w:b w:val="1"/>
          <w:bCs w:val="1"/>
          <w:color w:val="auto"/>
        </w:rPr>
        <w:t>Luxembourg</w:t>
      </w:r>
      <w:r>
        <w:rPr>
          <w:sz w:val="20"/>
          <w:szCs w:val="20"/>
          <w:color w:val="auto"/>
        </w:rPr>
        <w:tab/>
      </w:r>
      <w:r>
        <w:rPr>
          <w:rFonts w:ascii="Arial" w:cs="Arial" w:eastAsia="Arial" w:hAnsi="Arial"/>
          <w:sz w:val="16"/>
          <w:szCs w:val="16"/>
          <w:b w:val="1"/>
          <w:bCs w:val="1"/>
          <w:color w:val="auto"/>
        </w:rPr>
        <w:t>98-0554932</w:t>
      </w:r>
    </w:p>
    <w:p>
      <w:pPr>
        <w:spacing w:after="0" w:line="207" w:lineRule="exact"/>
        <w:rPr>
          <w:sz w:val="24"/>
          <w:szCs w:val="24"/>
          <w:color w:val="auto"/>
        </w:rPr>
      </w:pPr>
    </w:p>
    <w:p>
      <w:pPr>
        <w:ind w:left="1360"/>
        <w:spacing w:after="0"/>
        <w:tabs>
          <w:tab w:leader="none" w:pos="7620" w:val="left"/>
        </w:tabs>
        <w:rPr>
          <w:sz w:val="20"/>
          <w:szCs w:val="20"/>
          <w:color w:val="auto"/>
        </w:rPr>
      </w:pPr>
      <w:r>
        <w:rPr>
          <w:rFonts w:ascii="Arial" w:cs="Arial" w:eastAsia="Arial" w:hAnsi="Arial"/>
          <w:sz w:val="13"/>
          <w:szCs w:val="13"/>
          <w:color w:val="auto"/>
        </w:rPr>
        <w:t>(State or other jurisdiction of incorporation or organization)</w:t>
      </w:r>
      <w:r>
        <w:rPr>
          <w:sz w:val="20"/>
          <w:szCs w:val="20"/>
          <w:color w:val="auto"/>
        </w:rPr>
        <w:tab/>
      </w:r>
      <w:r>
        <w:rPr>
          <w:rFonts w:ascii="Arial" w:cs="Arial" w:eastAsia="Arial" w:hAnsi="Arial"/>
          <w:sz w:val="11"/>
          <w:szCs w:val="11"/>
          <w:color w:val="auto"/>
        </w:rPr>
        <w:t>(I.R.S. Employer Identification No.)</w:t>
      </w:r>
    </w:p>
    <w:p>
      <w:pPr>
        <w:spacing w:after="0" w:line="26" w:lineRule="exact"/>
        <w:rPr>
          <w:sz w:val="24"/>
          <w:szCs w:val="24"/>
          <w:color w:val="auto"/>
        </w:rPr>
      </w:pPr>
    </w:p>
    <w:p>
      <w:pPr>
        <w:ind w:left="5020"/>
        <w:spacing w:after="0"/>
        <w:rPr>
          <w:sz w:val="20"/>
          <w:szCs w:val="20"/>
          <w:color w:val="auto"/>
        </w:rPr>
      </w:pPr>
      <w:r>
        <w:rPr>
          <w:rFonts w:ascii="Arial" w:cs="Arial" w:eastAsia="Arial" w:hAnsi="Arial"/>
          <w:sz w:val="16"/>
          <w:szCs w:val="16"/>
          <w:b w:val="1"/>
          <w:bCs w:val="1"/>
          <w:color w:val="auto"/>
        </w:rPr>
        <w:t>40, avenue Monterey</w:t>
      </w:r>
    </w:p>
    <w:p>
      <w:pPr>
        <w:spacing w:after="0" w:line="26"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w w:val="89"/>
              </w:rPr>
              <w:t>Securities registered pursuant to Section 12(b) of the Act:</w:t>
            </w:r>
          </w:p>
        </w:tc>
        <w:tc>
          <w:tcPr>
            <w:tcW w:w="4100" w:type="dxa"/>
            <w:vAlign w:val="bottom"/>
          </w:tcPr>
          <w:p>
            <w:pPr>
              <w:spacing w:after="0"/>
              <w:rPr>
                <w:sz w:val="17"/>
                <w:szCs w:val="17"/>
                <w:color w:val="auto"/>
              </w:rPr>
            </w:pPr>
          </w:p>
        </w:tc>
      </w:tr>
      <w:tr>
        <w:trPr>
          <w:trHeight w:val="379"/>
        </w:trPr>
        <w:tc>
          <w:tcPr>
            <w:tcW w:w="3960" w:type="dxa"/>
            <w:vAlign w:val="bottom"/>
            <w:tcBorders>
              <w:bottom w:val="single" w:sz="8" w:color="auto"/>
            </w:tcBorders>
          </w:tcPr>
          <w:p>
            <w:pPr>
              <w:jc w:val="center"/>
              <w:ind w:left="1603"/>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3960" w:type="dxa"/>
            <w:vAlign w:val="bottom"/>
          </w:tcPr>
          <w:p>
            <w:pPr>
              <w:jc w:val="center"/>
              <w:ind w:left="1583"/>
              <w:spacing w:after="0"/>
              <w:rPr>
                <w:sz w:val="20"/>
                <w:szCs w:val="20"/>
                <w:color w:val="auto"/>
              </w:rPr>
            </w:pPr>
            <w:r>
              <w:rPr>
                <w:rFonts w:ascii="Arial" w:cs="Arial" w:eastAsia="Arial" w:hAnsi="Arial"/>
                <w:sz w:val="16"/>
                <w:szCs w:val="16"/>
                <w:color w:val="auto"/>
                <w:w w:val="91"/>
              </w:rPr>
              <w:t>Common Stock, $1.00 par value</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100" w:type="dxa"/>
            <w:vAlign w:val="bottom"/>
          </w:tcPr>
          <w:p>
            <w:pPr>
              <w:jc w:val="center"/>
              <w:ind w:right="1399"/>
              <w:spacing w:after="0"/>
              <w:rPr>
                <w:sz w:val="20"/>
                <w:szCs w:val="20"/>
                <w:color w:val="auto"/>
              </w:rPr>
            </w:pPr>
            <w:r>
              <w:rPr>
                <w:rFonts w:ascii="Arial" w:cs="Arial" w:eastAsia="Arial" w:hAnsi="Arial"/>
                <w:sz w:val="16"/>
                <w:szCs w:val="16"/>
                <w:color w:val="auto"/>
                <w:w w:val="95"/>
              </w:rPr>
              <w:t>NASDAQ Global Select Market</w:t>
            </w:r>
          </w:p>
        </w:tc>
      </w:tr>
    </w:tbl>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8" w:lineRule="exact"/>
        <w:rPr>
          <w:sz w:val="24"/>
          <w:szCs w:val="24"/>
          <w:color w:val="auto"/>
        </w:rPr>
      </w:pPr>
    </w:p>
    <w:p>
      <w:pPr>
        <w:ind w:right="4700"/>
        <w:spacing w:after="0" w:line="205"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Arial" w:cs="Arial" w:eastAsia="Arial" w:hAnsi="Arial"/>
          <w:sz w:val="11"/>
          <w:szCs w:val="11"/>
          <w:b w:val="1"/>
          <w:bCs w:val="1"/>
          <w:color w:val="auto"/>
        </w:rPr>
        <w:t>o</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Arial" w:cs="Arial" w:eastAsia="Arial" w:hAnsi="Arial"/>
          <w:sz w:val="11"/>
          <w:szCs w:val="11"/>
          <w:b w:val="1"/>
          <w:bCs w:val="1"/>
          <w:color w:val="auto"/>
        </w:rPr>
        <w:t>o</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0"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3"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3"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23" w:lineRule="exact"/>
        <w:rPr>
          <w:sz w:val="24"/>
          <w:szCs w:val="24"/>
          <w:color w:val="auto"/>
        </w:rPr>
      </w:pPr>
    </w:p>
    <w:p>
      <w:pPr>
        <w:ind w:right="446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(as defined in Rule 12b-2 of the Exchange Act):</w:t>
      </w:r>
    </w:p>
    <w:p>
      <w:pPr>
        <w:spacing w:after="0" w:line="130" w:lineRule="exact"/>
        <w:rPr>
          <w:sz w:val="24"/>
          <w:szCs w:val="24"/>
          <w:color w:val="auto"/>
        </w:rPr>
      </w:pPr>
    </w:p>
    <w:p>
      <w:pPr>
        <w:ind w:left="160"/>
        <w:spacing w:after="0" w:line="150" w:lineRule="exact"/>
        <w:tabs>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Accelerated filer o</w:t>
      </w:r>
    </w:p>
    <w:p>
      <w:pPr>
        <w:spacing w:after="0" w:line="64" w:lineRule="exact"/>
        <w:rPr>
          <w:sz w:val="24"/>
          <w:szCs w:val="24"/>
          <w:color w:val="auto"/>
        </w:rPr>
      </w:pPr>
    </w:p>
    <w:p>
      <w:pPr>
        <w:ind w:left="160"/>
        <w:spacing w:after="0"/>
        <w:tabs>
          <w:tab w:leader="none" w:pos="8220" w:val="left"/>
        </w:tabs>
        <w:rPr>
          <w:sz w:val="20"/>
          <w:szCs w:val="20"/>
          <w:color w:val="auto"/>
        </w:rPr>
      </w:pPr>
      <w:r>
        <w:rPr>
          <w:rFonts w:ascii="Arial" w:cs="Arial" w:eastAsia="Arial" w:hAnsi="Arial"/>
          <w:sz w:val="13"/>
          <w:szCs w:val="13"/>
          <w:color w:val="auto"/>
        </w:rPr>
        <w:t>Non-accelerated filer o (Do not check if a smaller reporting company)</w:t>
      </w:r>
      <w:r>
        <w:rPr>
          <w:sz w:val="20"/>
          <w:szCs w:val="20"/>
          <w:color w:val="auto"/>
        </w:rPr>
        <w:tab/>
      </w:r>
      <w:r>
        <w:rPr>
          <w:rFonts w:ascii="Arial" w:cs="Arial" w:eastAsia="Arial" w:hAnsi="Arial"/>
          <w:sz w:val="11"/>
          <w:szCs w:val="11"/>
          <w:color w:val="auto"/>
        </w:rPr>
        <w:t>Smaller reporting company o</w:t>
      </w:r>
    </w:p>
    <w:p>
      <w:pPr>
        <w:spacing w:after="0" w:line="1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p>
    <w:p>
      <w:pPr>
        <w:spacing w:after="0" w:line="149" w:lineRule="exact"/>
        <w:rPr>
          <w:sz w:val="24"/>
          <w:szCs w:val="24"/>
          <w:color w:val="auto"/>
        </w:rPr>
      </w:pPr>
    </w:p>
    <w:p>
      <w:pPr>
        <w:jc w:val="both"/>
        <w:ind w:right="20"/>
        <w:spacing w:after="0" w:line="297" w:lineRule="auto"/>
        <w:rPr>
          <w:sz w:val="20"/>
          <w:szCs w:val="20"/>
          <w:color w:val="auto"/>
        </w:rPr>
      </w:pPr>
      <w:r>
        <w:rPr>
          <w:rFonts w:ascii="Arial" w:cs="Arial" w:eastAsia="Arial" w:hAnsi="Arial"/>
          <w:sz w:val="12"/>
          <w:szCs w:val="12"/>
          <w:color w:val="auto"/>
        </w:rPr>
        <w:t>The aggregate market value of the voting stock held by non-affiliates of the registrant as of June 30, 2014 was $1,824,344,937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104"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20, 2015, there were 20,132,326 outstanding shares of the registrant’s shares of beneficial interest (excluding 5,280,422 shares held as treasury stock).</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48"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Portions of the registrant’s Definitive Proxy Statement to be filed subsequent to the date hereof with the Securities and Exchange Commission pursuant to Regulation 14A in connection with the registrant’s Annual Meeting of Shareholders to be held on May 20, 2015 are incorporated by reference into Part III of this Report. Such Definitive Proxy Statement will be filed with the Securities and Exchange Commission not later than 120 days after the conclusion of the registrant’s fiscal year ended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170180</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84455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gridSpan w:val="18"/>
          </w:tcPr>
          <w:p>
            <w:pPr>
              <w:jc w:val="center"/>
              <w:ind w:right="2300"/>
              <w:spacing w:after="0"/>
              <w:rPr>
                <w:sz w:val="20"/>
                <w:szCs w:val="20"/>
                <w:color w:val="auto"/>
              </w:rPr>
            </w:pPr>
            <w:r>
              <w:rPr>
                <w:rFonts w:ascii="Arial" w:cs="Arial" w:eastAsia="Arial" w:hAnsi="Arial"/>
                <w:sz w:val="18"/>
                <w:szCs w:val="18"/>
                <w:b w:val="1"/>
                <w:bCs w:val="1"/>
                <w:color w:val="auto"/>
                <w:w w:val="99"/>
              </w:rPr>
              <w:t>ALTISOURCE PORTFOLIO SOLUTIONS S.A.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0" w:type="dxa"/>
            <w:vAlign w:val="bottom"/>
            <w:gridSpan w:val="12"/>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580" w:type="dxa"/>
            <w:vAlign w:val="bottom"/>
            <w:tcBorders>
              <w:bottom w:val="single" w:sz="8" w:color="0000EE"/>
            </w:tcBorders>
            <w:gridSpan w:val="2"/>
          </w:tcPr>
          <w:p>
            <w:pPr>
              <w:spacing w:after="0" w:line="189" w:lineRule="exact"/>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148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4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960" w:type="dxa"/>
            <w:vAlign w:val="bottom"/>
            <w:gridSpan w:val="4"/>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8300" w:type="dxa"/>
            <w:vAlign w:val="bottom"/>
            <w:gridSpan w:val="2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90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Borders>
              <w:bottom w:val="single" w:sz="8" w:color="0000EE"/>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1B.</w:t>
              </w:r>
            </w:hyperlink>
          </w:p>
        </w:tc>
        <w:tc>
          <w:tcPr>
            <w:tcW w:w="830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1000" w:type="dxa"/>
            <w:vAlign w:val="bottom"/>
            <w:gridSpan w:val="3"/>
            <w:vMerge w:val="restart"/>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300" w:type="dxa"/>
            <w:vAlign w:val="bottom"/>
            <w:gridSpan w:val="23"/>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w:t>
              </w:r>
            </w:hyperlink>
          </w:p>
        </w:tc>
        <w:tc>
          <w:tcPr>
            <w:tcW w:w="8300" w:type="dxa"/>
            <w:vAlign w:val="bottom"/>
            <w:gridSpan w:val="23"/>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gridSpan w:val="5"/>
            <w:vMerge w:val="restart"/>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4.</w:t>
              </w:r>
            </w:hyperlink>
          </w:p>
        </w:tc>
        <w:tc>
          <w:tcPr>
            <w:tcW w:w="980" w:type="dxa"/>
            <w:vAlign w:val="bottom"/>
            <w:gridSpan w:val="5"/>
            <w:vMerge w:val="restart"/>
          </w:tcPr>
          <w:p>
            <w:pPr>
              <w:spacing w:after="0" w:line="20" w:lineRule="exact"/>
              <w:rPr>
                <w:sz w:val="1"/>
                <w:szCs w:val="1"/>
                <w:color w:val="auto"/>
              </w:rPr>
            </w:pPr>
          </w:p>
        </w:tc>
        <w:tc>
          <w:tcPr>
            <w:tcW w:w="8300" w:type="dxa"/>
            <w:vAlign w:val="bottom"/>
            <w:gridSpan w:val="23"/>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vMerge w:val="continue"/>
          </w:tcPr>
          <w:p>
            <w:pPr>
              <w:spacing w:after="0"/>
              <w:rPr>
                <w:sz w:val="21"/>
                <w:szCs w:val="21"/>
                <w:color w:val="auto"/>
              </w:rPr>
            </w:pPr>
          </w:p>
        </w:tc>
        <w:tc>
          <w:tcPr>
            <w:tcW w:w="980" w:type="dxa"/>
            <w:vAlign w:val="bottom"/>
            <w:gridSpan w:val="5"/>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60" w:type="dxa"/>
            <w:vAlign w:val="bottom"/>
            <w:gridSpan w:val="1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5.</w:t>
              </w:r>
            </w:hyperlink>
          </w:p>
        </w:tc>
        <w:tc>
          <w:tcPr>
            <w:tcW w:w="980" w:type="dxa"/>
            <w:vAlign w:val="bottom"/>
            <w:gridSpan w:val="5"/>
          </w:tcPr>
          <w:p>
            <w:pPr>
              <w:spacing w:after="0"/>
              <w:rPr>
                <w:sz w:val="24"/>
                <w:szCs w:val="24"/>
                <w:color w:val="auto"/>
              </w:rPr>
            </w:pPr>
          </w:p>
        </w:tc>
        <w:tc>
          <w:tcPr>
            <w:tcW w:w="8300" w:type="dxa"/>
            <w:vAlign w:val="bottom"/>
            <w:gridSpan w:val="23"/>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MARKET FOR REGISTRANT’S COMMON EQUITY, RELATED STOCKHOLDER MATTERS AND ISSUER</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40" w:type="dxa"/>
            <w:vAlign w:val="bottom"/>
            <w:gridSpan w:val="6"/>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6.</w:t>
              </w:r>
            </w:hyperlink>
          </w:p>
        </w:tc>
        <w:tc>
          <w:tcPr>
            <w:tcW w:w="96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ITEM 7.</w:t>
              </w:r>
            </w:hyperlink>
          </w:p>
        </w:tc>
        <w:tc>
          <w:tcPr>
            <w:tcW w:w="20" w:type="dxa"/>
            <w:vAlign w:val="bottom"/>
          </w:tcPr>
          <w:p>
            <w:pPr>
              <w:spacing w:after="0"/>
              <w:rPr>
                <w:sz w:val="21"/>
                <w:szCs w:val="21"/>
                <w:color w:val="auto"/>
              </w:rPr>
            </w:pPr>
          </w:p>
        </w:tc>
        <w:tc>
          <w:tcPr>
            <w:tcW w:w="96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OPERATIONS</w:t>
              </w:r>
            </w:hyperlink>
          </w:p>
        </w:tc>
        <w:tc>
          <w:tcPr>
            <w:tcW w:w="100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7A.</w:t>
              </w:r>
            </w:hyperlink>
          </w:p>
        </w:tc>
        <w:tc>
          <w:tcPr>
            <w:tcW w:w="830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000" w:type="dxa"/>
            <w:vAlign w:val="bottom"/>
            <w:gridSpan w:val="3"/>
            <w:vMerge w:val="restart"/>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8.</w:t>
              </w:r>
            </w:hyperlink>
          </w:p>
        </w:tc>
        <w:tc>
          <w:tcPr>
            <w:tcW w:w="8300" w:type="dxa"/>
            <w:vAlign w:val="bottom"/>
            <w:gridSpan w:val="23"/>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ITEM 9.</w:t>
              </w:r>
            </w:hyperlink>
          </w:p>
        </w:tc>
        <w:tc>
          <w:tcPr>
            <w:tcW w:w="980" w:type="dxa"/>
            <w:vAlign w:val="bottom"/>
            <w:gridSpan w:val="5"/>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w:t>
              </w:r>
            </w:hyperlink>
          </w:p>
        </w:tc>
        <w:tc>
          <w:tcPr>
            <w:tcW w:w="8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DISCLOSURE</w:t>
              </w:r>
            </w:hyperlink>
          </w:p>
        </w:tc>
        <w:tc>
          <w:tcPr>
            <w:tcW w:w="360" w:type="dxa"/>
            <w:vAlign w:val="bottom"/>
            <w:gridSpan w:val="3"/>
          </w:tcPr>
          <w:p>
            <w:pPr>
              <w:spacing w:after="0"/>
              <w:rPr>
                <w:sz w:val="17"/>
                <w:szCs w:val="17"/>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9A.</w:t>
              </w:r>
            </w:hyperlink>
          </w:p>
        </w:tc>
        <w:tc>
          <w:tcPr>
            <w:tcW w:w="8300" w:type="dxa"/>
            <w:vAlign w:val="bottom"/>
            <w:gridSpan w:val="23"/>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9B.</w:t>
              </w:r>
            </w:hyperlink>
          </w:p>
        </w:tc>
        <w:tc>
          <w:tcPr>
            <w:tcW w:w="8300" w:type="dxa"/>
            <w:vAlign w:val="bottom"/>
            <w:gridSpan w:val="23"/>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134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60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1000" w:type="dxa"/>
            <w:vAlign w:val="bottom"/>
            <w:gridSpan w:val="3"/>
            <w:vMerge w:val="restart"/>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11.</w:t>
              </w:r>
            </w:hyperlink>
          </w:p>
        </w:tc>
        <w:tc>
          <w:tcPr>
            <w:tcW w:w="8300" w:type="dxa"/>
            <w:vAlign w:val="bottom"/>
            <w:gridSpan w:val="23"/>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SECURITY OWNERSHIP OF CERTAIN BENEFICIAL OWNERS AND MANAGEMENT AND RELATED</w:t>
              </w:r>
            </w:hyperlink>
          </w:p>
        </w:tc>
        <w:tc>
          <w:tcPr>
            <w:tcW w:w="8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13.</w:t>
              </w:r>
            </w:hyperlink>
          </w:p>
        </w:tc>
        <w:tc>
          <w:tcPr>
            <w:tcW w:w="8300" w:type="dxa"/>
            <w:vAlign w:val="bottom"/>
            <w:gridSpan w:val="23"/>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14.</w:t>
              </w:r>
            </w:hyperlink>
          </w:p>
        </w:tc>
        <w:tc>
          <w:tcPr>
            <w:tcW w:w="8300" w:type="dxa"/>
            <w:vAlign w:val="bottom"/>
            <w:gridSpan w:val="23"/>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ACCOUNTING FEES AND SERVICES</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continue"/>
          </w:tcPr>
          <w:p>
            <w:pPr>
              <w:spacing w:after="0"/>
              <w:rPr>
                <w:sz w:val="21"/>
                <w:szCs w:val="21"/>
                <w:color w:val="auto"/>
              </w:rPr>
            </w:pPr>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2060" w:type="dxa"/>
            <w:vAlign w:val="bottom"/>
            <w:gridSpan w:val="11"/>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60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w:t>
              </w:r>
            </w:hyperlink>
          </w:p>
        </w:tc>
        <w:tc>
          <w:tcPr>
            <w:tcW w:w="1000" w:type="dxa"/>
            <w:vAlign w:val="bottom"/>
            <w:gridSpan w:val="3"/>
            <w:vMerge w:val="restart"/>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00" w:type="dxa"/>
            <w:vAlign w:val="bottom"/>
            <w:gridSpan w:val="23"/>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VALUATION AND QUALIFYING ACCOUNTS</w:t>
              </w:r>
            </w:hyperlink>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10"/>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SCHEDULE II.</w:t>
              </w:r>
            </w:hyperlink>
          </w:p>
        </w:tc>
        <w:tc>
          <w:tcPr>
            <w:tcW w:w="8300" w:type="dxa"/>
            <w:vAlign w:val="bottom"/>
            <w:gridSpan w:val="23"/>
            <w:vMerge w:val="continue"/>
          </w:tcPr>
          <w:p>
            <w:pPr>
              <w:spacing w:after="0"/>
              <w:rPr>
                <w:sz w:val="21"/>
                <w:szCs w:val="21"/>
                <w:color w:val="auto"/>
              </w:rPr>
            </w:pPr>
          </w:p>
        </w:tc>
        <w:tc>
          <w:tcPr>
            <w:tcW w:w="1000" w:type="dxa"/>
            <w:vAlign w:val="bottom"/>
            <w:gridSpan w:val="3"/>
            <w:vMerge w:val="restart"/>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600" w:type="dxa"/>
            <w:vAlign w:val="bottom"/>
            <w:gridSpan w:val="10"/>
            <w:vMerge w:val="continue"/>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SIGNATURES</w:t>
        </w:r>
      </w:hyperlink>
    </w:p>
    <w:p>
      <w:pPr>
        <w:spacing w:after="0" w:line="23" w:lineRule="exact"/>
        <w:rPr>
          <w:sz w:val="20"/>
          <w:szCs w:val="20"/>
          <w:color w:val="auto"/>
        </w:rPr>
      </w:pPr>
    </w:p>
    <w:p>
      <w:pPr>
        <w:ind w:left="11220"/>
        <w:spacing w:after="0"/>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93</w:t>
        </w:r>
      </w:hyperlink>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FORWARD-LOOKING STATEMENTS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“we,” “us,” “our” and the “Company” refer to Altisource Portfolio Solutions S.A., a Luxembourg société anonyme, or public limited company, and its wholly-owned subsidiaries.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3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are publicly traded on the NASDAQ Global Select Market under the symbol “ASPS.” We are incorporated under the laws of Luxembourg.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2014 highlights include:</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revenue of $1,078.9 million, a 40% increase compared to the year ended December 31, 2013;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service revenue of $938.7 million, a 42% increase compared to the year ended December 31,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diluted earnings per share of $5.69, a 10% increase compared to the year ended December 31, 2013;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cash flows from operations of $197.5 million, a 6% increase compared to the year ended December 31, 2013;</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average number of loans serviced by Ocwen Financial Corporation and its subsidiaries (“Ocwen”) on REALServicing totaled 2.2 million, a 91% increase compared to the year ended December 31, 2013;</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21, 2014, we acquired certain assets and assumed certain liabilities of Owners Advantage, LLC (“Owners.com”), a leading self-directed online real estate marketplace, for an initial purchase price of $19.8 million plus contingent earn out consideration of up to an additional $7.0 million over two years, subject to Owners.com achieving annual performance targets;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12, 2014, we completed the acquisition of certain assets and assumed certain liabilities of Mortgage Builder Software, Inc. (“Mortgage Builder”), a provider of mortgage loan origination and servicing software systems, for an initial purchase price of $15.7 million plus contingent earn out consideration of up to an additional $7.0 million over three years, subject to Mortgage Builder achieving annual performance targets;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1, 2014, we amended our senior secured term loan agreement and increased our borrowings by $200.0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loan originators,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other sellers of single family homes. We provide most of these services primarily for loan portfolios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serviced by Ocwen. We also have longstanding relationships with commercial banks, insurance companies and mortgage bankers. Within the Mortgage Services segment, we provide the following services:</w:t>
      </w:r>
    </w:p>
    <w:p>
      <w:pPr>
        <w:spacing w:after="0" w:line="170"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real estate portals and real estate brokerage services. We also provide property management, lease management and renovation management services for single family rental properties.</w:t>
      </w:r>
    </w:p>
    <w:p>
      <w:pPr>
        <w:spacing w:after="0" w:line="204"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i w:val="1"/>
          <w:iCs w:val="1"/>
          <w:color w:val="auto"/>
        </w:rPr>
        <w:t xml:space="preserve">Insurance services </w:t>
      </w:r>
      <w:r>
        <w:rPr>
          <w:rFonts w:ascii="Arial" w:cs="Arial" w:eastAsia="Arial" w:hAnsi="Arial"/>
          <w:sz w:val="17"/>
          <w:szCs w:val="17"/>
          <w:color w:val="auto"/>
        </w:rPr>
        <w:t>- Insurance services include an array of insurance services including pre-foreclosure, REO and refinance title searches, title</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agency services, settlement and escrow services and loss draft claims processing. Prior to the November 11, 2014 discontinuation, we provided insurance program management and insurance brokerage services for REO and lender placed insurance companies.</w:t>
      </w:r>
    </w:p>
    <w:p>
      <w:pPr>
        <w:spacing w:after="0" w:line="16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some of which are through our network of real estate professionals. We generally provide these services for residential loan servicers, residential lenders and investors in single family homes.</w:t>
      </w:r>
    </w:p>
    <w:p>
      <w:pPr>
        <w:spacing w:after="0" w:line="18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324"/>
        <w:spacing w:after="0" w:line="262"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 Mortgage Partnership of America, L.L.C. (“MPA”)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underwriting and quality control businesses. MPA serves as the manager of Best Partners Mortgage Cooperative, Inc., which is referred to as the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and insurance services businesses. In September 2014, we launched a new cooperative, Best Partners Mortgage Brokers Cooperative, Inc., which is referred to as the Wholesale One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Mortgage Cooperative (“Wholesale One”), for the wholesale mortgage industry. Wholesale One provides a platform for mortgage brokers, wholesale lenders and related vendors to provide quality loans to U.S. consumers nationwide. The new cooperative will assist mortgage brokers and other third party originators with tools to improve their businesses.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7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of software applications, Equator, LLC (“Equator”) software applications, Mortgage Builder</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and our information technology (“IT”) infrastructure management services. We currently provide our IT infrastructure management services to Ocwen, Home Loan Servicing Solutions, Ltd. (“HLSS”), Altisource Residential Corporation (“Residential”) and Altisource Asset Management Corporation (“AAMC”), through managed services agreements, and our other segments in a shared services model. Brief descriptions of the key REALSuite, 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Mortgage Builder software solutions are below:</w:t>
      </w:r>
    </w:p>
    <w:p>
      <w:pPr>
        <w:spacing w:after="0" w:line="205" w:lineRule="exact"/>
        <w:rPr>
          <w:sz w:val="20"/>
          <w:szCs w:val="20"/>
          <w:color w:val="auto"/>
        </w:rPr>
      </w:pPr>
    </w:p>
    <w:p>
      <w:pPr>
        <w:ind w:left="340" w:firstLine="648"/>
        <w:spacing w:after="0" w:line="308" w:lineRule="auto"/>
        <w:rPr>
          <w:sz w:val="20"/>
          <w:szCs w:val="20"/>
          <w:color w:val="auto"/>
        </w:rPr>
      </w:pPr>
      <w:r>
        <w:rPr>
          <w:rFonts w:ascii="Arial" w:cs="Arial" w:eastAsia="Arial" w:hAnsi="Arial"/>
          <w:sz w:val="17"/>
          <w:szCs w:val="17"/>
          <w:color w:val="auto"/>
        </w:rPr>
        <w:t>The REALSuite platform provides a fully integrated set of software applications and technologies that manage the end-to-end lifecycle for residential and commercial mortgage loan servicing including the automated management and payment of a distributed network of vendors.</w:t>
      </w:r>
    </w:p>
    <w:p>
      <w:pPr>
        <w:spacing w:after="0" w:line="147" w:lineRule="exact"/>
        <w:rPr>
          <w:sz w:val="20"/>
          <w:szCs w:val="20"/>
          <w:color w:val="auto"/>
        </w:rPr>
      </w:pPr>
    </w:p>
    <w:p>
      <w:pPr>
        <w:jc w:val="both"/>
        <w:ind w:left="980" w:firstLine="1053"/>
        <w:spacing w:after="0" w:line="22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platform that offers an efficient and effective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loan servicing including default administration. This technology solution features automated workflows and robust reporting capabilities. The solution spans the loan servicing lifecycle from loan boarding to satisfaction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including all collections, payment processing and reporting. We also offer the REALSynergy</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enterprise commercial loan servicing system.</w:t>
      </w:r>
    </w:p>
    <w:p>
      <w:pPr>
        <w:spacing w:after="0" w:line="168" w:lineRule="exact"/>
        <w:rPr>
          <w:sz w:val="20"/>
          <w:szCs w:val="20"/>
          <w:color w:val="auto"/>
        </w:rPr>
      </w:pPr>
    </w:p>
    <w:p>
      <w:pPr>
        <w:jc w:val="both"/>
        <w:ind w:left="980" w:firstLine="324"/>
        <w:spacing w:after="0" w:line="216"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203" w:lineRule="exact"/>
        <w:rPr>
          <w:sz w:val="20"/>
          <w:szCs w:val="20"/>
          <w:color w:val="auto"/>
        </w:rPr>
      </w:pPr>
    </w:p>
    <w:p>
      <w:pPr>
        <w:jc w:val="both"/>
        <w:ind w:left="980" w:firstLine="324"/>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business-to-business exchange that automates and simplifies vendor selection, ordering, tracking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of vendor provided services principally related to real estate and mortgage marketplaces. This technology solution, whether accessed through the web or integrated into a servicing system, connects to a marketplace of services through a single platform and delivers an efficient method for managing a large scale network of vendors.</w:t>
      </w:r>
    </w:p>
    <w:p>
      <w:pPr>
        <w:spacing w:after="0" w:line="202" w:lineRule="exact"/>
        <w:rPr>
          <w:sz w:val="20"/>
          <w:szCs w:val="20"/>
          <w:color w:val="auto"/>
        </w:rPr>
      </w:pPr>
    </w:p>
    <w:p>
      <w:pPr>
        <w:jc w:val="both"/>
        <w:ind w:left="980" w:firstLine="324"/>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servicers with the ability to automatically adjudicate invoices according to compliance rules and for electronic payments to be delivered after review and approval.</w:t>
      </w:r>
    </w:p>
    <w:p>
      <w:pPr>
        <w:spacing w:after="0" w:line="204" w:lineRule="exact"/>
        <w:rPr>
          <w:sz w:val="20"/>
          <w:szCs w:val="20"/>
          <w:color w:val="auto"/>
        </w:rPr>
      </w:pPr>
    </w:p>
    <w:p>
      <w:pPr>
        <w:jc w:val="both"/>
        <w:ind w:left="980" w:firstLine="324"/>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images into processable data, indexes documents and provides customizable workflows based on data attributes; REALDoc Correspondence, which provides a scalable correspondence creation, management and delivery platform; and REALDoc Vault, which provides a scalable and distributed storage platform and secure document viewer.</w:t>
      </w:r>
    </w:p>
    <w:p>
      <w:pPr>
        <w:spacing w:after="0" w:line="202" w:lineRule="exact"/>
        <w:rPr>
          <w:sz w:val="20"/>
          <w:szCs w:val="20"/>
          <w:color w:val="auto"/>
        </w:rPr>
      </w:pPr>
    </w:p>
    <w:p>
      <w:pPr>
        <w:jc w:val="both"/>
        <w:ind w:left="980" w:firstLine="324"/>
        <w:spacing w:after="0" w:line="216"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A software platform that incorporates econometric models and behavioral economics to assist servicers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servicing, including determination of loss mitigation options for decision-making by the servicer.</w:t>
      </w:r>
    </w:p>
    <w:p>
      <w:pPr>
        <w:spacing w:after="0" w:line="203" w:lineRule="exact"/>
        <w:rPr>
          <w:sz w:val="20"/>
          <w:szCs w:val="20"/>
          <w:color w:val="auto"/>
        </w:rPr>
      </w:pPr>
    </w:p>
    <w:p>
      <w:pPr>
        <w:jc w:val="both"/>
        <w:ind w:left="340" w:firstLine="324"/>
        <w:spacing w:after="0" w:line="237" w:lineRule="auto"/>
        <w:rPr>
          <w:sz w:val="20"/>
          <w:szCs w:val="20"/>
          <w:color w:val="auto"/>
        </w:rPr>
      </w:pPr>
      <w:r>
        <w:rPr>
          <w:rFonts w:ascii="Arial" w:cs="Arial" w:eastAsia="Arial" w:hAnsi="Arial"/>
          <w:sz w:val="18"/>
          <w:szCs w:val="18"/>
          <w:i w:val="1"/>
          <w:iCs w:val="1"/>
          <w:color w:val="auto"/>
        </w:rPr>
        <w:t xml:space="preserve">Equator </w:t>
      </w:r>
      <w:r>
        <w:rPr>
          <w:rFonts w:ascii="Arial" w:cs="Arial" w:eastAsia="Arial" w:hAnsi="Arial"/>
          <w:sz w:val="18"/>
          <w:szCs w:val="18"/>
          <w:color w:val="auto"/>
        </w:rPr>
        <w:t>- Includes the EQ Workstation</w:t>
      </w:r>
      <w:r>
        <w:rPr>
          <w:rFonts w:ascii="Arial" w:cs="Arial" w:eastAsia="Arial" w:hAnsi="Arial"/>
          <w:sz w:val="25"/>
          <w:szCs w:val="25"/>
          <w:color w:val="auto"/>
          <w:vertAlign w:val="superscript"/>
        </w:rPr>
        <w:t>®</w:t>
      </w:r>
      <w:r>
        <w:rPr>
          <w:rFonts w:ascii="Arial" w:cs="Arial" w:eastAsia="Arial" w:hAnsi="Arial"/>
          <w:sz w:val="18"/>
          <w:szCs w:val="18"/>
          <w:color w:val="auto"/>
        </w:rPr>
        <w:t>, EQ Marketplace</w:t>
      </w:r>
      <w:r>
        <w:rPr>
          <w:rFonts w:ascii="Arial" w:cs="Arial" w:eastAsia="Arial" w:hAnsi="Arial"/>
          <w:sz w:val="25"/>
          <w:szCs w:val="25"/>
          <w:color w:val="auto"/>
          <w:vertAlign w:val="superscript"/>
        </w:rPr>
        <w:t>®</w:t>
      </w:r>
      <w:r>
        <w:rPr>
          <w:rFonts w:ascii="Arial" w:cs="Arial" w:eastAsia="Arial" w:hAnsi="Arial"/>
          <w:sz w:val="18"/>
          <w:szCs w:val="18"/>
          <w:color w:val="auto"/>
        </w:rPr>
        <w:t>, EQ Midsource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and can be used separately or together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7"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7"/>
          <w:szCs w:val="17"/>
          <w:i w:val="1"/>
          <w:iCs w:val="1"/>
          <w:color w:val="auto"/>
        </w:rPr>
        <w:t xml:space="preserve">Mortgage Builder </w:t>
      </w:r>
      <w:r>
        <w:rPr>
          <w:rFonts w:ascii="Arial" w:cs="Arial" w:eastAsia="Arial" w:hAnsi="Arial"/>
          <w:sz w:val="17"/>
          <w:szCs w:val="17"/>
          <w:color w:val="auto"/>
        </w:rPr>
        <w:t>- Includes the Architect</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Surveyance</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Colonnade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LoanXEngine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which are software solutions for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banks, community banks, credit unions and other financial institutions. The Architect platform is a next generation all-inclusive origination platform available in the cloud that manages loans from prequalification through interim servicing and delivery. The Surveyance platform is a mobile origination solution that provides originators with the ability to service their clients remotely. The Colonnade platform is a comprehensive loan servicing solution and the LoanXEngine platform provides customer relationship management and product pricing and eligibility solutions.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interest expense and costs related to corporate support functions including executive, finance, legal,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risk and operational effectiveness and marketing, and also includes eliminations of transactions between the reportable segments. Corporate Items and Eliminations also include the cost of facilities until approximately 40% of the facilities are occupied by the business unit(s), at which time costs are charged to the business unit(s).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Residential Asset Businesses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21, 2012, we completed the spin-off of two wholly-owned subsidiaries, Residential and AAMC, into separate publicly traded companies (the “Separation of the Residential Asset Businesses”). Residential’s common stock is listed on the New York Stock Exchange under the symbol “RESI,” and AAMC’s common stock is listed on the New York Stock Exchange’s NYSE MKT under the symbol “AAMC.” On December 24, 2012, we distributed all of the shares of Residential common stock and AAMC common stock to our shareholders of record as of December 17, 2012. Residential is focused on acquiring and managing single family rental properties by acquiring sub-performing and non-performing residential mortgage loans as well as single family homes at or following the foreclosure sale throughout the United States. AAMC provides asset management and certain corporate governance services to Residential. Residential and AAMC are further described in Item 7 of Part II,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customers include one of the largest sub-prime servicers in the United States, a government-sponsored enterprise (“GSE”), utility companies, commercial banks, servicers, investors, mortgage bankers and financial services companies. Our largest customer, Ocwen, accounted for 60% of our total revenue in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Related party revenue primarily consists of revenue earned directly from Ocwen and revenue earned from the loans serviced by Ocwen when Ocwen designates us as the service provider. Related party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43"/>
        </w:trPr>
        <w:tc>
          <w:tcPr>
            <w:tcW w:w="7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&lt;1%</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59%</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market rates as we believe they are consistent with the fees we charge to other customers for comparable services and/or fees charged by our competitors.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additional revenue on the portfolios serviced by Ocwen that is not considered related party revenue when a party other than Ocwen selects Altisource as the service provider. For the years ended December 31, 2014, 2013 and 2012, we recognized revenue of $256.0 million, $161.9 million and $125.4 million, respectively, on the portfolios serviced by Ocwen that are not considered related party revenue.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23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sales personnel and relationship managers with subject matter expertise. These individuals maintain relationships throughout the industry sectors we serve and play an important role in generating new client leads as well as identifying opportunities to expand our services with existing clients. Additional leads are also generated through requests for proposal processes. Our sales team works collaboratively and is compensated principally with a base salary and commission for sales generated.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sales and marketing focus is expanding relationships and services provided to existing customers and Lenders One and Wholesale One members as well as adding new Lenders One and Wholesale One members, adding new customers of Equator and Mortgage Builder, new default services customers and more consumer limited service brokerage customers. Given the highly concentrated nature of the industries we serve, the time and effort we spend in expanding relationships or winning new relationships is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copyrights, trade secrets and other intellectual property to establish and protect our software, technology and expertise. We also own or, as necessary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appropriate, have obtained licenses from third parties to intellectual property relating to our services, processes and business. These intellectual property rights are important factors in the success of our businesses.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we have been awarded one patent that expires in 2023, four patents that expire in 2024, six patents that expire in 2025, two patents that expire in 2026, one patent that expires in 2029 and one patent that expires in 2030. In addition, we have registered trademarks, or recently filed applications for the registration of trademarks, in a number of jurisdictions including the United States, the European Community, India and in eight other jurisdictions. These trademarks generally can be renewed indefinitely, provided they are being used in commerce.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trademarks, copyrights, trade secrets and other intellectual property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industry verticals in which we engage are highly competitive and generally consist of a few national vendors as well as a large number of regional, local and in-house providers resulting in a fragmented market with disparate service offerings. From an overall perspective, we compete with global business process outsourcing firms. Our Mortgage Services segment competes with national and regional third party service providers and in-house servicing operations of large mortgage lenders and servicers. We also compete with companies providing online real estate auction services and limited service brokerage firms. Our Financial Services segment competes with other large receivables management companies as well as a fragmented group of smaller companies and law firms focused on collections. Our Technology Services segment competes with data processing and software development companies and in-house technology and software operations of other loan servicers.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diverse nature of services we and our competitors offer, we cannot determine our position in the market with certainty, but we believe we represent only a small portion of very large markets. Given our size, some of our competitors may offer more diversified services, operate in broader geographic markets or have greater financial resources than we do. In addition, some of our larger customers retain multiple providers and continuously evaluate our performance against our competitors.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Competitive factors in our Mortgage Services business include the compliance, quality and timeliness of our services, the size and competence of our network of vendors and the breadth of the services we offer. Competitive factors in our Financial Services business include the ability to achieve a collection rate comparable to our competitors; the compliance, quality, timeliness and personal nature of the service; the consistency and professionalism of the service; and the recruitment, training and the retention of our workforce. Competitive factors in our Technology Services business include the quality of the technology-based applications or services; application features and functions; ease of delivery and integration; our ability to maintain, enhance and support the applications or services; our ability to recruit and retain software and other technical employees; and the cost of obtaining, maintaining and enforcing our patents.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60" w:type="dxa"/>
            <w:vAlign w:val="bottom"/>
          </w:tcPr>
          <w:p>
            <w:pPr>
              <w:jc w:val="center"/>
              <w:ind w:left="468"/>
              <w:spacing w:after="0"/>
              <w:rPr>
                <w:sz w:val="20"/>
                <w:szCs w:val="20"/>
                <w:color w:val="auto"/>
              </w:rPr>
            </w:pPr>
            <w:r>
              <w:rPr>
                <w:rFonts w:ascii="Arial" w:cs="Arial" w:eastAsia="Arial" w:hAnsi="Arial"/>
                <w:sz w:val="14"/>
                <w:szCs w:val="14"/>
                <w:b w:val="1"/>
                <w:bCs w:val="1"/>
                <w:color w:val="auto"/>
                <w:w w:val="96"/>
              </w:rPr>
              <w:t>United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India</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Philippines</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Luxembourg</w:t>
            </w:r>
          </w:p>
        </w:tc>
        <w:tc>
          <w:tcPr>
            <w:tcW w:w="148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960" w:type="dxa"/>
            <w:vAlign w:val="bottom"/>
          </w:tcPr>
          <w:p>
            <w:pPr>
              <w:jc w:val="center"/>
              <w:ind w:left="468"/>
              <w:spacing w:after="0"/>
              <w:rPr>
                <w:sz w:val="20"/>
                <w:szCs w:val="20"/>
                <w:color w:val="auto"/>
              </w:rPr>
            </w:pPr>
            <w:r>
              <w:rPr>
                <w:rFonts w:ascii="Arial" w:cs="Arial" w:eastAsia="Arial" w:hAnsi="Arial"/>
                <w:sz w:val="14"/>
                <w:szCs w:val="14"/>
                <w:b w:val="1"/>
                <w:bCs w:val="1"/>
                <w:color w:val="auto"/>
                <w:w w:val="90"/>
              </w:rPr>
              <w:t>States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tcPr>
          <w:p>
            <w:pPr>
              <w:jc w:val="right"/>
              <w:ind w:right="335"/>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Financial Services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Total employees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2,073</w:t>
            </w:r>
          </w:p>
        </w:tc>
        <w:tc>
          <w:tcPr>
            <w:tcW w:w="120" w:type="dxa"/>
            <w:vAlign w:val="bottom"/>
          </w:tcPr>
          <w:p>
            <w:pPr>
              <w:spacing w:after="0"/>
              <w:rPr>
                <w:sz w:val="22"/>
                <w:szCs w:val="22"/>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our revenues are seasonal. More specifically, Mortgage Services’ revenue is impacted by REO sales and lawn maintenance, which tend to be at their lowest levels during fall and winter months and highest during spring and summer months.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Services’ asset recovery management revenue tends to be higher in the first quarter, as borrowers may utilize tax refunds and bonuses to pay debts, and generally declines throughout the rest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and the business of our customers are subject to extensive scrutiny and regulation by federal, state and local governmental authorities including the Federal Trade Commission (“FTC”), the Consumer Financial Protection Bureau (“CFPB”), the Securities and Exchange Commission (“SEC”) and the state and local agencies that license or oversee certain of our auction, real estate brokerage, mortgage and debt collection services, including insurance services and collection services. We also must comply with a number of federal, state and local consumer protection laws including, among others, the Gramm-Leach-Bliley Act, the Fair Debt Collection Practices Act, Unfair, Deceptive or Abusive Acts and Practices statutes, the Real Estate Settlement Procedures Act (“RESPA”), the Truth in Lending Act (“TILA”), the Fair Credit Reporting Act, the Telephone Consumer Protection Act, the Homeowners Protection Act, the California Homeowner Bill of Rights and the Secure and Fair Enforcement for Mortgage Licensing (“SAFE”) Act. We are also subject to the requirements of the Foreign Corrupt Practices Act (“FCPA”) and comparable foreign laws, due to our activities in foreign jurisdictions.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In some cases, penalties for noncompliance are significant and could lead to settlements or consent orders affecting us or our customers that may curtail or restrict the business as it is currently conducted.</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licensing and regulation as a provider of certain services including, among others, services as a mortgage origination underwriter, valuation provider, appraisal management company, asset manager, property manager, title insurance agent, property and casualty insurance broker,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Periodically, we are subject to audits and examinations by federal, state and local regulatory agencies and receive subpoenas, civil investigative demands or other requests for information from such regulatory agencies in connection with their regulatory or investigative authority.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over the Internet at the SEC’s website at </w:t>
      </w:r>
      <w:r>
        <w:rPr>
          <w:rFonts w:ascii="Arial" w:cs="Arial" w:eastAsia="Arial" w:hAnsi="Arial"/>
          <w:sz w:val="18"/>
          <w:szCs w:val="18"/>
          <w:i w:val="1"/>
          <w:iCs w:val="1"/>
          <w:u w:val="single" w:color="auto"/>
          <w:color w:val="380BB5"/>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of easily finding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our largest customer and the loss of Ocwen as a customer or a reduction in the size of Ocwen could adversely affect our business and results of operations.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2014, we generated approximately 60% of our revenue from Ocwen. Additionally, 24% of our 2014 revenue was earned on the portfolios serviced by Ocwen, but is not considered related party revenue because a party other than Ocwen selects Altisource as the service provider. Prior to the 2009 separation from Ocwen, our businesses were wholly-owned subsidiaries of Ocwen and since the 2009 separation Ocwen has been our largest customer. Ocwen purchases certain services from our Mortgage Services, Financial Services and Technology Services segments under service agreements that extend through August 2025, subject to termination under certain conditions. In addition, Ocwen purchases certain origination services from Altisource under an agreement that extends through January 2017, subject to termination under certain conditions.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been and is subject to a number of pending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New York Department of Financial Services (“NYDFS”), which is assessing the adequacy and effectiveness of Ocwen’s operations, including information technology systems, (iii) required to perform benchmarking pricing studies for transactions with related parties, which are subject to periodic review by the monitor imposed by the NYDFS and (iv) subject to requirements under an agreement with the CFPB and various states attorneys general and agencies that imposed specific servicing guidelines and oversight by an independent national monitor, who recently reported they were investigating the reliability of information Ocwen has provided.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these various difficulties faced by Ocwen, its debt and servicer ratings have been downgraded. Further, certain bondholders of Ocwen-serviced residential mortgage-backed securities alleged that Ocwen, as servicer of certain mortgage-backed securities trusts, defaulted on these servicing agreements.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Ocwen relies, in part, on HLSS to finance its operations. For a significant portion of Ocwen-serviced non-GSE loans, HLSS owns (1) the rights to receive the servicing fees that Ocwen is entitled to receive and (2) associated servicing advances. As a result of certain of the foregoing matters, HLSS has received notices of default with respect to certain of its debt financing and has received demands from a shareholder that servicing be transferred away from Ocwen.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services), it may be required to seek changes to its existing pricing structure with related parties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Further, Ocwen’s ability to finance its operations and repay maturing obligations rests in large part on its ability and the ability of HLSS to continue to borrow money, which also may be affected by any or all of the circumstances described above. Any or all of these effects could result in our eventual loss of Ocwen as a customer or a reduction in the volume of services they purchase from us.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loss of Ocwen as a customer or a significant reduction in the volume of services they purchase from us would significantly reduce our revenue and materially adversely affect our results of operations. Further, if Ocwen were to lose or sell a significant portion or all of its non-GSE servicing rights or subservicing arrangements or lose its state servicing licenses in states with a significant number of loans in Ocwen's servicing portfolio, our revenue and results of operations would be materially adversely affected. In addition, if there are significant changes to our contractual relationship with Ocwen or significant changes to our pricing to Ocwen for services from which we generate material revenue, Altisource’s revenue and results of operations could be materially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attract and retain other 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our close and continuing relationship with Ocwen and the regulatory scrutiny related to the way in which Ocwen does business with Altisource, we may encounter difficulties in attracting new customers and retaining existing customers. Should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and other potential customers view Altisource as part of Ocwen or as too closely related to or dependent upon Ocwen, they may be unwilling to utilize our services and our growth could be inhibited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the loss of which could affect our business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no individual client, other than Ocwen,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strength of the economy and the housing market can affect demand for our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performance and growth of our origination services business is dependent on the volume of loan originations by third parties. In the event of an economic slowdown, increase in interest rates or any other factor that would likely lead to a decrease in the level of origination transactions, including refinancing transactions, our origination services growth prospects could be adversely affected. Also, in a strengthening economy and housing market, reduced delinquencies negatively impact our default business. Further, in the event that adverse economic conditions or other factors lead to a decline in levels of home ownership and a reduction in the aggregate number of United States mortgage loans outstanding, our revenues from our software applications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are more established and better known, have substantial resources and some have widely-used technology platforms which they seek to use as a competitive advantage to drive sales of other products and services. In addition, we expect the markets in which we compete will continue to attract new competitors and new technologies. These new technologies may render our existing technologies obsolete, resulting in operating inefficiencies and increased competitive pressure. There can be no assurance we will be able to compete successfully against current or future competitors or that competitive pressures we face in the markets in which we operate will not materially adversely affect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in every case.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to obtain patent protection for certain of our innovations, it is possible we may not be able to protect all of the innovations for which we seek protection.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failures, defects or inadequacies, development delays or installation difficulties, security breaches, acts of vandalism or the introduction of harmful code could damage our business operations and increase our costs.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Disruptions, failures, defects or inadequacies in our technology, delays in the development of, or installation difficulties with, our technology, or security breaches, acts of vandalism, system attacks or the introduction of malicious code to our technology, may interrupt or delay our ability to provide services to our customers. Any sustained and repeated disruptions in these services may have an adverse impact on our and our customers’ results of operations. Further, Ocwen or other of our customers may require changes and improvements to the systems we provide to them to manage the volume and complexity of their businesses, which changes and improvements may be costly and time consuming to implement and may create disruptions in our provision of services to customers, which could have an adverse impact on our business operations and financial position, and increase our costs. Additionally, the improper implementation or use of Altisource technology by customers could impact the operation of that technology, and potentially cause harm to our reputation, loss of customers, negative publicity or exposure to liability claims.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s databases containing proprietary information and personal information of our customers and employees could be breached, which could subject us to adverse publicity, costly government enforcement actions or private litigation, and expenses.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our business and operation of our technology, we maintain proprietary information electronically and electronically receive, process, store and transmit consumer information and confidential and sensitive business information of our customers and employees. We rely on the security of our networks, databases, systems and processes and, in certain circumstances, those of third parties, such as vendors, to protect our proprietary information and information about our customers and employees. Criminals are constantly devising schemes to circumvent information technology security safeguards and other large companies have recently suffered serious data security breaches. If unauthorized parties gain access to our networks or databases, or those of our vendors, they may be able to steal, publish, delete, or modify our sensitive proprietary information and sensitive third party information, including personally identifiable information. In addition, employees may intentionally or inadvertently cause data or security breaches that result in unauthorized release of such personal or confidential information. In such circumstances, our business could suffer and we could be held liable to our customers, other parties, or employees, as well as be subject to regulatory or other actions for breaching privacy law or failing to adequately protect such information. This could result in costly investigations and litigation, civil or criminal penalties, operational changes or other response measures, loss of consumer confidence in our security measures and negative publicity that could adversely affect our financial condition, results of operations, and reputation. Furthermore, Congress or individual states could enact new laws regulating electronic commerce that could adversely affect us and our results of operations.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have long development and sales cycles for many of our services and technology solutions and if we fail to close sales after expending significant time and resources to do so, our business, financial condition and results of operations may be adversely affected.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have long development and sales cycles for many of our services and technology solutions. We may expend significant time and resources in pursuing a particular service, technology solution or customer that does not generate revenue. We may encounter delays when developing new services or technology solutions.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 materially adverse effect on our business, financial condition or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failure to comply with existing or new regulations may adversely impact us.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FTC, the CFPB, the SEC and the state and local agencies that license or oversee certain of our auction, real estate brokerage, mortgage and debt collection services, including insurance services and collection services. We also must comply with a number of federal, state and local consumer protection laws including, among others, the Gramm-Leach-Bliley Act, the Fair Debt Collection Practices Act, Unfair, Deceptive or Abusive Acts and Practices statutes, RESPA, TILA, the Fair Credit Reporting Act, the Telephone Consumer Protection Act, the Homeowners Protection Act, the California Homeowner Bill of Rights, the SAFE Act, the Mortgage Act, the FCPA and the Dodd-Frank Act. These requirements can and do change as statutes and regulations are enacted, promulgated or amended. We are also subject to licensing and regulation as a provider of certain services including, among others, services as a mortgage origination underwriter, valuation provider, appraisal management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asset manager, property manager, title insurance agent, property and casualty insurance broker,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We incur significant ongoing costs to comply with licensing requirements and governmental regulations.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Participants in the industries in which we operate are subject to a high level of regulatory scrutiny. This scrutiny has included federal and state governmental agency review of all aspects of the mortgage servicing and lending industries and the debt collection industry, including an increased legislative and regulatory focus on consumer protection practices. In some cases, penalties for noncompliance are significantly increased and could lead to settlements or consent orders against us, or our customers, that may curtail or restrict our business as it is currently conducted. If regulators continue to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Periodically, we are subject to audits and examinations by federal, state and local regulatory agencies and receive subpoenas, civil investigative demands or other requests for information from such regulatory agencies in connection with their regulatory or investigative authority. We are currently responding to such inquiries from federal and state agencies relating to certain aspects of our business. Responding to such audits, examinations and inquiries will cause us to incur costs, including legal fees or other charges, which may be material in amount. If any such audits, examinations or inquiries result in findings of noncompliance, we could incur fines, penalties, settlement costs or other damages or have sanctions imposed on us or restrictions imposed on our business that could have a material adverse effect on our business and results of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servicing standards and federal and state government scrutiny and regulation and other requirements require very specific loan modification and foreclosure procedures that have further reduced the number of loans entering the foreclosure process and have negatively impacted our default services revenue and profit. It is unclear when or if volumes will increase in the future.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customers are subject to government regulation, requiring our customers to, among other things, oversee their vendors and maintain documentation that demonstrates their oversight. If our performance does not meet our customers’ standards, our results of operations could be adversely affected.</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customers are subject to a variety of government regulations, including those promulgated by the CFPB. Certain regulations require our customers to oversee their vendors and document the procedures performed to demonstrate that oversight. Altisource, as a vendor, is subject to oversight by our customers. If we do not meet the standards established by our customers or if any other oversight procedures result in a negative outcome for Altisource, we may lose customers or may no longer be granted referrals for certain services, negatively impacting our business and results of operations.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rely on third party vendors for many aspects of our business. If our vendor oversight process is ineffective or we face difficulties managing our relationships with third party vendors, our results of operations could be adversely affected.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third party vendors to provide goods and services in relation to many aspects of our operations. Our dependence on these vendors makes our operations vulnerable to such third parties’ failure to perform adequately under our contracts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Additionally, we perform ongoing vendor oversight activities to identify any performance or other issues related to these vendors.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Such a failure could adversely affect the reliability and quality of the services we provide our customers and could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financial institutions at which we hold escrow and trust funds fail, it could have a materially adverse impact on our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accompanying consolidated balance sheets. We may become liable for funds owed to third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parties as a result of the failure of one or more of these financial institutions, and there is no guarantee we would recover the funds deposited, whether through Federal Deposit Insurance Corporation coverage, private insurance or otherwise.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or damages or modify our products or processes.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 subject to costly and time-consuming legal proceedings that claim legal violations or wrongful conduct. These lawsuits may involve clients, our clients’ customers, vendors, competitors and/or other large groups of plaintiffs and, if resulting in findings of violations, could result in substantial damages. Alternatively, we may be forced to settle some claims out of court and change existing company practices, services and processes that are currently revenue generating. This could lead to unexpected costs or a loss of revenue.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debt makes us more sensitive to the effects of economic change; our level of debt and provisions in our debt agreements could limit our ability to react to changes in the economy or our industry.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 makes us more vulnerable to changes in our results of operations because a portion of our cash flows from operations is dedicated to servicing our debt and is not available for other purposes. Our debt is secured by virtually all of our assets and is trading at a substantial discount to face value. Our ability to raise additional debt is limited, subject to lender approval and would require modification of our current debt agreements. Additionally, increases in interest rates will negatively impact our cash flows as the interest on our debt is variable. The provisions of our debt agreement could have other negative consequences to us including the following:</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repay a portion of our excess cash flow, as defined in the debt agreement, in the event our debt to EBITDA ratios, as defined in the debt agreement, exceed certain thresholds;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the business.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our indebtedness depends on our ability to generate cash in the future. If we do not generate sufficient cash flows to meet our debt service and working capital requirements, we may need to seek additional financing or sell assets. This may make it more difficult for us to obtain financing on terms that are acceptable to us, or at all. Without any such financing, we could be forced to sell assets to make up for any shortfall in our payment obligations under unfavorable circumstances. If necessary, we may not be able to sell assets quickly enough or for sufficient amounts to enable us to meet our obligations.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our debt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contained in our debt agreement, including as a result of events beyond our control, could result in an event of default which could materially and adversely affect our operating results and our financial condition.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debt agreement requires us to comply with various operational, reporting and other covenants that limit us from engaging in certain types of transactions. If there were an event of default under our debt agreement that was not cured or waived, the holders of the defaulted debt could cause all amounts outstanding with respect to that debt to be immediately due and payable. We cannot assure you that our assets or cash flows would be sufficient to fully repay borrowings under our outstanding debt instruments, either upon maturity or if accelerated, upon an event of default or that we would be able to refinance or restructure the payments on those debt instruments.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certain debt to EBITDA ratios contained in our debt agreement could result in required payments to the lenders of a percentage of our excess cash flows, which could materially and adversely affect our ability to use our excess cash flows for other purposes.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debt agreement requires us to distribute 50% of our excess cash flows, as defined in the debt agreement, if our net debt to EBITDA ratio exceeds 3.50 to 1.00 and 25% of our excess cash flows if our net debt to EBITDA ratio is 3.50 to 1.00 or less, but greater than 3.00 to 1.00. If we were required to distribute a portion of our excess cash flows to our lenders, we may be limited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in our ability to grow our business through acquisitions or investments in technology and we may be limited in our ability to repurchase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cannot assure you that we will maintain debt to EBITDA ratios at levels that will not require us to distribute a portion of our excess cash flows to lenders.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grow is affected by our ability to retain and expand our existing client relationships and our ability to attract new customers.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or improve the compliance and quality of services we provide to our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leverage our existing client relationships to sell additional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other servicers and non-distressed home sellers as new customers.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efforts to retain and expand our client relationships and to attract new customers do not prove effective, it could have a materially adverse effect on our business and results of operations and our ability to grow our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ability to expand existing relationships and attract new customers is also affected by broader economic factors and the strength of the overall housing market, which can reduce demand for our services and increase competition for each customer’s business. See </w:t>
      </w:r>
      <w:r>
        <w:rPr>
          <w:rFonts w:ascii="Arial" w:cs="Arial" w:eastAsia="Arial" w:hAnsi="Arial"/>
          <w:sz w:val="18"/>
          <w:szCs w:val="18"/>
          <w:i w:val="1"/>
          <w:iCs w:val="1"/>
          <w:color w:val="auto"/>
        </w:rPr>
        <w:t>“The strength of the economy and the housing</w:t>
      </w:r>
      <w:r>
        <w:rPr>
          <w:rFonts w:ascii="Arial" w:cs="Arial" w:eastAsia="Arial" w:hAnsi="Arial"/>
          <w:sz w:val="18"/>
          <w:szCs w:val="18"/>
          <w:color w:val="auto"/>
        </w:rPr>
        <w:t xml:space="preserve"> </w:t>
      </w:r>
      <w:r>
        <w:rPr>
          <w:rFonts w:ascii="Arial" w:cs="Arial" w:eastAsia="Arial" w:hAnsi="Arial"/>
          <w:sz w:val="18"/>
          <w:szCs w:val="18"/>
          <w:i w:val="1"/>
          <w:iCs w:val="1"/>
          <w:color w:val="auto"/>
        </w:rPr>
        <w:t>market can affect demand for our services.”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If we do not adapt our services to changes in technology or in the marketplace, or if our ongoing efforts to upgrade our technology and particularly our efforts to complete development of our technology are not successful, we could lose customers and have difficulty attracting new customers for our services.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markets for our services are characterized by constant technological change, frequent introduction of new services and evolving industry standards. We are currently in the process of developing and introducing our technology.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services that meet these changing demands or completing the development of our technology.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 and our ability to grow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dependent on the trend towards outsourcing.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is dependent on the industry trend towards outsourced services. There can be no assurance this trend will continue as organizations may elect to perform such services themselves or may be prevented from outsourcing services. A significant change in this trend could have a materially adverse effect on our continued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we acquired Mortgage Builder and Owners.com. During 2013, we acquired fee-based businesses from Ocwen and acquired Equator. We intend to continue to consider acquisitions of other businesses that could complement our business. In addition to considering acquisitions that could offer us greater access in our current markets, we also consider acquisitions of entities offering greater access and expertise in other asset types and markets that are related to ours but we do not currently serve.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we acquire businesses, we may face a number of risks including a loss of focus on our daily operations, the need for additional management, constraints on operating resources, constraints on financial resources from integration and system conversion costs, the inability to maintain key pre-acquisition relationships with customers, suppliers and employees and other integration risks. Any acquisition may result in the incurrence of additional amortization expense of related intangible assets, which could reduce our profitability. Our ability to pursue additional acquisitions in the future is dependent on our access to sufficient capital (equity or debt) to fund the acquisition and subsequent integration. We may not be able to secure adequate capital as needed on terms that are acceptable to us, or at all, and our ability to secure such capital through debt financing is limited by our current debt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reduced our operating expenses by utilizing lower cost labor in foreign countries such as India and the Philippines. As of December 31, 2014, 7,207 of our employees were based in India and the Philippines. These countries are subject to relatively higher degrees of political and social instability and may lack the infrastructure to withstand political unrest or natural disasters. Such disruptions can decrease efficiency and increase our costs in these countries. Weakness of the United States dollar in relation to the currencies used in these foreign countries may also reduce the savings achievable through this strategy. Furthermore, the practice of utilizing labor based in foreign countries has come under increased scrutiny in the United States and, as a result, some of our customers may require us to use labor based in the United States. We may not be able to pass on the increased costs of higher-priced United States-based labor to our customers, which ultimately could have an adverse effect on our results of operations.</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corrupting payments by our employees, vendors and agents. Any violation of the applicable anti-corruption laws or regulations by us, our subsidiaries or our local agents, could have an adverse effect on our business and reputation and result in substantial financial penalties or other sanctions.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political or economic instability in these countries could result in our having to replace or reduce these labor sources, which may increase our labor costs and have an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enforce judgments against it or its directors and executive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of the United States. It may be difficult for investors to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significant change of the Luxembourg tax regime or of its interpretation by the Luxembourg tax authorities could adversely affect our results of operations.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organized under the laws of, and headquartered in, Luxembourg. As a result, Altisource has a lower effective tax rate than some of its competitors. It is possible that changes in Luxembourg’s administrative taxation practices or applicable regulations may cause an increase in our effective tax rate, which could result in an adverse effect on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key personnel.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is dependent on the efforts and abilities of our directors, executive officers and other key employees, many of whom have significant experience in the real estate and mortgage, financial services and technology industries. In particular, we are dependent on the services of our Board of Directors and key executives at our corporate headquarters and personnel at each of our segments. The loss of the services of any of these directors, executives or key personnel, for any reason, could have a materially adverse effect upon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and software professionals conversant in certain technologies may exceed supply as new and additional skills are required to keep pace with evolving computer technology. Our ability to locate and train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is critical to achieving our growth objective. Our inability to attract and retain skilled employees or an increase in wages or other costs of attracting, training or retaining skilled employees could have a materially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Residential, AAMC, HLSS and certain members of our management, which may be resolved in a manner adverse to us.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significant business relationships with and provide services to Ocwen and Residential. We also provide certain services to AAMC and HLSS. Ocwen, Residential, AAMC and HLSS have been related parties of Altisource. Our former Chairman, William C. Erbey, who stepped down from the Altisource, Ocwen, Residential, AAMC and HLSS Boards of Directors effective January 16, 2015, owns or controls common stock in each of these companies. As of December 31, 2014, Mr. Erbey owned or controlled approximately 29% of the common stock of Altisource, approximately 14% of the common stock of Ocwen, approximately 4% of the common stock of Residential, approximately 28% of the common stock of AAMC and approximately 1% of the common stock of HLSS. Additionally, certain members of our management have equity interests in Ocwen, Residential, AAMC and/or HLSS. Such ownership interests could create, or appear to create, conflicts of interest with respect to matters potentially or actually involving or affecting us and Ocwen, Residential, AAMC and HLSS, as the case may be.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follow policies, procedures and practices to avoid potential conflicts with respect to our dealings with Ocwen, Residential, AAMC and HLSS. We also manage potential conflicts of interest through oversight by independent members of our Board of Directors (independent directors constitute a majority of our Board of Directors and our current Chairman is an independent director), and we will also seek to manage these potential conflicts through dispute resolution and other provisions of our agreements with Ocwen, Residential, AAMC and HLSS. There can be no assurance that such measures will be effective, that we will be able to resolve all conflicts with Ocwen, Residential, AAMC or HLSS or that the resolution of any such conflicts will be no less favorable to us than if we were dealing with a third party that had none of the connections we have with these businesses.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2014 and the segments primarily occupying each location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Mortgage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Financial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 and Support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United States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Atlanta, GA</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Boston, MA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Coppell, TX</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Endicott, NY</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Fort Washington, PA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Irvine, CA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Los Angeles,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Plano, TX</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Sacramento,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Seattle, WA</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Southfield, MI</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 Louis, MO</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Tempe, AZ</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Pasay City, Philippines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India</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Bangalore</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Goa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Mumbai</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We consider these facilities to be suitable and adequate for the management and operations of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 Altisource is unable to predict the outcome of this lawsuit or reasonably estimate the potential loss, if any, arising from the suit, given that motions to dismiss have not yet been filed or adjudicated, discovery has not commenced and significant legal and factual issues remain to be determined.</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For further information, see Note 22 to the consolidated financial statements.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ind w:left="740" w:right="520" w:hanging="715"/>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988"/>
              <w:spacing w:after="0"/>
              <w:rPr>
                <w:sz w:val="20"/>
                <w:szCs w:val="20"/>
                <w:color w:val="auto"/>
              </w:rPr>
            </w:pPr>
            <w:r>
              <w:rPr>
                <w:rFonts w:ascii="Arial" w:cs="Arial" w:eastAsia="Arial" w:hAnsi="Arial"/>
                <w:sz w:val="14"/>
                <w:szCs w:val="14"/>
                <w:b w:val="1"/>
                <w:bCs w:val="1"/>
                <w:color w:val="auto"/>
              </w:rPr>
              <w:t>2014</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22"/>
                <w:szCs w:val="22"/>
                <w:color w:val="auto"/>
              </w:rPr>
            </w:pPr>
          </w:p>
        </w:tc>
        <w:tc>
          <w:tcPr>
            <w:tcW w:w="16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Low</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High</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1380" w:type="dxa"/>
            <w:vAlign w:val="bottom"/>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164.48</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642"/>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89"/>
              </w:rPr>
              <w:t>2013</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Low</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vMerge w:val="restart"/>
          </w:tcPr>
          <w:p>
            <w:pPr>
              <w:jc w:val="right"/>
              <w:ind w:right="832"/>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55"/>
        </w:trPr>
        <w:tc>
          <w:tcPr>
            <w:tcW w:w="6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138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7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170.19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20, 2015 was 65. The number of beneficial shareholders is substantially greater than the number of holders as a large portion of our common stock is held through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never declared or paid cash dividends on our common stock and we do not anticipate paying any cash dividends in the foreseeable future. The provisions of our senior secured term loan agreement, as amended, limit, among other things, our ability to pay dividends. Luxembourg law also limits our ability to pay dividends, including statutory reporting requirements and dividend amount limitations based on annual net income and net income carried forward, less any amounts placed in reserve.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graph below compares the cumulative total stockholder return on our common stock with the cumulative total return on the S&amp;P 500 Index for the five year period ending on December 31, 2014. The graph assumes an investment of $100 at the beginning of this period and does not include the effects of the post-distribution values of Residential and AAMC, which were distributed to Altisource shareholders in December 2012.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118110</wp:posOffset>
            </wp:positionV>
            <wp:extent cx="5831840"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18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12/31/09</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6/30/10</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12/31/10</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6/30/11</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12/31/11</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6/30/12</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12/31/12</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6/30/13</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12/31/13</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12/31/14</w:t>
            </w:r>
          </w:p>
        </w:tc>
      </w:tr>
      <w:tr>
        <w:trPr>
          <w:trHeight w:val="324"/>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Altisource</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100.00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  117.87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136.78</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  175.32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  239.07</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5"/>
              </w:rPr>
              <w:t>$  348.88</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5"/>
              </w:rPr>
              <w:t>$  412.82</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8"/>
              </w:rPr>
              <w:t>$  449.26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5"/>
              </w:rPr>
              <w:t>$  755.74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5"/>
              </w:rPr>
              <w:t>$  545.88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5"/>
              </w:rPr>
              <w:t>$  160.98</w:t>
            </w:r>
          </w:p>
        </w:tc>
      </w:tr>
      <w:tr>
        <w:trPr>
          <w:trHeight w:val="264"/>
        </w:trPr>
        <w:tc>
          <w:tcPr>
            <w:tcW w:w="1480" w:type="dxa"/>
            <w:vAlign w:val="bottom"/>
          </w:tcPr>
          <w:p>
            <w:pPr>
              <w:ind w:left="20"/>
              <w:spacing w:after="0"/>
              <w:rPr>
                <w:sz w:val="20"/>
                <w:szCs w:val="20"/>
                <w:color w:val="auto"/>
              </w:rPr>
            </w:pPr>
            <w:r>
              <w:rPr>
                <w:rFonts w:ascii="Arial" w:cs="Arial" w:eastAsia="Arial" w:hAnsi="Arial"/>
                <w:sz w:val="14"/>
                <w:szCs w:val="14"/>
                <w:color w:val="auto"/>
              </w:rPr>
              <w:t>S&amp;P 500</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92.43</w:t>
            </w:r>
          </w:p>
        </w:tc>
        <w:tc>
          <w:tcPr>
            <w:tcW w:w="12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112.78</w:t>
            </w:r>
          </w:p>
        </w:tc>
        <w:tc>
          <w:tcPr>
            <w:tcW w:w="1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118.43</w:t>
            </w:r>
          </w:p>
        </w:tc>
        <w:tc>
          <w:tcPr>
            <w:tcW w:w="1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112.78</w:t>
            </w:r>
          </w:p>
        </w:tc>
        <w:tc>
          <w:tcPr>
            <w:tcW w:w="12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122.16</w:t>
            </w:r>
          </w:p>
        </w:tc>
        <w:tc>
          <w:tcPr>
            <w:tcW w:w="12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127.90</w:t>
            </w:r>
          </w:p>
        </w:tc>
        <w:tc>
          <w:tcPr>
            <w:tcW w:w="10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144.05</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165.76</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184.64</w:t>
            </w:r>
          </w:p>
        </w:tc>
      </w:tr>
      <w:tr>
        <w:trPr>
          <w:trHeight w:val="276"/>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Composite</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92.95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116.91</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122.23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114.81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129.35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133.07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149.98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184.06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194.27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208.71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December 31, 2014, we have purchased approximately 6.2 million shares of our common stock in the open market at an average price of $79.16 per share. We purchased 2.5 million shares of common stock at an average price of $103.67 per share during the year ended December 31, 2014 and 1.2 million shares at an average price of $116.99 per share during the year ended December 31, 2013. As of December 31, 2014, approximately 1.1 million shares of common stock remain available for repurchase under the new program. Our senior secured term loan agreement limits the amount we can spend on share repurchases in any year and may prevent repurchases in certain circumstances. As of December 31, 2014, approximately $225 million was available to repurchase our common stock under our senior secured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2"/>
                <w:szCs w:val="12"/>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w:t>
            </w:r>
          </w:p>
        </w:tc>
        <w:tc>
          <w:tcPr>
            <w:tcW w:w="3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w:t>
            </w:r>
          </w:p>
        </w:tc>
        <w:tc>
          <w:tcPr>
            <w:tcW w:w="36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Common stock:</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October 1 — 31, 2014</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475,388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475,388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1,138,338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160"/>
              <w:spacing w:after="0"/>
              <w:rPr>
                <w:sz w:val="20"/>
                <w:szCs w:val="20"/>
                <w:color w:val="auto"/>
              </w:rPr>
            </w:pPr>
            <w:r>
              <w:rPr>
                <w:rFonts w:ascii="Arial" w:cs="Arial" w:eastAsia="Arial" w:hAnsi="Arial"/>
                <w:sz w:val="18"/>
                <w:szCs w:val="18"/>
                <w:color w:val="auto"/>
              </w:rPr>
              <w:t>November 1 — 30, 2014</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1,138,338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December 1 — 31, 2014</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1,138,338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shares of common stock</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475,388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475,388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1,138,338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80" w:hanging="258"/>
        <w:spacing w:after="0"/>
        <w:tabs>
          <w:tab w:leader="none" w:pos="28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201" w:lineRule="exact"/>
        <w:rPr>
          <w:rFonts w:ascii="Arial" w:cs="Arial" w:eastAsia="Arial" w:hAnsi="Arial"/>
          <w:sz w:val="25"/>
          <w:szCs w:val="25"/>
          <w:color w:val="auto"/>
          <w:vertAlign w:val="superscript"/>
        </w:rPr>
      </w:pPr>
    </w:p>
    <w:p>
      <w:pPr>
        <w:ind w:left="280" w:hanging="258"/>
        <w:spacing w:after="0" w:line="216" w:lineRule="auto"/>
        <w:tabs>
          <w:tab w:leader="none" w:pos="28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On February 28, 2014, our shareholders approved a new stock repurchase program which replaced the previous program and authorized us to purchase up to 3.4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selected financial data as of and for the years ended December 31, 2014, 2013, 2012, 2011 and 2010 has been derived from our 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historical results presented below may not be indicative of our future performance.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92"/>
              <w:spacing w:after="0"/>
              <w:rPr>
                <w:sz w:val="20"/>
                <w:szCs w:val="20"/>
                <w:color w:val="auto"/>
              </w:rPr>
            </w:pPr>
            <w:r>
              <w:rPr>
                <w:rFonts w:ascii="Arial" w:cs="Arial" w:eastAsia="Arial" w:hAnsi="Arial"/>
                <w:sz w:val="14"/>
                <w:szCs w:val="14"/>
                <w:b w:val="1"/>
                <w:bCs w:val="1"/>
                <w:color w:val="auto"/>
                <w:w w:val="92"/>
              </w:rPr>
              <w:t>For the years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20" w:type="dxa"/>
            <w:vAlign w:val="bottom"/>
          </w:tcPr>
          <w:p>
            <w:pPr>
              <w:spacing w:after="0"/>
              <w:rPr>
                <w:sz w:val="22"/>
                <w:szCs w:val="22"/>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2010</w:t>
            </w:r>
          </w:p>
        </w:tc>
      </w:tr>
      <w:tr>
        <w:trPr>
          <w:trHeight w:val="243"/>
        </w:trPr>
        <w:tc>
          <w:tcPr>
            <w:tcW w:w="5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1,078,916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768,357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568,360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423,687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301,378</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707,180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492,480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366,201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275,849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189,059</w:t>
            </w: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202,159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147,838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112,319</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201,282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113,810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74,712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57,352</w:t>
            </w: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54,967</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923</w:t>
            </w: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 and non-controlling interests</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142,333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124,649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85,910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55,771</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r>
      <w:tr>
        <w:trPr>
          <w:trHeight w:val="237"/>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137,087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133,793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115,911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56,174</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r>
      <w:tr>
        <w:trPr>
          <w:trHeight w:val="237"/>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134,484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129,973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110,627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49,271</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304"/>
        </w:trPr>
        <w:tc>
          <w:tcPr>
            <w:tcW w:w="5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w:t>
            </w:r>
          </w:p>
        </w:tc>
      </w:tr>
      <w:tr>
        <w:trPr>
          <w:trHeight w:val="251"/>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Transactions with related parties included above: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666,800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502,087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338,227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2"/>
              </w:rPr>
              <w:t>245,262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154,988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615"/>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5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2"/>
                <w:szCs w:val="22"/>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5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2010</w:t>
            </w:r>
          </w:p>
        </w:tc>
      </w:tr>
      <w:tr>
        <w:trPr>
          <w:trHeight w:val="243"/>
        </w:trPr>
        <w:tc>
          <w:tcPr>
            <w:tcW w:w="5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22,134</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52,005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53,495</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17,493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245,246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276,162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56,586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64,950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72,428</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11,836</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Loan to Ocwen</w:t>
            </w: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224,159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197,800</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588,614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395,256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198,027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746,778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572,311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269,397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58,216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45,902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2012 through 2014, including acquisitions, are described in Item 7 of Part II,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p>
    <w:p>
      <w:pPr>
        <w:sectPr>
          <w:pgSz w:w="11900" w:h="16838" w:orient="portrait"/>
          <w:cols w:equalWidth="0" w:num="1">
            <w:col w:w="11420"/>
          </w:cols>
          <w:pgMar w:left="240" w:top="125" w:right="239" w:bottom="518"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584"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580" w:hanging="647"/>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66"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growth initiatives.</w:t>
      </w:r>
    </w:p>
    <w:p>
      <w:pPr>
        <w:spacing w:after="0" w:line="16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27, provides an analysis of our consolidated results of operations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2014.</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30, provides an analysis of each business segment for the three years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2014 as well as Corporate Items and Eliminations. In addition, we discuss significant transactions, events and trends that may affect the comparability of the results being analyzed.</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39,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We also discuss restrictions on cash movements, future commitments and capital resources.</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Critical Accounting Policies. </w:t>
      </w:r>
      <w:r>
        <w:rPr>
          <w:rFonts w:ascii="Arial" w:cs="Arial" w:eastAsia="Arial" w:hAnsi="Arial"/>
          <w:sz w:val="18"/>
          <w:szCs w:val="18"/>
          <w:color w:val="auto"/>
        </w:rPr>
        <w:t>This section, beginning on page 42, identifies those accounting principles we believe are most important to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and that require significant judgment and estimates on the part of management in application. We provide all of our significant accounting policies in Note 2 to the accompanying consolidated financial statements.</w:t>
      </w:r>
    </w:p>
    <w:p>
      <w:pPr>
        <w:spacing w:after="0" w:line="181"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45,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related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classify our businesses into three reportable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and investors and other sellers of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principally consists of our REALSuite software applications, Equator’s software applications, Mortgage Builder’s software applications and our IT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and foreclosure related activities and purchase related services from vendors. Mortgage Builder provides mortgage origination and servicing software applications.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eliminations of transactions between the reportable segments, interest expense and costs related to corporate support functions including executive, finance, legal, compliance, human resources, vendor management, risk and operational effectiveness and marketing.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have prepared our consolidated financial statements in accordance with accounting principles generally accepted in the United States of America.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Altisource provides a suite of mortgage, real estate and consumer debt services, leveraging our technology and global operations. Our relationship with Ocwen provided a foundation on which we built our business and Ocwen, as our largest customer, remains an important priority for us. Leveraging the services we have built through the Ocwen and other relationships, Altisource is focused on becoming the premier provider of real estate and mortgage marketplaces offering both distribution and content to a diversified customer base. Within the real estate and mortgage markets, we are facilitating transactions related to home sales, home rentals, home maintenance, mortgage origination and mortgage servicing.</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expect our revenue from Ocwen’s servicing portfolio will decline in 2015, we believe we have opportunities to continue to build our business from our revenue and diversification initiatives. Ocwen remains a very important component of our business and we believe that its existing non-GSE portfolio provides continuing revenue opportunities for Altisource. While we have been working on our strategic growth initiatives for some time, we have historically had to balance this activity with the need to support Ocwen during a period of its own rapid growth. Given our current expectations relative to Ocwen going forward and the recognized importance of diversifying further our customer base, we are increasing our focus on our strategic growth initiatives. Our strategic growth initiatives 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new clients to our comprehensive default related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our origination services and technologies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innovative online real estate marketplace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 our property management and renovation services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December 31, 2014, we have purchased approximately 6.2 million shares of our common stock in the open market at an average price of $79.16 per share. We purchased 2.5 million shares of common stock at an average price of $103.67 per share during the year ended December 31, 2014 and 1.2 million shares at an average price of $116.99 per share during the year ended December 31, 2013. As of December 31, 2014, approximately 1.1 million shares of common stock remain available for repurchase under the new program. Our senior secured term loan agreement limits the amount we can spend on share repurchases in any year and may prevent repurchases in certain circumstances. As of December 31, 2014, approximately $225 million was available to repurchase our common stock under our senior secured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Residential Asset Businesses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21, 2012, we completed the spin-off of Residential and AAMC to our shareholders. See “</w:t>
      </w:r>
      <w:r>
        <w:rPr>
          <w:rFonts w:ascii="Arial" w:cs="Arial" w:eastAsia="Arial" w:hAnsi="Arial"/>
          <w:sz w:val="18"/>
          <w:szCs w:val="18"/>
          <w:i w:val="1"/>
          <w:iCs w:val="1"/>
          <w:color w:val="auto"/>
        </w:rPr>
        <w:t>Separation of the Residential Asset Businesses</w:t>
      </w:r>
      <w:r>
        <w:rPr>
          <w:rFonts w:ascii="Arial" w:cs="Arial" w:eastAsia="Arial" w:hAnsi="Arial"/>
          <w:sz w:val="18"/>
          <w:szCs w:val="18"/>
          <w:color w:val="auto"/>
        </w:rPr>
        <w:t>” in Item 1 of Part I, “</w:t>
      </w: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24, 2012, the shares of Residential and AAMC were distributed to our shareholders of record as of December 17, 2012, in the form of a taxable pro rata stock distribution. Our shareholders received a pro rata distribution of:</w:t>
      </w:r>
    </w:p>
    <w:p>
      <w:pPr>
        <w:spacing w:after="0" w:line="170"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AAMC common stock for every ten shares of Altisource common stock held;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in lieu of fractional Residential and AAMC shares.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Residential is focused on acquiring and managing single family rental properties by acquiring sub-performing and non-performing residential mortgage loans as well as single family homes at or following the foreclosure sale throughout the United States. AAMC provides asset management and certain corporate governance services to Residential. We provide property management, lease management and renovation management services to Residential. Prior to the separation, we capitalized Residential with $100 million of cash and AAMC with $5 million of cash.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eliminated the assets and liabilities of Residential and AAMC from our consolidated balance sheet effective at the close of business on December 21, 2012. As Residential and AAMC were development stage companies and had not yet commenced operations at the time of separation, these entities had no historical results of operations. We do not expect any negative impact on our future operations other than interest expense on the debt we borrowed in November 2012 to capitalize these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net assets transferred by Altisource was as follows:</w:t>
      </w:r>
    </w:p>
    <w:p>
      <w:pPr>
        <w:spacing w:after="0" w:line="200" w:lineRule="exact"/>
        <w:rPr>
          <w:sz w:val="20"/>
          <w:szCs w:val="20"/>
          <w:color w:val="auto"/>
        </w:rPr>
      </w:pP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33"/>
        </w:trPr>
        <w:tc>
          <w:tcPr>
            <w:tcW w:w="4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Residential</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AAMC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6"/>
              <w:spacing w:after="0"/>
              <w:rPr>
                <w:sz w:val="20"/>
                <w:szCs w:val="20"/>
                <w:color w:val="auto"/>
              </w:rPr>
            </w:pPr>
            <w:r>
              <w:rPr>
                <w:rFonts w:ascii="Arial" w:cs="Arial" w:eastAsia="Arial" w:hAnsi="Arial"/>
                <w:sz w:val="14"/>
                <w:szCs w:val="14"/>
                <w:b w:val="1"/>
                <w:bCs w:val="1"/>
                <w:color w:val="auto"/>
              </w:rPr>
              <w:t>Total</w:t>
            </w:r>
          </w:p>
        </w:tc>
      </w:tr>
      <w:tr>
        <w:trPr>
          <w:trHeight w:val="270"/>
        </w:trPr>
        <w:tc>
          <w:tcPr>
            <w:tcW w:w="4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105,000</w:t>
            </w:r>
          </w:p>
        </w:tc>
      </w:tr>
      <w:tr>
        <w:trPr>
          <w:trHeight w:val="270"/>
        </w:trPr>
        <w:tc>
          <w:tcPr>
            <w:tcW w:w="4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in Altisource retained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105,000</w:t>
            </w:r>
          </w:p>
        </w:tc>
      </w:tr>
      <w:tr>
        <w:trPr>
          <w:trHeight w:val="27"/>
        </w:trPr>
        <w:tc>
          <w:tcPr>
            <w:tcW w:w="4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previously disclosed, during 2014 we determined that while we properly identified our related parties in previously issued financial statements, disclosures of certain immaterial related party expenses were omitted. We have corrected the previously presented disclosures of related party expenses in Note 4 - </w:t>
      </w:r>
      <w:r>
        <w:rPr>
          <w:rFonts w:ascii="Arial" w:cs="Arial" w:eastAsia="Arial" w:hAnsi="Arial"/>
          <w:sz w:val="17"/>
          <w:szCs w:val="17"/>
          <w:i w:val="1"/>
          <w:iCs w:val="1"/>
          <w:color w:val="auto"/>
        </w:rPr>
        <w:t xml:space="preserve">Transactions with Related Parties </w:t>
      </w:r>
      <w:r>
        <w:rPr>
          <w:rFonts w:ascii="Arial" w:cs="Arial" w:eastAsia="Arial" w:hAnsi="Arial"/>
          <w:sz w:val="17"/>
          <w:szCs w:val="17"/>
          <w:color w:val="auto"/>
        </w:rPr>
        <w:t>and on the face of the consolidated statements of operations for the years ended December 31, 2013 and 2012. The impact</w:t>
      </w:r>
      <w:r>
        <w:rPr>
          <w:rFonts w:ascii="Arial" w:cs="Arial" w:eastAsia="Arial" w:hAnsi="Arial"/>
          <w:sz w:val="17"/>
          <w:szCs w:val="17"/>
          <w:i w:val="1"/>
          <w:iCs w:val="1"/>
          <w:color w:val="auto"/>
        </w:rPr>
        <w:t xml:space="preserve"> </w:t>
      </w:r>
      <w:r>
        <w:rPr>
          <w:rFonts w:ascii="Arial" w:cs="Arial" w:eastAsia="Arial" w:hAnsi="Arial"/>
          <w:sz w:val="17"/>
          <w:szCs w:val="17"/>
          <w:color w:val="auto"/>
        </w:rPr>
        <w:t>of correcting these items in the notes to the consolidated financial statements had the effect of:</w:t>
      </w:r>
    </w:p>
    <w:p>
      <w:pPr>
        <w:spacing w:after="0" w:line="171"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amounts disclosed as related party cost of revenue from Ocwen by $20.0 million and $13.5 million for the years ended December 31, 2013 and 2012, respectively;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amounts disclosed as selling, general and administrative expenses (“SG&amp;A”) from Ocwen billings to Altisource by $1.7 million and $0.7 million for the years ended December 31, 2013 and 2012, respectively;</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decreasing the amounts disclosed as SG&amp;A from Altisource billings to Ocwen by $0.1 million and less than $0.1 million for the years ended December 31, 2013 and 2012, respectively; and</w:t>
      </w: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decreasing the amounts disclosed as SG&amp;A from Altisource billings to AAMC by $0.5 million for the year ended December 31, 2013 (no adjustment for the year ended December 31, 2012).</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Correcting these items on the face of the consolidated statements of operations resulted in the disclosure of related party cost of revenue of $20.0 million and $13.5 million for the years ended December 31, 2013 and 2012, respectively, and a decrease in previously disclosed related party SG&amp;A by $2.4 million and $3.0 million for the years ended December 31, 2013 and 2012, respectively.</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accordance with the Financial Accounting Standards Board’s Accounting Standards Codification (“ASC”) Topic 250, </w:t>
      </w:r>
      <w:r>
        <w:rPr>
          <w:rFonts w:ascii="Arial" w:cs="Arial" w:eastAsia="Arial" w:hAnsi="Arial"/>
          <w:sz w:val="18"/>
          <w:szCs w:val="18"/>
          <w:i w:val="1"/>
          <w:iCs w:val="1"/>
          <w:color w:val="auto"/>
        </w:rPr>
        <w:t>Accounting Changes and Error</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Corrections</w:t>
      </w:r>
      <w:r>
        <w:rPr>
          <w:rFonts w:ascii="Arial" w:cs="Arial" w:eastAsia="Arial" w:hAnsi="Arial"/>
          <w:sz w:val="18"/>
          <w:szCs w:val="18"/>
          <w:color w:val="auto"/>
        </w:rPr>
        <w:t>, the Company evaluated the effect of the disclosure and presentation errors on its previously issued annual and quarterly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both qualitatively and quantitatively, and concluded that the related party disclosures in the Company’s previously issued annual and quarterly financial statements are not materially misstated.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320"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2.2 million for the year ended December 31, 2014 compared to 1.2 million and 0.7 million for the years ended December 31, 2013 and 2012, respectively. The average number of delinquent non-GSE loans serviced by Ocwen on REALServicing was 352 thousand for the year ended December 31, 2014 compared to 296 thousand and 211 thousand for the years ended December 31, 2013 and 2012, respectively;</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21, 2014, we acquired Owners.com, a leading self-directed online real estate marketplace, for an initial purchase price of $19.8 million plus contingent earn out consideration of up to an additional $7.0 million over two years, subject to Owners.com achieving annual performance targets;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fourth quarter of 2014, we discontinued our lender placed insurance brokerage line of business;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12, 2014, we completed the acquisition of Mortgage Builder, a provider of mortgage loan origination and servicing software systems, for an initial purchase price of $15.7 million plus contingent earn out consideration of up to an additional $7.0 million over three years, subject to Mortgage Builder achieving annual performance targets;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Bad debt expense increased during 2014, driven primarily from the default management services business. A change in our customers’ business model and fourth quarter 2014 discussions with these customers led us to believe that a portion of the accounts receivable balance is no longer collectible;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15, 2013, we acquired Equator for an initial purchase price of $63.4 million plus contingent earn out consideration of up to an additional $80 million over three years, subject to Equator achieving annual performance targets. During 2014, the fair value of the Equator contingent consideration was reduced by $37.9 million with a corresponding increase in earnings. As a result of the adjustment in the fair value of the Equator contingent consideration, we determined that the Equator goodwill was impaired and recorded an estimated impairment loss of $37.5 million in 2014. The net impact on earnings was an increase of $0.5 million;</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12, 2013, we completed the Residential Capital, LLC (“ResCap”) fee-based business transaction with Ocwen for an aggregate purchase price of $128.8 million;</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Residential Capital, Inc. (“Homeward”) fee-based businesses from Ocwen for an aggregate purchase price of $75.8 million; and</w:t>
      </w: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and increased our borrowings to $400.0 million on May 7, 2013. On December 9, 2013, we refinanced the senior secured term loan which included, among other changes, lowering the interest rate of the term loans. On August 1, 2014, we amended our senior secured term loan agreement and increased our borrowings by $200.0 million to $594.5 million. Interest expense totaled $23.4 million for the year ended December 31, 2014 compared to $20.3 million and $1.2 million for the years ended December 31, 2013 and 2012,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years ended December 31, 2014, 2013 and 2012.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4"/>
                <w:szCs w:val="1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650,026</w:t>
            </w: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490,333</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351,908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98,312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92,479</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63,979</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230,367</w:t>
            </w: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103,891</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74,189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(24,644)</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(23,147)</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938,679</w:t>
            </w:r>
          </w:p>
        </w:tc>
        <w:tc>
          <w:tcPr>
            <w:tcW w:w="120" w:type="dxa"/>
            <w:vAlign w:val="bottom"/>
            <w:tcBorders>
              <w:top w:val="single" w:sz="8" w:color="auto"/>
            </w:tcBorders>
          </w:tcPr>
          <w:p>
            <w:pPr>
              <w:spacing w:after="0"/>
              <w:rPr>
                <w:sz w:val="20"/>
                <w:szCs w:val="20"/>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662,059</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466,929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137,634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102,478</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96,147</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3,820</w:t>
            </w:r>
          </w:p>
        </w:tc>
        <w:tc>
          <w:tcPr>
            <w:tcW w:w="1440" w:type="dxa"/>
            <w:vAlign w:val="bottom"/>
            <w:gridSpan w:val="2"/>
          </w:tcPr>
          <w:p>
            <w:pPr>
              <w:jc w:val="right"/>
              <w:ind w:right="99"/>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1,078,916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768,357</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568,360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707,180</w:t>
            </w: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492,480</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366,201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371,736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275,877</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202,159</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201,282</w:t>
            </w: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113,810</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170,454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162,067</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127,447</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557</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147,265</w:t>
            </w: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142,333</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124,649</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137,087</w:t>
            </w:r>
          </w:p>
        </w:tc>
        <w:tc>
          <w:tcPr>
            <w:tcW w:w="120" w:type="dxa"/>
            <w:vAlign w:val="bottom"/>
            <w:tcBorders>
              <w:top w:val="single" w:sz="8" w:color="auto"/>
            </w:tcBorders>
          </w:tcPr>
          <w:p>
            <w:pPr>
              <w:spacing w:after="0"/>
              <w:rPr>
                <w:sz w:val="20"/>
                <w:szCs w:val="20"/>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133,793</w:t>
            </w:r>
          </w:p>
        </w:tc>
        <w:tc>
          <w:tcPr>
            <w:tcW w:w="1440" w:type="dxa"/>
            <w:vAlign w:val="bottom"/>
            <w:gridSpan w:val="2"/>
          </w:tcPr>
          <w:p>
            <w:pPr>
              <w:jc w:val="right"/>
              <w:ind w:right="15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(3,820)</w:t>
            </w:r>
          </w:p>
        </w:tc>
        <w:tc>
          <w:tcPr>
            <w:tcW w:w="14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134,484</w:t>
            </w: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129,973</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110,627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5.63</w:t>
            </w:r>
          </w:p>
        </w:tc>
        <w:tc>
          <w:tcPr>
            <w:tcW w:w="144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5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5.19</w:t>
            </w:r>
          </w:p>
        </w:tc>
        <w:tc>
          <w:tcPr>
            <w:tcW w:w="1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recognized service revenue of $938.7 million, $662.1 million and $466.9 million for the years ended December 31, 2014, 2013 and 2012, respectively. The continued growth in service revenue over the three year period was primarily driven by Ocwen’s growth, higher auction mix for houses sold on Hubzu, revenue from Equator which we acquired in November 2013 and growth in our Financial Services business from new customer relationship management customers. These increases were partially offset by (1) a decline in the default management services business driven by lower levels of foreclosure starts and</w:t>
      </w:r>
    </w:p>
    <w:p>
      <w:pPr>
        <w:spacing w:after="0" w:line="2" w:lineRule="exact"/>
        <w:rPr>
          <w:sz w:val="20"/>
          <w:szCs w:val="20"/>
          <w:color w:val="auto"/>
        </w:rPr>
      </w:pPr>
    </w:p>
    <w:p>
      <w:pPr>
        <w:ind w:firstLine="8"/>
        <w:spacing w:after="0" w:line="261" w:lineRule="auto"/>
        <w:tabs>
          <w:tab w:leader="none" w:pos="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fourth quarter of 2013 loss of an origination management services customer which eliminated its affinity relationship with Altisource and its other similar vendor partners.</w:t>
      </w:r>
    </w:p>
    <w:p>
      <w:pPr>
        <w:sectPr>
          <w:pgSz w:w="11900" w:h="16838" w:orient="portrait"/>
          <w:cols w:equalWidth="0" w:num="1">
            <w:col w:w="11420"/>
          </w:cols>
          <w:pgMar w:left="240" w:top="125" w:right="239" w:bottom="1081"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081"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revenue from reimbursable expenses during the three year period is due primarily to the growth of Ocwen’s loan servicing portfolio, although reimbursable expenses can vary significantly from period to period based on the mix of services ordered.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highest during spring and summer months. Financial Services’ asset recovery management revenue tends to be higher in the first quarter, as borrowers may utilize tax refunds and bonuses to pay debts, and generally declines throughout the rest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cost of revenue of $707.2 million, $492.5 million and $366.2 million for the years ended December 31, 2014, 2013 and 2012, respectively. The increase in cost of revenue during the three year period is primarily attributable to revenue growth during the same period and the increased investment in the development of our technology. However, our 2014 cost structure is not in line with our current vision and expected growth. Recognizing that our business with Ocwen is not expected to grow in the near term due to challenges faced by Ocwen, we developed and are executing on a plan that includes eliminating certain non-revenue generating businesses, reducing vendor costs and eliminating staff to realign our expenses for this new reality.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Gross profit increased to $371.7 million, representing 40% of service revenue, for the year ended December 31, 2014 compared to $275.9 million, representing 42% of service revenue, for the year ended December 31, 2013 and $202.2 million, representing 43% of service revenue, for the year ended December 31, 2012. Gross profit as a percentage of service revenue declined in 2014 from a shift in revenue across segments with higher growth in the lower margin Technology Services segment. Margin expansion in the Mortgage Services segment was partially offset by margin decreases in the other segments. In the Mortgage Services segment, we expanded our gross profit margin by fully utilizing employees that we were carrying in 2013 in anticipation of new business and performing certain services with our employees that were previously performed by outside vendors. In the Financial Services segment, the gross profit margin decline was driven by revenue mix as the higher margin mortgage charge-off collections business represented a lower percentage of revenue in the Financial Services segment in 2014. In the Technology Services segment, gross profit margin decreased primarily due to our continued investment in our technology to support our growth, partially offset by higher gross profit margin in the Equator business. In 2013, we experienced higher growth in the lower margin property inspection and preservation services from the initial referrals from the Homeward and ResCap portfolios and higher costs in our Technology Services segment due to investing in the development of our technology to support our growth initiatives, partially offset by improved performance in our Financial Services segment from the growth of higher margin mortgage charge-off and customer relationship management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SG&amp;A includes payroll for personnel employed in executive, finance, legal, compliance, human resources, vendor management, risk and operational effectiveness and marketing roles. This category also includes occupancy costs, professional fees and depreciation and amortization of intangible assets.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SG&amp;A of $201.3 million, $113.8 million and $74.7 million for the years ended December 31, 2014, 2013 and 2012, respectively. The increase in SG&amp;A during the three year period was primarily driven by higher marketing costs primarily related to Hubzu and increased amortization of intangible assets primarily from the Homeward, ResCap and Equator acquisitions which closed on March 29, 2013, April 12, 2013 and November 15, 2013, respectively. Marketing costs were $24.1 million, $5.0 million and $2.5 million for the years ended December 31, 2014, 2013 and 2012, respectively. Amortization expense was $37.7 million, $28.2 million and $5.0 million for the years ended December 31, 2014, 2013 and 2012, respectively. SG&amp;A also increased from higher compensation expense and related employee and occupancy costs from increased headcount to support growth and higher legal and compliance related costs. Bad debt expense increased for the year ended December 31, 2014 by $13.7 million, driven primarily from the default management services business. A change in our customers’ business model and fourth quarter 2014 discussions with these customers led us to believe that a portion of the accounts receivable balance is no longer collectible.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liability for contingent consideration is reflected at fair value and adjusted each reporting period with the change in fair value recognized in earnings. During 2014, the fair value of the contingent consideration related to the Equator acquisition was reduced by $37.9 million with a corresponding increase in earnings based on management’s revised estimates that expected earnings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Equator will be lower than projected at the time of acquisition. As a result of the adjustment in the fair value of the Equator contingent consideration and based on our goodwill assessment, we determined that the Equator goodwill was impaired and recorded an impairment loss of $37.5 million for the year ended December 31,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of the change in the fair value of the Equator contingent consideration (“Equator Earn Out”) and Equator goodwill impairment for the year ended December 31, 2014 and are included in SG&amp;A in the consolidated statements of operations: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0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9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926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9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2014 cost structure is not in line with our current vision and expected growth. Recognizing that our business with Ocwen is not expected to grow in the near term due to challenges faced by Ocwen, we developed and are executing on a plan that includes reducing vendor costs and eliminating staff to realign our expenses for this new reality.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from operations increased to $170.5 million, representing 18% of service revenue, for the year ended December 31, 2014 compared to $162.1 million, representing 24% of service revenue, for the year ended December 31, 2013 and $127.4 million, representing 27% of service revenue, for the year ended December 31, 2012. The decrease in operating income margin is primarily driven by higher growth in lower margin services, the timing of investments in new services, the timing of boarding new loans, higher Hubzu marketing costs, increases in the amortization of intangible assets recorded in connection with the Homeward, ResCap and Equator acquisitions and the other increases in SG&amp;A, as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principally includes interest expense and interest income. Interest expense for the year ended December 31, 2014 was $23.4 million, an increase of $3.1 million compared to the year ended December 31, 2013 resulting from the additional $200.0 million senior secured term loan borrowings on August 1, 2014 and the additional $200.0 million senior secured term loan borrowings on May 7, 2013, partially offset by lower interest rates from the senior secured term loan refinancing on December 9, 2013. Interest expense for the year ended December 31, 2013 was $20.3 million, an increase of $19.1 million compared to the year ended December 31, 2012 resulting from the initial senior secured loan borrowing in the fourth quarter of 2012 and the additional $200.0 million senior secured term loan borrowings on May 7, 2013. We recognized interest income of $0.1 million for the year ended December 31, 2014. Additionally, we recognized interest income of $0.9 million and $0.2 million for the years ended December 31, 2013 and 2012, respectively, primarily from a $75.0 million loan to Ocwen, which was repaid in February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an income tax provision of $10.2 million, $8.5 million and $8.7 million for the years ended December 31, 2014, 2013 and 2012, respectively. Our effective tax rate was 6.9%, 6.0% and 7.0% for the years ended December 31, 2014, 2013 and 2012, respectively. The effective tax rate in all three periods differs from the Luxembourg statutory tax rate (29.2% in 2014, 29.2% in 2013 and 28.8% in 2012) primarily due to the effect of certain deductions in Luxembourg from a tax ruling, which expires in 2019 unless extended or renewed, and the mix of income and losses with varying tax rates in multiple taxing jurisdictions.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section provides a discussion of results of operations of our business segments. Transactions between segments are accounted for as third party arrangements for purposes of presenting segment results of operations. Intercompany transactions primarily consist of IT infrastructure services. We reflect these as service revenue in the Technology Services segment and technology and telecommunications expense within cost of revenue and SG&amp;A in the segment receiving the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650,026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98,312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230,367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938,679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137,634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790,076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230,367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1,078,916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484,512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64,338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194,301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305,564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371,736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94,678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18,791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31,950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55,863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201,282</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210,886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170,454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6"/>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211,090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15,432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544,255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35,565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38,610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490,333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92,479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103,891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662,059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101,999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3,820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596,152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92,958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768,357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374,713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55,328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84,538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492,480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221,439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37,630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275,877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46,515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15,571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113,810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174,924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162,067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6"/>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174,788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22,049</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6,918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142,333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423,969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27,591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502,087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19,049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2012</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Financial</w:t>
            </w:r>
          </w:p>
        </w:tc>
        <w:tc>
          <w:tcPr>
            <w:tcW w:w="22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351,908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63,979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74,189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466,929</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95,604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96,147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5,284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452,796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64,522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568,360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285,586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46,737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54,634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366,201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167,210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202,159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25,099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13,415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142,111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127,447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6"/>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140,398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4,343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10,642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124,649</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306,774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338,227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13,330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368"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356,433</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197,999</w:t>
            </w:r>
          </w:p>
        </w:tc>
        <w:tc>
          <w:tcPr>
            <w:tcW w:w="1440" w:type="dxa"/>
            <w:vAlign w:val="bottom"/>
            <w:gridSpan w:val="2"/>
          </w:tcPr>
          <w:p>
            <w:pPr>
              <w:jc w:val="right"/>
              <w:ind w:right="137"/>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107,480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154,830</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119,835</w:t>
            </w:r>
          </w:p>
        </w:tc>
        <w:tc>
          <w:tcPr>
            <w:tcW w:w="1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85,601</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101,173</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103,300</w:t>
            </w:r>
          </w:p>
        </w:tc>
        <w:tc>
          <w:tcPr>
            <w:tcW w:w="1440" w:type="dxa"/>
            <w:vAlign w:val="bottom"/>
            <w:gridSpan w:val="2"/>
          </w:tcPr>
          <w:p>
            <w:pPr>
              <w:jc w:val="right"/>
              <w:ind w:right="13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80,322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22,728</w:t>
            </w:r>
          </w:p>
        </w:tc>
        <w:tc>
          <w:tcPr>
            <w:tcW w:w="1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41,812</w:t>
            </w:r>
          </w:p>
        </w:tc>
        <w:tc>
          <w:tcPr>
            <w:tcW w:w="144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50,224</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14,862</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27,387</w:t>
            </w:r>
          </w:p>
        </w:tc>
        <w:tc>
          <w:tcPr>
            <w:tcW w:w="1440" w:type="dxa"/>
            <w:vAlign w:val="bottom"/>
            <w:gridSpan w:val="2"/>
          </w:tcPr>
          <w:p>
            <w:pPr>
              <w:jc w:val="right"/>
              <w:ind w:right="7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28,281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650,026</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490,333</w:t>
            </w:r>
          </w:p>
        </w:tc>
        <w:tc>
          <w:tcPr>
            <w:tcW w:w="1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351,908</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130,864</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96,944</w:t>
            </w:r>
          </w:p>
        </w:tc>
        <w:tc>
          <w:tcPr>
            <w:tcW w:w="1440" w:type="dxa"/>
            <w:vAlign w:val="bottom"/>
            <w:gridSpan w:val="2"/>
          </w:tcPr>
          <w:p>
            <w:pPr>
              <w:jc w:val="right"/>
              <w:ind w:right="13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92,992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4,408</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w:t>
            </w:r>
          </w:p>
        </w:tc>
        <w:tc>
          <w:tcPr>
            <w:tcW w:w="144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137,447</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101,999</w:t>
            </w:r>
          </w:p>
        </w:tc>
        <w:tc>
          <w:tcPr>
            <w:tcW w:w="1440" w:type="dxa"/>
            <w:vAlign w:val="bottom"/>
            <w:gridSpan w:val="2"/>
          </w:tcPr>
          <w:p>
            <w:pPr>
              <w:jc w:val="right"/>
              <w:ind w:right="13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2,603</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3,820</w:t>
            </w:r>
          </w:p>
        </w:tc>
        <w:tc>
          <w:tcPr>
            <w:tcW w:w="1440" w:type="dxa"/>
            <w:vAlign w:val="bottom"/>
            <w:gridSpan w:val="2"/>
          </w:tcPr>
          <w:p>
            <w:pPr>
              <w:jc w:val="right"/>
              <w:ind w:right="7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790,076</w:t>
            </w:r>
          </w:p>
        </w:tc>
        <w:tc>
          <w:tcPr>
            <w:tcW w:w="1360" w:type="dxa"/>
            <w:vAlign w:val="bottom"/>
            <w:tcBorders>
              <w:bottom w:val="single" w:sz="8" w:color="CCEEFF"/>
            </w:tcBorders>
            <w:gridSpan w:val="2"/>
          </w:tcPr>
          <w:p>
            <w:pPr>
              <w:jc w:val="right"/>
              <w:ind w:right="148"/>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596,152</w:t>
            </w:r>
          </w:p>
        </w:tc>
        <w:tc>
          <w:tcPr>
            <w:tcW w:w="1440" w:type="dxa"/>
            <w:vAlign w:val="bottom"/>
            <w:tcBorders>
              <w:bottom w:val="single" w:sz="8" w:color="CCEEFF"/>
            </w:tcBorders>
            <w:gridSpan w:val="2"/>
          </w:tcPr>
          <w:p>
            <w:pPr>
              <w:jc w:val="right"/>
              <w:ind w:right="137"/>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452,796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Revenue from related parties: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374,495</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264,350</w:t>
            </w:r>
          </w:p>
        </w:tc>
        <w:tc>
          <w:tcPr>
            <w:tcW w:w="1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181,948</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Pr>
          <w:p>
            <w:pPr>
              <w:spacing w:after="0"/>
              <w:rPr>
                <w:sz w:val="21"/>
                <w:szCs w:val="21"/>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8"/>
                <w:szCs w:val="18"/>
                <w:color w:val="auto"/>
              </w:rPr>
              <w:t>54,979</w:t>
            </w:r>
          </w:p>
        </w:tc>
        <w:tc>
          <w:tcPr>
            <w:tcW w:w="136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42,483</w:t>
            </w:r>
          </w:p>
        </w:tc>
        <w:tc>
          <w:tcPr>
            <w:tcW w:w="1440" w:type="dxa"/>
            <w:vAlign w:val="bottom"/>
            <w:gridSpan w:val="2"/>
            <w:vMerge w:val="restart"/>
          </w:tcPr>
          <w:p>
            <w:pPr>
              <w:jc w:val="right"/>
              <w:ind w:right="13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37,849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97,448</w:t>
            </w:r>
          </w:p>
        </w:tc>
        <w:tc>
          <w:tcPr>
            <w:tcW w:w="136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98,959</w:t>
            </w:r>
          </w:p>
        </w:tc>
        <w:tc>
          <w:tcPr>
            <w:tcW w:w="1440" w:type="dxa"/>
            <w:vAlign w:val="bottom"/>
            <w:gridSpan w:val="2"/>
            <w:vMerge w:val="restart"/>
            <w:shd w:val="clear" w:color="auto" w:fill="CCEEFF"/>
          </w:tcPr>
          <w:p>
            <w:pPr>
              <w:jc w:val="right"/>
              <w:ind w:right="137"/>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73,406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4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15,339</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16,452</w:t>
            </w:r>
          </w:p>
        </w:tc>
        <w:tc>
          <w:tcPr>
            <w:tcW w:w="1440" w:type="dxa"/>
            <w:vAlign w:val="bottom"/>
            <w:gridSpan w:val="2"/>
          </w:tcPr>
          <w:p>
            <w:pPr>
              <w:jc w:val="right"/>
              <w:ind w:right="13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 from related parties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544,255</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423,969</w:t>
            </w:r>
          </w:p>
        </w:tc>
        <w:tc>
          <w:tcPr>
            <w:tcW w:w="1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306,774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$650.0 million for the year ended December 31, 2014, a 33% increase compared to the year ended December 31, 2013. The growth in asset management services and insurance services was primarily due to Ocwen’s growth as loans from its servicing acquisitions are boarded on REALServicing. The growth in asset management services is also from the higher auction mix of houses sold on Hubzu. Growth in the insurance services business was partially offset by the discontinuation of the lender placed insurance brokerage line of business in the fourth quarter of 2014. The decline in default management services revenue was driven primarily by lower levels of foreclosure starts. The lower origination management services revenue was primarily due to the loss of a customer in the fourth quarter of 2013 who eliminated its affinity relationship with Altisource and its other similar vendor partners along with a close to 40% decline in U.S. origination volume.</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recognized service revenue of $490.3 million for the year ended December 31, 2013, a 39% increase compared to the year ended December 31, 2012. This growth in all of the business lines, except default management services and origination management services, was driven by Ocwen’s growth as loans from its servicing platform acquisitions were boarded on REALServicing. During 2013, we assisted Ocwen with the boarding of 1.1 million loans onto REALServicing from Ocwen’s acquisitions of Homeward and ResCap’s platforms and OneWest Bank FSB’s servicing rights. The lower margin property inspection and preservation services, which immediately follow loan boarding, were a significant driver of the 84% growth in asset management service revenue. Asset management service revenue also increased from new services introduced in 2013, from expanding the percentage of homes sold through auction on Hubzu and from capturing referrals for certain services before the loans were boarded on REALServicing. Growth in the insurance services and residential property valuation businesses also reflected Ocwen’s larger loan portfolio, but did not reflect the normalized referral volume we expected from the new portfolios. Default management services revenue was lower as one of Ocwen’s subservicing customers continued its temporary moratorium on the foreclosure of its loans, the requirements under the “Making Homes Affordable” program limit servicers’ ability to initiate a foreclosure while pursuing other avenues of resolution and a greater percentage of loans pending foreclosure actions were being placed on hold for modification consideration</w:t>
      </w:r>
    </w:p>
    <w:p>
      <w:pPr>
        <w:sectPr>
          <w:pgSz w:w="11900" w:h="16838" w:orient="portrait"/>
          <w:cols w:equalWidth="0" w:num="1">
            <w:col w:w="11420"/>
          </w:cols>
          <w:pgMar w:left="240" w:top="125" w:right="239" w:bottom="393"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393"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stopped due to modification. Origination management service revenue only declined 3% in 2013 over 2012, despite the estimated 14% decline in overall U.S. origination volume.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are generally lowest during the fall and winter months and highest during the spring and summer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76,125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64,644</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238,195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187,139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137,447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101,999</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30,305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19,150</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18,509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1,781</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484,512</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374,713</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285,586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2014 of $484.5 million increased by 29% compared to the year ended December 31, 2013, primarily driven by the growth of Ocwen's loan servicing portfolio on REALServicing. The overall increase in cost of revenue was consistent with the increase in service revenue. However, compensation and benefits cost and outside fees and services expense as a percentage of service revenue decreased as we experienced the benefit of our workforce efficiency initiatives on higher referral volumes and transitioned the performance of certain services to lower cost geographies as well as vendor cost initiatives.</w:t>
      </w: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2013 of $374.7 million increased by 31% compared to the year ended December 31, 2012, driven primarily by the growth of Ocwen’s loan servicing portfolio on REALServicing. Outside fees and services increased at a greater rate than service revenue due to revenue mix, primarily the higher level of property inspection and preservation referrals. Compensation and benefits increased at a lower rate than service revenue as we began to experience the benefit of our workforce efficiency initiatives on higher referral volumes even after carrying excess employees for a part of the year to support Mortgage Services’ anticipated growth.</w:t>
      </w:r>
    </w:p>
    <w:p>
      <w:pPr>
        <w:spacing w:after="0" w:line="2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increased to $305.6 million, representing 47% of service revenue, for the year ended December 31, 2014 compared to $221.4 million, representing 45% of service revenue, for the year ended December 31, 2013 and $167.2 million, representing 48% of service revenue, for the year ended December 31, 2012. We expanded our gross profit margin in 2014 by fully utilizing employees that we were carrying in 2013 in anticipation of new business and performing certain services with our employees that were previously performed by outside vendors. The increase in gross profit margin was also driven by the impact of revenue mix, partially offset by higher staff levels in our origination and rental property management businesses in preparation for anticipated growth. In 2013, the decrease in gross margin percentage compared to 2012 was primarily attributable to revenue mix of services delivered and the timing of boarding new loans. We experienced higher growth in the lower margin property inspection and preservation services from the early referrals from the Homeward and ResCap portfolios, partially offset by lower compensation and benefits costs as a percentage of service revenue from process efficiencies and higher utilization. Property inspections are generally higher following the boarding of a new portfolio.</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margins can vary substantially depending upon service revenue mix and when Ocwen acquires and boards servicing rights onto REALServicing. Typically, compensation and benefits will increase in anticipation of a boarding as we hire and train personnel to deliver services in advance of the actual boarding of loans. Over time, these costs as a percentage of service revenue decline as we generate revenue with no increased costs and as we experience benefits from our workforce efficiency initiatives. When new loans are boarded by Ocwen onto REALServicing, for the initial months post-boarding, we tend to deliver an elevated level of lower margin residential property valuation and property inspection and preservation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21"/>
                <w:szCs w:val="21"/>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9,304</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27,770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21,058</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23,777</w:t>
            </w:r>
          </w:p>
        </w:tc>
        <w:tc>
          <w:tcPr>
            <w:tcW w:w="100" w:type="dxa"/>
            <w:vAlign w:val="bottom"/>
          </w:tcPr>
          <w:p>
            <w:pPr>
              <w:spacing w:after="0"/>
              <w:rPr>
                <w:sz w:val="21"/>
                <w:szCs w:val="21"/>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4,907</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7,826</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94,678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46,515</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SG&amp;A for the year ended December 31, 2014 of $94.7 million increased by 104% compared to the year ended December 31, 2013, primarily driven by marketing costs largely related to Hubzu, higher legal costs and bad debt expense in 2014 and increased amortization of intangible assets recorded in connection with the acquisition of the Homeward and ResCap fee-based businesses. Bad debt expense increased in 2014 by $12.0 million, driven primarily from the default management services business. A change in our customers’ business model and fourth quarter 2014 discussions with these customers led us to believe that a portion of the accounts receivable balance is no longer collectible. SG&amp;A for the year ended December 31, 2013 of $46.5 million increased by 85% compared to the year ended December 31, 2012, primarily driven by the increase in amortization expense from the 2013 acquisitions of the Homeward and ResCap fee-based businesses partially offset by higher professional services costs incurred in 2012 in connection with the Separation of the Residential Asset Businesses.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from operations increased to $210.9 million, representing 32% of service revenue, for the year ended December 31, 2014 compared to $174.9 million, representing 36% of service revenue, for the year ended December 31, 2013 and $142.1 million, representing 40% of service revenue, for the year ended December 31, 2012. The decrease in operating income margin is primarily driven by higher Hubzu marketing costs and increases in the amortization of intangible assets recorded in connection with the Homeward and ResCap fee-based business acquisitions and the other increases in SG&amp;A, as discussed above. In 2014, the decrease in operating income margin was partially offset by the higher gross profit margin, as discussed above. In 2013, the operating income margin was impacted by lower gross profit margins and higher amortization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51,411</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45,680</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34,397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46,799</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98,312</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92,479</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63,979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4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w:t>
            </w:r>
          </w:p>
        </w:tc>
        <w:tc>
          <w:tcPr>
            <w:tcW w:w="14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w:t>
            </w:r>
          </w:p>
        </w:tc>
        <w:tc>
          <w:tcPr>
            <w:tcW w:w="1460" w:type="dxa"/>
            <w:vAlign w:val="bottom"/>
            <w:gridSpan w:val="2"/>
          </w:tcPr>
          <w:p>
            <w:pPr>
              <w:jc w:val="right"/>
              <w:ind w:right="8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479</w:t>
            </w:r>
          </w:p>
        </w:tc>
        <w:tc>
          <w:tcPr>
            <w:tcW w:w="1440" w:type="dxa"/>
            <w:vAlign w:val="bottom"/>
            <w:gridSpan w:val="2"/>
          </w:tcPr>
          <w:p>
            <w:pPr>
              <w:jc w:val="right"/>
              <w:ind w:right="8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5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98,499</w:t>
            </w:r>
          </w:p>
        </w:tc>
        <w:tc>
          <w:tcPr>
            <w:tcW w:w="14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92,958</w:t>
            </w:r>
          </w:p>
        </w:tc>
        <w:tc>
          <w:tcPr>
            <w:tcW w:w="144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64,522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Revenue from related parties: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27,064</w:t>
            </w:r>
          </w:p>
        </w:tc>
        <w:tc>
          <w:tcPr>
            <w:tcW w:w="146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27,591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0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041"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service revenue of $98.3 million for the year ended December 31, 2014, a 6% increase compared to the year ended December 31, 2013, primarily due to growth in the customer relationship management business from the addition of new clients and expansion of services provided to existing clients.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$92.5 million for the year ended December 31, 2013, a 45% increase compared to the year ended December 31, 2012, primarily due to increased mortgage charge-off collections and growth in customer relationship management revenues from the addition of two new clients during 2013 and expansion of services provided to existing clients. The increases were partially offset by lower credit card charge-off placements from record low credit card delinquency rates. With respect to the mortgage charge-off business, we expanded our capabilities in connection with the ResCap fee-based business transaction, and in the second quarter of 2013, we began providing these services to the ResCap loans serviced by Ocwen and a greater portion of the other loans in the Ocwen portfolio.</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8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47,063</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41,800</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3,361</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4,401</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12,277</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7,704</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64,338</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55,328</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46,737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for the year ended December 31, 2014 of $64.3 million increased by 16% compared to the year ended December 31, 2013 primarily due to higher compensation and benefits costs and higher technology and telecommunications expense from investments in our IT infrastructure to support revenue growth. Cost of revenue for the year ended December 31, 2013 of $55.3 million increased by 18% compared to the year ended December 31, 2012, driven primarily by higher compensation cost from an increase in the number of employees in the mortgage charge-off and customer relationship management businesses to support revenue growth. These increases in both years were partially offset by lower outside fees and services as we experienced the benefit of our vendor cost reduction initiatives.</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decreased to $34.2 million, representing 35% of service revenue, for the year ended December 31, 2014 compared to $37.6 million, representing 41% of service revenue, for the year ended December 31, 2013 and $17.8 million, representing 28% of service revenue, for the year ended December 31, 2012. In 2014, gross profit margin decreased due to higher technology and telecommunications expense from investments in our IT infrastructure and an increase in employee costs due to increases in headcount to support revenue growth and a slight shift in revenue mix. In 2013, gross profit as a percentage of service revenue increased due to growth of the higher margin mortgage charge-off and customer relationship management services.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7,193</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5,889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2,713</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18,791</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15,571</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SG&amp;A for the year ended December 31, 2014 of $18.8 million increased by 21% compared to the year ended December 31, 2013, principally from higher occupancy related costs driven by higher headcount and facility relocations. SG&amp;A for the year ended December 31, 2013 of $15.6 million increased by 16% compared to the year ended December 31, 2012, primarily driven by higher amortization expense from the 2013 acquisition of the ResCap fee-based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was $15.4 million, representing 16% of service revenue, for the year ended December 31, 2014 compared to $22.1 million, representing 24% of service revenue, for the year ended December 31, 2013 and $4.4 million, representing 7% of service revenue, for the year ended December 31, 2012. The decrease in operating income as a percentage of service revenue in 2014 is the result of lower gross profit margins and an increase in SG&amp;A as a percentage of service revenue, as discussed above. Income from operations as a percentage of service revenue increased in 2013 compared to 2012 due to higher gross margins and slower SG&amp;A growth, despite the increase in amortization expense from the acquisition of the ResCap fee-based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154,402</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67,319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47,773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75,965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36,572</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230,367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103,891</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74,189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related parties: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53,114</w:t>
            </w:r>
          </w:p>
        </w:tc>
        <w:tc>
          <w:tcPr>
            <w:tcW w:w="13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34,032</w:t>
            </w:r>
          </w:p>
        </w:tc>
        <w:tc>
          <w:tcPr>
            <w:tcW w:w="136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color w:val="auto"/>
              </w:rPr>
              <w:t>20,894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42,367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95,481</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50,527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31,245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$230.4 million for the year ended December 31, 2014, a 122% increase compared to the year ended December 31, 2013, primarily driven by increases in software services as a result of the acquisition of Equator in November 2013, including recognition of acquisition related deferred revenues, increased licensing revenue from REALDoc and growth in Ocwen’s residential loan servicing portfolio on REALServicing. IT infrastructure services revenue also increased in 2014 due to an increase in headcount and costs at both Ocwen and Altisource, which are typically billed on a cost plus basis.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service revenue of $103.9 million for the year ended December 31, 2013, a 40% increase compared to the year ended December 31, 2012, primarily due to growth in software services related to Ocwen’s loan servicing portfolio on REALServicing. Revenue also increased in software services from the November 2013 acquisition of Equator. IT infrastructure</w:t>
      </w:r>
    </w:p>
    <w:p>
      <w:pPr>
        <w:sectPr>
          <w:pgSz w:w="11900" w:h="16838" w:orient="portrait"/>
          <w:cols w:equalWidth="0" w:num="1">
            <w:col w:w="11420"/>
          </w:cols>
          <w:pgMar w:left="240" w:top="125" w:right="239" w:bottom="757"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757"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services revenue increased in 2013 due to an increase in costs to support strategic initiatives and headcount growth at both Ocwen and Altisource.</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inter-segment revenue is included as revenue in the Technology Services segment and as technology and telecommunications expense, a component of cost of revenue and SG&amp;A, in our other reportable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4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132,701</w:t>
            </w:r>
          </w:p>
        </w:tc>
        <w:tc>
          <w:tcPr>
            <w:tcW w:w="15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50,368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26,602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1,875</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1,926</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42,117</w:t>
            </w:r>
          </w:p>
        </w:tc>
        <w:tc>
          <w:tcPr>
            <w:tcW w:w="15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20,546</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17,608</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11,698</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194,301</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84,538</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54,634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year ended December 31, 2014 of $194.3 million increased by 130% compared to the year ended December 31, 2013, primarily due to the acquisition of Equator and the hiring of more and higher cost personnel to support the development of our next generation technologies. Technology and telecommunications costs were higher primarily as a result of the acquisition of Equator, the increase in employee headcount and the expansion of facilities. Depreciation and amortization increased as a result of deploying new hardware and software applications as well as the acquisition of Equator.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year ended December 31, 2013 of $84.5 million increased by 55% compared to the year ended December 31, 2012 also primarily due to hiring more and higher cost personnel to support the development of our next generation technologies. In addition, we acquired Equator in November 2013 and recognized Equator’s cost of revenue from the date of acquisition. Depreciation and amortization increased in 2013 primarily as a result of our 2012 investment in a disaster recovery center.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was $36.1 million, representing 16% of service revenue, for the year ended December 31, 2014 compared to $19.4 million, representing 19% of service revenue, for the year ended December 31, 2013 and $19.6 million, representing 26% of service revenue, for the year ended December 31, 2012. In 2014 and 2013, gross profit as a percentage of service revenue decreased due to our continued investment in our next generation technology, partially offset by the acquisition of the higher margin Equator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12,250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5,610</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21"/>
                <w:szCs w:val="21"/>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7,767</w:t>
            </w:r>
          </w:p>
        </w:tc>
        <w:tc>
          <w:tcPr>
            <w:tcW w:w="100" w:type="dxa"/>
            <w:vAlign w:val="bottom"/>
          </w:tcPr>
          <w:p>
            <w:pPr>
              <w:spacing w:after="0"/>
              <w:rPr>
                <w:sz w:val="21"/>
                <w:szCs w:val="21"/>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31,950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12,442</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2014 of $32.0 million increased by 157% compared to the year ended December 31, 2013, primarily due to the acquisition of Equator, higher administrative employee costs and increased occupancy related costs driven by higher headcount and facility relocations as well as increased intangible asset amortization related to the Homeward and ResCap</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fee-based business acquisitions and the Equator acquisition. The liability for contingent consideration is reflected at fair value and adjusted each reporting period with the change in fair value recognized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 As a result of the adjustment in the fair value of the Equator contingent consideration and based on our goodwill assessment, we determined that the Equator goodwill was impaired and recorded an impairment loss of $37.5 million for the year ended December 31,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2013 of $12.4 million increased by 40% compared to the year ended December 31, 2012, primarily due to an increase in amortization expense from the 2013 acquisitions of the Homeward and ResCap fee-based businesses and Equator, higher administrative employee costs and increased occupancy related costs driven by higher headcount.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was $4.1 million, representing 2% of service revenue, for the year ended December 31, 2014 compared to $6.9 million, representing 7% of service revenue, for the year ended December 31, 2013 and $10.7 million, representing 14% of service revenue, for the year ended December 31, 2012. Income from operations as a percentage of service revenue decreased in 2014 and 2013 due to increased employee and occupancy related costs and intangible asset amortization related to the Homeward and ResCap fee-based business acquisitions and the Equator acquisition and the impact of the decline in gross profit margins,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Items and Eliminations include interest expense and costs related to corporate support functions including executive, finance, legal, compliance, human resources, vendor management, risk and operational effectiveness and marketing. It also includes eliminations of transactions between the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36,762</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24,150</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8,629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5,684</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8,290</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2,442</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2,050</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55,863</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39,282</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27,310</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23,424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19,595</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corporate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79,287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58,877</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28,343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costs for the year ended December 31, 2014 of $79.3 million increased by 35% compared to the year ended December 31, 2013, primarily due to higher compensation and employee related costs, legal and compliance related costs and interest expense. We incurred higher compensation and employee related costs as we are expanding certain corporate functions to support our continued growth.</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costs for the year ended December 31, 2013 of $58.9 million increased by 108% compared to the year ended December 31, 2012, primarily due to higher compensation and employee related costs, consulting expenses, depreciation and amortization expenses, lease costs and interest expense. We incurred higher compensation and employee related costs as we expanded certain corporate functions in 2013 to support our continued growth. The higher depreciation and amortization and lease costs relate to the build out of new facilities to support our continued expansion. We reflect initial lease and other facility related costs in our Corporate segment until the facilities are approximately 40% occupied by the business unit(s), at which time the cost is reflected in the respective segment or segments’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expense for the year ended December 31, 2014 was $23.4 million, an increase of $3.1 million compared to the year ended December 31, 2013 resulting from the additional $200.0 million senior secured term loan borrowings on August 1, 2014 and the additional $200.0 million senior secured term loan borrowings on May 7, 2013, partially offset by lower interest rates from the senior secured term loan refinancing on December 9, 2013. Interest expense for the year ended December 31, 2013 was $20.3 million, an increase of $19.1 million compared to the year ended December 31, 2012 resulting from the initial senior secured loan borrowing in the fourth quarter of 2012 and the additional $200.0 million senior secured term loan borrowings on May 7, 2013. We recognized interest income of $0.1 million for the year ended December 31, 2014. Additionally, we recognized interest income of $0.9 million and $0.2 million for the years ended December 31, 2013 and 2012, respectively, primarily from a $75.0 million loan to Ocwen, which was repaid in February 2013.</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Intercompany revenue that is eliminated in consolidation increased for the year ended December 31, 2014 compared to the years ended December 31, 2013 and 2012. These intercompany transactions primarily consisted of IT infrastructure services. While the expenses are recognized in the Mortgage Services and Financial Services segments above, the elimination of these expenses is reflected in Corporate Items and Eliminations.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may consider business acquisitions and other opportunities that may arise from time to time. During January 2015, we used $4.0 million to repurchase Altisource common stock. Our relationship with Ocwen is subject to a number of risks and uncertainties that could result in changes to our relationship and have an adverse effect on our liquidity.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We intend to closely monitor the Ocwen related uncertainties and to modify our business plan as needed in response. As a result of these uncertainties, we intend to increase our cash and cash equivalents position throughout 2015. However, we will continue to monitor market conditions, and may, at some point in the future, consider repurchasing our common stock and/or our debt if conditions are favorable.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27, 2012, we entered into a seven year senior secured term loan agreement with Bank of America, N.A. as administrative agent, pursuant to which we borrowed $200.0 million. On May 7, 2013, we amended the senior secured term loan agreement to increase the principal amount of the senior secured term loan by $200.0 million and to increase the maximum permitted amount of Restricted Junior Payments (as defined in the senior secured term loan agreement), including increasing the amount of Company share repurchases permitted, among other changes. On December 9, 2013, we entered into Amendment No. 2 (“Second Amendment”) to the senior secured term loan agreement in which we incurred indebtedness in the form of Refinancing Debt (as defined in the senior secured term loan agreement), the proceeds of which were used to refinance, in full, the term loans outstanding under the senior secured term loan agreement immediately prior to the effectiveness of the Second Amendment. The Refinancing Debt bears interest at lower rates and has a maturity date approximately one year later than the prior year term loans. Generally, the margin applied to either the Adjusted Eurodollar rate or the Base Rate, as defined in the senior secured term loan agreement, was reduced by 1 percentage point and the floor was reduced by 0.25 percentage points. The Second Amendment further modified the senior secured term loan agreement to, among other changes, increase the maximum permitted amount of Restricted Junior Payments. On August 1, 2014, we entered into Amendment No. 3 (“Third Amendment”) to the senior secured term loan agreement to increase the principal amount of the term loan commitments under the senior secured term loan agreement by $200.0 million and, among other changes, increase the maximum amount of permitted Restricted Junior Payments by $200.0 million. Under the terms of the senior secured term loan, as amended, we have the ability to request to borrow up to $200.0 million of additional debt under an accordion provision. The lenders of the senior secured term loan, as amended, have no obligation to provide any such additional debt under the accordion provision.</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giving effect to the Third Amendment, the Refinancing Debt must be repaid in equal consecutive quarterly principal installments of $1.5 million, which commenced on September 30, 2014, with the balance due at maturity.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 However, if leverage ratios, as defined in the senior secured term loan agreement, exceed 3.00 to 1.00, a percentage of cash flows must be used to repay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principal. No mandatory prepayments were required during the year ended December 31, 2014. Interest payments are due monthly. The interest rate as of December 31, 2014 was 4.50%.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224,673</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190,655</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145,672</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(27,180)</w:t>
            </w:r>
          </w:p>
        </w:tc>
        <w:tc>
          <w:tcPr>
            <w:tcW w:w="100" w:type="dxa"/>
            <w:vAlign w:val="bottom"/>
          </w:tcPr>
          <w:p>
            <w:pPr>
              <w:spacing w:after="0"/>
              <w:rPr>
                <w:sz w:val="21"/>
                <w:szCs w:val="21"/>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(5,181)</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(29,143)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197,493</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185,474</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116,529</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(101,268)</w:t>
            </w:r>
          </w:p>
        </w:tc>
        <w:tc>
          <w:tcPr>
            <w:tcW w:w="1240" w:type="dxa"/>
            <w:vAlign w:val="bottom"/>
            <w:gridSpan w:val="2"/>
          </w:tcPr>
          <w:p>
            <w:pPr>
              <w:jc w:val="right"/>
              <w:ind w:right="10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(215,944)</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(110,563)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(65,188)</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55,292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67,411</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31,037</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24,822</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73,377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130,324</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105,502</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130,324</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year ended December 31, 2014, we generated cash flows from operating activities of $197.5 million, or approximately $0.21 for every dollar of service revenue compared to cash flows from operating activities of $185.5 million, or approximately $0.28 for every dollar of service revenue for the year ended December 31, 2013 and $116.5 million of cash flows from operations, or approximately $0.25 per dollar of service revenue for the year ended December 31, 2012. The increase in cash flows from operations during 2014 compared to 2013 is principally driven by the increase in net income after adding back depreciation and amortization, including the amortization of intangible assets, partially offset by unfavorable working capital changes. Changes in working capital were principally due to higher accounts receivable from revenue growth and the timing of collections. The decrease in cash flows from operating activities per dollar of service revenue is primarily the result of lower operating income as a percentage of service revenue and, to a lesser extent, timing differences in converting accounts receivables to cash. The increase in cash flows from operating activities during 2013 compared to 2012 was primarily due to the increase in net income, after adding back depreciation and amortization, including amortization of intangible assets and favorable changes in working capital, particularly the collection of accounts receivable.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As we grow, our receivables also grow and our cash flows from operations may be negatively impacted when comparing one period to another.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include capital expenditures of $64.8 million, $34.1 million and $35.6 million for the years ended December 31, 2014, 2013 and 2012, respectively, primarily related to facility build-outs and investments in IT infrastructure, the Equator integration and the development of our next generation technologies.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21, 2014, we acquired Owners.com for $19.8 million plus contingent consideration of up to $7.0 million. On September 12, 2014, we acquired Mortgage Builder for $14.9 million, net of acquired cash of $0.7 million, plus contingent consideration of up to $7.0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2013, we acquired the Homeward fee-based business from Ocwen for $75.8 million, after a working capital and pre-acquisition net income adjustment payment by Ocwen totaling $11.1 million, which we received in September 2013. On April 12, 2013, we entered into an agreement with Ocwen to establish additional terms related to the existing servicing arrangements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Altisource and Ocwen in connection with Ocwen’s acquisition of certain mortgage servicing platform assets of ResCap. The cash consideration paid by Altisource to Ocwen under the ResCap agreements totaled $128.8 million. On November 15, 2013, we acquired Equator for initial consideration of $63.4 million, before a working capital adjustment payment made by us to the sellers in 2014. On March 31, 2013, we sold our 49% interest in Correspondent One S.A. (“Correspondent One”) to Ocwen for $12.6 million. On February 15, 2013, Ocwen repaid the $75.0 million loan that it borrowed from us in December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from financing activities for the year ended December 31, 2014 primarily include activity associated with debt proceeds, share repurchases, stock option exercises and payments to non-controlling interests. On August 1, 2014, we borrowed $200.0 million in connection with amending our senior secured term loan agreement, and received $198.0 million of cash proceeds net of a $2.0 million original issue discount. For the year ended December 31, 2014, we incurred debt issuance costs of $2.6 million, in connection with the debt issuances. For the year ended December 31, 2014, we spent $255.7 million to repurchase our common stock. Stock option exercises provided proceeds of $2.7 million. During 2014, we repaid $5.0 million of the borrowings under the senior secured term loan and distributed $2.6 million to non-controlling interests.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flows from financing activities for the year ended December 31, 2013 primarily included activity associated with debt proceeds, debt issuance costs, share repurchases, stock option exercises and payments to non-controlling interests. On May 7, 2013, we amended our senior secured term loan agreement to increase the principal amount of the senior secured term loan by $200.0 million and received $201.0 million, including a $1.0 million original issue premium. We also incurred debt issuance costs of $2.4 million in connection with the amendment. On December 9, 2013, we entered into the Second Amendment, the proceeds of which were used to refinance, in full, the $397.5 million of term loans outstanding and included an original issue discount of $0.5 million. We incurred an additional $0.8 million of debt issuance costs in connection with the Second Amendment. In 2013, we spent $141.0 million to repurchase our common stock and stock option exercises provided proceeds of $6.9 million. Also during 2013, we repaid $3.5 million of the borrowings under the senior secured term loan and $0.2 million of capital lease obligations and distributed $4.2 million to non-controlling interests.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flows from financing activities for the year ended December 31, 2012 primarily included activity associated with debt proceeds, debt issuance costs, the distribution of cash in connection with the Separation of the Residential Asset Businesses, share repurchases, stock option exercises and payments to non-controlling interests. On November 27, 2012, we entered into a $200.0 million senior secured term loan, which included an original issue discount of $2.0 million, and incurred related debt issuance costs of $4.3 million. A total of $105.0 million of the senior secured term loan proceeds were distributed in December 2012 in connection with the Separation of the Residential Asset Businesses. In 2012, we spent $16.8 million to repurchase our common stock and stock option exercises provided proceeds of $3.2 million. Also during 2012, we distributed $7.1 million to non-controlling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2014</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2013, we completed the acquisition of Equator. The purchase agreement provided for the payment of up to $80 million in potential additional consideration determined based on Equator’s Adjusted EBITA (as defined in the purchase agreement) in the three consecutive 12-month periods following closing. Up to $22.5 million of this potential additional consideration could be earned in each of the first two 12-month periods, and up to $35.0 million could be earned in the third 12-month period. Any amounts earned upon the achievement of Adjusted EBITA thresholds are payable through 2017. We may, at our discretion, pay up to 20% of each payment of any of this potential additional consideration in shares of Company restricted stock, with the balance to be paid in cash. As of December 31, 2014, we estimated the fair value of the potential additional consideration related to the Equator acquisition to be $8.1 million. No payment was earned during the initial 12-month period. The amount ultimately paid will depend on Equator’s actual Adjusted EBITA in the three consecutive 12-month periods following closing.</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12, 2014, we acquired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$1.6 million as of December 31, 2014. The amount ultimately paid will depend on Mortgage Builder’s Adjusted Revenue (as defined in the Purchase and Sale Agreement) in the three consecutive 12-month periods following closing.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2014, we acquired Owners.com. The Owners.com purchase agreement provides for a payment of up to $7.0 million of potential additional consideration based on revenue earned in the two consecutive 12-month periods following closing. We have estimated the fair value of the Owners.com contingent consideration to be $1.9 million as of December 31, 2014. The amount ultimately paid will depend on Owners.com’s revenue earned in the two consecutive 12-month periods following closing.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first quarter of 2015, we expect to distribute $0.6 million to the Lenders One members representing non-controlling interests, repay $1.5 million of outstanding principal under the senior secured term loan and pay $6.7 million of interest expense under the senior secured term loan.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recognize revenue from the services we provide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Topic 605”). 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Mortgage Services segment, we recognize revenue for the majority of the services we provide when the services have been performed. For default processing services and certain property preservation services, we recognize revenue over the period during which we perform the related services, with full recognition upon recording the related foreclosure deed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Financial Services segment, we generally earn our fees for asset recovery management services as a percentage of the amount we collect on delinquent consumer receivables and charged-off mortgages on behalf of our clients and recognize revenue upon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earn and recognize revenue on a per-person, per-call or per-minute basis as the related services are performed.</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Technology Services segment, we charge fees for our REALSuite platform based on the number of loans on the system or on a per-transaction basis. We record transactional revenue when the service is provided and other revenue monthly based on the number of loans processed or services provided. For Equator’s software applications, we recognize revenue from arrangements with multiple deliverables in accordance with ASC Subtopic 605-25,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Multiple-Element Arrangements </w:t>
      </w:r>
      <w:r>
        <w:rPr>
          <w:rFonts w:ascii="Arial" w:cs="Arial" w:eastAsia="Arial" w:hAnsi="Arial"/>
          <w:sz w:val="16"/>
          <w:szCs w:val="16"/>
          <w:color w:val="auto"/>
        </w:rPr>
        <w:t>(“ASC 605-25”), and Securities and Exchange Commission Staff Accounting Bulletin Topic 13,</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(“SAB Topic 13”). ASC 605-25 and SAB Topic 13 require each deliverable within a multiple-deliverable revenue arrangement to be accounted</w:t>
      </w:r>
      <w:r>
        <w:rPr>
          <w:rFonts w:ascii="Arial" w:cs="Arial" w:eastAsia="Arial" w:hAnsi="Arial"/>
          <w:sz w:val="16"/>
          <w:szCs w:val="16"/>
          <w:i w:val="1"/>
          <w:iCs w:val="1"/>
          <w:color w:val="auto"/>
        </w:rPr>
        <w:t xml:space="preserve"> </w:t>
      </w:r>
      <w:r>
        <w:rPr>
          <w:rFonts w:ascii="Arial" w:cs="Arial" w:eastAsia="Arial" w:hAnsi="Arial"/>
          <w:sz w:val="16"/>
          <w:szCs w:val="16"/>
          <w:color w:val="auto"/>
        </w:rPr>
        <w:t>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 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Mortgage Builder generally invoices customers on a monthly basis. We provide IT infrastructure services to Ocwen, HLSS, Residential and AAMC and charge for these services primarily on a cost plus basis, based on the number of employees that are using the applicable systems and the number and type of licensed platforms used by Ocwen, HLSS, Residential and AAMC. We record revenue associated with implementation services upon completion of the services and we record revenue from maintenance activity ratably over the related service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Significant areas of judgment include the period over which we recognize property preservation revenue and certain default management services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2014, as a result of the decline in fair value of the Equator Earn Out, management evaluated and determined that Equator goodwill should be tested for impairment. The decline in fair value of the Equator Earn Out was based on management’s estimate that the expected earnings of Equator would be lower than those projected at the time of acquisition. Consequently, we initiated a quantitative two-step goodwill impairment test by comparing the carrying value of the net assets of Equator to its fair value based on a discounted cash flow analysis. We determined, based on this assessment, that the fair value of Equator was less than its carrying value and the resulting Equator goodwill impairment was approximately $37.5 million, which is reflected as a component of SG&amp;A in the consolidated statements of operations (see Note 18).</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recorded an impairment of goodwill during an interim period in 2014, we elected to bypass the initial analysis of qualitative factors and perform a quantitative two-step goodwill impairment test of all of our reporting units during our annual testing in the fourth quarter of 2014. For purposes of the annual goodwill impairment assessment, our reporting units are our reportable segments. We calculated the fair value of each of our reporting units by using a discounted cash flow analysis. As of December 31, 2014, the fair value of the Mortgage Services, Financial Services and Technology Services reporting units exceeded their carrying values by a significant margin. Consequently, we determined that no further goodwill impairment existed as of December 31, 2014. There were no goodwill impairments in 2013 or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Identified intangible assets consist primarily of customer relationships, acquired trade names and trademarks. 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recognize an impairment to the extent the carrying amount exceeds fair value. Based on the 2014, 2013 and 2012 cash flow analyses prepared by management for certain of the intangible assets, no impairments of intangible assets were recorded for the years ended December 31, 2014, 2013 and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those acquisitions that meet the definition of a business combination, we allocate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we estimate the cost to replace the asset with a new asset taking into consideration such factors as age, condition and the economic useful life of the asset. When determining the fair value of intangible assets acquired, we estimate the applicable discount rate and the timing and amount of future cash flows, including rate and terms of renewal and attrition. The determination of the final purchase price and the fair values on the acquisition date of the identifiable assets acquired and liabilities assumed may extend over more than one period and result in adjustments to the preliminary estimate recognized.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income taxes principally in Luxembourg, the United States, India and the Philippines.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effective tax rates and higher than anticipated earnings in countries where we have higher effective tax rates, by changes in foreign currency exchange rates or by changes in the relevant tax, accounting and other laws, regulations, principles and interpretations. We are subject to audits in various taxing jurisdictions, and such jurisdictions may assess additional income tax during an examination. Although we believe our recorded tax liabilities are sufficient to support our future tax liabilities, the final determination of tax audits and any related litigation could differ from the balances we have accrued.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a New Accounting Pronouncement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accompanying consolidated balance sheets. Amounts held in escrow and trust accounts were $62.5 million and $71.8 million at December 31, 2014 and 2013,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property and equipment. The following table sets forth information relating to our contractual obligations as of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84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7"/>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Non-cancelable operating lease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43"/>
        </w:trPr>
        <w:tc>
          <w:tcPr>
            <w:tcW w:w="528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591,543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561,818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2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Contractual interest payments</w:t>
            </w:r>
          </w:p>
        </w:tc>
        <w:tc>
          <w:tcPr>
            <w:tcW w:w="2980" w:type="dxa"/>
            <w:vAlign w:val="bottom"/>
            <w:shd w:val="clear" w:color="auto" w:fill="CCEEFF"/>
          </w:tcPr>
          <w:p>
            <w:pPr>
              <w:jc w:val="right"/>
              <w:ind w:right="2757"/>
              <w:spacing w:after="0"/>
              <w:rPr>
                <w:sz w:val="20"/>
                <w:szCs w:val="20"/>
                <w:color w:val="auto"/>
              </w:rPr>
            </w:pPr>
            <w:r>
              <w:rPr>
                <w:rFonts w:ascii="Arial" w:cs="Arial" w:eastAsia="Arial" w:hAnsi="Arial"/>
                <w:sz w:val="13"/>
                <w:szCs w:val="13"/>
                <w:color w:val="auto"/>
                <w:w w:val="87"/>
                <w:shd w:val="clear" w:color="auto" w:fill="CCEEFF"/>
              </w:rPr>
              <w:t>(1)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153,639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52,236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51,166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97"/>
        </w:trPr>
        <w:tc>
          <w:tcPr>
            <w:tcW w:w="40" w:type="dxa"/>
            <w:vAlign w:val="bottom"/>
            <w:tcBorders>
              <w:bottom w:val="single" w:sz="8" w:color="CCEEFF"/>
            </w:tcBorders>
            <w:shd w:val="clear" w:color="auto" w:fill="CCEEFF"/>
          </w:tcPr>
          <w:p>
            <w:pPr>
              <w:spacing w:after="0"/>
              <w:rPr>
                <w:sz w:val="8"/>
                <w:szCs w:val="8"/>
                <w:color w:val="auto"/>
              </w:rPr>
            </w:pPr>
          </w:p>
        </w:tc>
        <w:tc>
          <w:tcPr>
            <w:tcW w:w="2140" w:type="dxa"/>
            <w:vAlign w:val="bottom"/>
            <w:tcBorders>
              <w:bottom w:val="single" w:sz="8" w:color="CCEEFF"/>
            </w:tcBorders>
            <w:vMerge w:val="continue"/>
            <w:shd w:val="clear" w:color="auto" w:fill="CCEEFF"/>
          </w:tcPr>
          <w:p>
            <w:pPr>
              <w:spacing w:after="0"/>
              <w:rPr>
                <w:sz w:val="8"/>
                <w:szCs w:val="8"/>
                <w:color w:val="auto"/>
              </w:rPr>
            </w:pPr>
          </w:p>
        </w:tc>
        <w:tc>
          <w:tcPr>
            <w:tcW w:w="29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2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808,660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91,324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76,057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590,891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71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260" w:firstLine="8"/>
        <w:spacing w:after="0" w:line="427" w:lineRule="auto"/>
        <w:tabs>
          <w:tab w:leader="none" w:pos="203"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Represents estimated future interest payments on our senior secured term loan based on applicable interest rates as of December 31, 2014. For further information, see Notes 14 and 22 to the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years ended December 31, 2014, 2013 and 2012, we generated Mortgage Services segment revenue from Ocwen of $528.3 million, $421.3 million and $306.5 million, respectively. For the years ended December 31, 2014, 2013 and 2012, we generated Financial Services segment revenue from Ocwen of $27.1 million, $27.6 million and $0.2 million, respectively. Also, for the years ended December 31, 2014, 2013 and 2012, we generated Technology Services segment revenue from Ocwen of $95.4 million, $50.5 million and $31.2 million, respectively. Services provided to Ocwen during this period included residential property valuation, real estate asset management and sales, trustee management services, property inspection and preservation, insurance services, charge-off mortgage collections, IT infrastructure management services and software applications including our software platforms. We provided all services at rates we believe to be comparable to market rates.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additional revenue on the portfolios serviced by Ocwen that is not considered related party revenue when a party other than Ocwen selects Altisource as the service provider. For the years ended December 31, 2014, 2013 and 2012, we recognized revenue of $256.0 million, $161.9 million and $125.4 million, respectively, on the portfolios serviced by Ocwen that are not considered related party revenue.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2014, 2013 and 2012, Ocwen billed us $38.6 million, $20.0 million and $13.5 million, respectively, for data access fees and contractor and/or employee costs under agreements described in Note 4 to the consolidated financial statements. These amounts are reflected as a component of cost of revenue in the consolidated statements of operations. On December 31, 2014, we notified Ocwen that we are canceling the Data Access and Services Agreement, effective March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2014, 2013 and 2012, we billed Ocwen $4.5 million, $2.8 million and $2.7 million, respectively, and Ocwen billed us $6.1 million, $4.6 million and $3.2 million, respectively, for other services provided under the agreements described in Note 4 to the consolidated financial statements. These amounts are reflected as a component of SG&amp;A in the consolidated statements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was not less than 1.50%. On February 15, 2013, Ocwen repaid the outstanding principal amount of this loan and all accrued and unpaid interest and the term loan was terminated. Interest income related to this loan was $0.8 million and $0.1 million for the years ended December 31, 2013 and 2012, respectively (no comparative amount for 2014).</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5 to the consolidated financial statements). Altisource entered into an agreement with Ocwen on April 12, 2013 to establish additional terms related to our services in connection with the ResCap fee- based businesses (see Note 5 to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2011, we acquired an equity interest in Correspondent One. Correspondent One purchased closed conforming and government guaranteed residential mortgages from approved mortgage bankers. On March 31, 2013, we sold our 49% interest in Correspondent One to Ocwen for $12.6 million. For the years ended December 31, 2013 and 2012, we billed Correspondent One less than $0.1 million and $0.4 million, respectively (no comparative amount for 2014). These amounts are reflected as a component of SG&amp;A in the consolidated statements of operations. We also provided certain origination related services to Correspondent One. We earned revenue of $0.1 million and $0.3 million for the years ended December 31, 2013 and 2012, respectively, for these services (no comparative amount for 2014).</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HLSS is a publicly traded company whose primary objective is the acquisition of mortgage servicing rights and related servicing advances, loans held for investment and other residential mortgage related assets. Under a support services agreement, we provide HLSS certain finance, human resources, tax and facilities services. For the years ended December 31, 2014, 2013 and 2012, we billed HLSS $0.9 million, $0.7 million and $0.6 million, respectively. These amounts are reflected as a component of SG&amp;A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Residential and AAMC were spun-off on December 21, 2012 and their equity was distributed to our shareholders on December 24, 2012 and they are each separate publicly traded companies. Residential is focused on acquiring and managing single family rental properties by acquiring sub-performing and non-performing residential mortgage loans as well as single family homes at or following the foreclosure sale throughout the United States. AAMC is an asset management company providing portfolio management and corporate governance services to Residential.</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purposes of governing certain ongoing relationships between Altisource, Residential and AAMC, we entered into certain agreements with Residential and AAMC. We have agreements to provide Residential with renovation management, lease management and property management services. In addition, we have agreements with Residential and AAMC to provide services such as finance, human resources, facilities, technology and insurance risk management. Further, we have separate agreements for certain services related to income tax matters, trademark licenses and technology services.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years ended December 31, 2014 and 2013, we billed Residential $16.0 million and $2.6 million, respectively (no comparative amount for 2012). This excludes revenue where we are retained by Ocwen to provide services to Residential’s loans serviced by Ocwen. That revenue is included in related party revenue from Ocwen. For the years ended December 31, 2014 and 2013, we billed AAMC $0.1 million and less than $0.1 million, respectively, under the services agreements described in Note 4 to the consolidated financial statements (no comparative amount for 2012). These amounts are reflected in revenue in the consolidated statements of operations. In addition, for the years ended December 31, 2014 and 2013, we billed AAMC $0.9 million and $0.5 million, respectively, under the services agreements described in Note 4 to the consolidated financial statements (no comparative amount for 2012). These amounts are reflected as a component of SG&amp;A in the consolidated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risk and foreign currency exchange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December 31, 2014, a one percentage point increase in the Eurodollar rate would increase our annual interest expense by approximately $1.4 million, based on the December 31, 2014 Adjusted Eurodollar Rate. There would be no change in our annual interest expense if there was a one percentage point decrease in the Eurodollar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2014, a one percentage point increase or decrease in value of the Indian Rupee in relation to the United States dollar would increase or decrease our annual expenses by $1.0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432"/>
        </w:trPr>
        <w:tc>
          <w:tcPr>
            <w:tcW w:w="1036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Reports of Independent Registered Public Accounting Firm</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2014 and 2013</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years ended December 31, 2014, 2013 and 2012</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6540" w:type="dxa"/>
            <w:vAlign w:val="bottom"/>
            <w:gridSpan w:val="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Equity for the years ended December 31, 2014, 2013 and 2012</w:t>
              </w:r>
            </w:hyperlink>
          </w:p>
        </w:tc>
        <w:tc>
          <w:tcPr>
            <w:tcW w:w="300" w:type="dxa"/>
            <w:vAlign w:val="bottom"/>
          </w:tcPr>
          <w:p>
            <w:pPr>
              <w:spacing w:after="0"/>
              <w:rPr>
                <w:sz w:val="24"/>
                <w:szCs w:val="24"/>
                <w:color w:val="auto"/>
              </w:rPr>
            </w:pPr>
          </w:p>
        </w:tc>
        <w:tc>
          <w:tcPr>
            <w:tcW w:w="3520" w:type="dxa"/>
            <w:vAlign w:val="bottom"/>
            <w:gridSpan w:val="2"/>
          </w:tcPr>
          <w:p>
            <w:pPr>
              <w:spacing w:after="0"/>
              <w:rPr>
                <w:sz w:val="24"/>
                <w:szCs w:val="24"/>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2014, 2013 and 2012</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690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3460" w:type="dxa"/>
            <w:vAlign w:val="bottom"/>
          </w:tcPr>
          <w:p>
            <w:pPr>
              <w:spacing w:after="0"/>
              <w:rPr>
                <w:sz w:val="24"/>
                <w:szCs w:val="24"/>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2014 and 2013, and the related consolidated statements of operations, consolidated statements of equity, and cash flows for each of the three years in the period ended December 31, 2014.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such consolidated financial statements referred to above present fairly, in all material respects, the financial position of Altisource Portfolio Solutions S.A.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discussed in Note 4 to the consolidated financial statements, Ocwen Financial Corporation ("Ocwen"), a related party, is the Company's largest customer. As discussed in Note 22 to the consolidated financial statements, Ocwen has been and is subject to a number of pending federal and state regulatory matters and is subject to other challenges and uncertainties that could have significant adverse effects on Ocwen's business. Note 22 also discusses the potential implications of these uncertainties to the Company including those associated with the possible cessation of the continuing relationship with Ocwen.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Company’s internal control over financial reporting as of December 31, 2014, based on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March 2, 2015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audited the internal control over financial reporting of Altisource Portfolio Solutions S.A. and subsidiaries (the “Company”)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As described in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management excluded from its assessment the internal control over financial reporting for the businesses and certain assets acquired and certain liabilities assumed of Mortgage Builder Software, Inc. and Owners Advantage, LLC which were acquired on September 12, 2014 and November 21, 2014, respectively, and whose combined financial statements constitute 5% of total assets and less than 1% of revenues and net income attributable to Altisource as reflected in the consolidated financial statement amounts as of and for the year ended December 31, 2014. Accordingly, our audit did not include the internal control over financial reporting for the businesses and certain assets acquired and certain liabilities assumed of Mortgage Builder Software, Inc. and Owners Advantage, LLC.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financial statements and financial statement schedule as of and for the year ended December 31, 2014 of the Company and our report dated March 2, 2015 expressed an unqualified opinion on those financial statements and included an explanatory paragraph regarding significant transactions with Ocwen Financial Corporation (“Ocwen”), a related party and an emphasis of a matter related to Ocwen uncertainty.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8580" w:type="dxa"/>
            <w:vAlign w:val="bottom"/>
            <w:tcBorders>
              <w:bottom w:val="single" w:sz="8" w:color="CCEEFF"/>
            </w:tcBorders>
            <w:shd w:val="clear" w:color="auto" w:fill="CCEEFF"/>
          </w:tcPr>
          <w:p>
            <w:pPr>
              <w:jc w:val="center"/>
              <w:ind w:left="2750"/>
              <w:spacing w:after="0"/>
              <w:rPr>
                <w:sz w:val="20"/>
                <w:szCs w:val="20"/>
                <w:color w:val="auto"/>
              </w:rPr>
            </w:pPr>
            <w:r>
              <w:rPr>
                <w:rFonts w:ascii="Arial" w:cs="Arial" w:eastAsia="Arial" w:hAnsi="Arial"/>
                <w:sz w:val="18"/>
                <w:szCs w:val="18"/>
                <w:color w:val="auto"/>
                <w:w w:val="92"/>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130,324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112,183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104,787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248,944</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245,246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276,162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788,221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730,052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jc w:val="center"/>
              <w:ind w:left="2750"/>
              <w:spacing w:after="0"/>
              <w:rPr>
                <w:sz w:val="20"/>
                <w:szCs w:val="20"/>
                <w:color w:val="auto"/>
              </w:rPr>
            </w:pPr>
            <w:r>
              <w:rPr>
                <w:rFonts w:ascii="Arial" w:cs="Arial" w:eastAsia="Arial" w:hAnsi="Arial"/>
                <w:sz w:val="18"/>
                <w:szCs w:val="18"/>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84,706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135,554</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582,669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3"/>
              </w:rPr>
              <w:t>Common stock ($1.00 par value; 25,413 shares authorized and issued, and 20,279 outstanding, as of December</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Arial" w:cs="Arial" w:eastAsia="Arial" w:hAnsi="Arial"/>
                <w:sz w:val="18"/>
                <w:szCs w:val="18"/>
                <w:color w:val="auto"/>
              </w:rPr>
              <w:t>31, 2014; 100,000 shares authorized, 25,413 issued and 22,629 outstanding as of December 31, 2013)</w:t>
            </w: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367,967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239,561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Treasury stock, at cost (5,134 shares as of December 31, 2014 and 2,784 shares as of December 31, 2013)</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(197,548)</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156,699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788,221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730,052</w:t>
            </w:r>
          </w:p>
        </w:tc>
        <w:tc>
          <w:tcPr>
            <w:tcW w:w="0" w:type="dxa"/>
            <w:vAlign w:val="bottom"/>
          </w:tcPr>
          <w:p>
            <w:pPr>
              <w:spacing w:after="0"/>
              <w:rPr>
                <w:sz w:val="1"/>
                <w:szCs w:val="1"/>
                <w:color w:val="auto"/>
              </w:rPr>
            </w:pPr>
          </w:p>
        </w:tc>
      </w:tr>
      <w:tr>
        <w:trPr>
          <w:trHeight w:val="20"/>
        </w:trPr>
        <w:tc>
          <w:tcPr>
            <w:tcW w:w="8580" w:type="dxa"/>
            <w:vAlign w:val="bottom"/>
            <w:vMerge w:val="restart"/>
          </w:tcPr>
          <w:p>
            <w:pPr>
              <w:jc w:val="center"/>
              <w:ind w:left="275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43"/>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568,360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707,180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492,480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366,201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371,736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275,877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202,159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74,712</w:t>
            </w:r>
          </w:p>
        </w:tc>
      </w:tr>
      <w:tr>
        <w:trPr>
          <w:trHeight w:val="237"/>
        </w:trPr>
        <w:tc>
          <w:tcPr>
            <w:tcW w:w="7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127,447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43"/>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124,649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137,087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133,793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115,911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r>
      <w:tr>
        <w:trPr>
          <w:trHeight w:val="237"/>
        </w:trPr>
        <w:tc>
          <w:tcPr>
            <w:tcW w:w="7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110,627</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21,625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23,072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23,358</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666,800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502,087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338,227</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7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Altisource Equity</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3"/>
                <w:szCs w:val="13"/>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16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Balance, January 1, 2012</w:t>
            </w: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83,229</w:t>
            </w:r>
          </w:p>
        </w:tc>
        <w:tc>
          <w:tcPr>
            <w:tcW w:w="12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126,161</w:t>
            </w:r>
          </w:p>
        </w:tc>
        <w:tc>
          <w:tcPr>
            <w:tcW w:w="10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(72,048)</w:t>
            </w:r>
          </w:p>
        </w:tc>
        <w:tc>
          <w:tcPr>
            <w:tcW w:w="10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165,943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110,627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assets distributed in connection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the Separation of the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Residential Asset Businesses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w w:val="96"/>
              </w:rPr>
              <w:t>Share-based compensation expense</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10,875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86,873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124,127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133,793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(141,018)</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137,087</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91,509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367,967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137,087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133,793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Change in the fair value of Equator Earn Out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losses of investment in affiliate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(39,999)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43"/>
        </w:trPr>
        <w:tc>
          <w:tcPr>
            <w:tcW w:w="74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43"/>
        </w:trPr>
        <w:tc>
          <w:tcPr>
            <w:tcW w:w="746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116,529</w:t>
            </w: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(35,563)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Loan to Ocwen</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loan to Ocwen</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Proceeds from sale of equity affiliate</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(110,563)</w:t>
            </w: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Repayment of long-term debt and payments on capital lease obligations</w:t>
            </w:r>
          </w:p>
        </w:tc>
        <w:tc>
          <w:tcPr>
            <w:tcW w:w="2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29"/>
        </w:trPr>
        <w:tc>
          <w:tcPr>
            <w:tcW w:w="7460" w:type="dxa"/>
            <w:vAlign w:val="bottom"/>
          </w:tcPr>
          <w:p>
            <w:pPr>
              <w:ind w:left="160"/>
              <w:spacing w:after="0"/>
              <w:rPr>
                <w:sz w:val="20"/>
                <w:szCs w:val="20"/>
                <w:color w:val="auto"/>
              </w:rPr>
            </w:pPr>
            <w:r>
              <w:rPr>
                <w:rFonts w:ascii="Arial" w:cs="Arial" w:eastAsia="Arial" w:hAnsi="Arial"/>
                <w:sz w:val="18"/>
                <w:szCs w:val="18"/>
                <w:color w:val="auto"/>
              </w:rPr>
              <w:t>Distribution of cash in connection with the Separation of the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80"/>
              <w:spacing w:after="0"/>
              <w:rPr>
                <w:sz w:val="20"/>
                <w:szCs w:val="20"/>
                <w:color w:val="auto"/>
              </w:rPr>
            </w:pPr>
            <w:r>
              <w:rPr>
                <w:rFonts w:ascii="Arial" w:cs="Arial" w:eastAsia="Arial" w:hAnsi="Arial"/>
                <w:sz w:val="18"/>
                <w:szCs w:val="18"/>
                <w:color w:val="auto"/>
              </w:rPr>
              <w:t>Residential Asset Businesses</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55,292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67,411</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73,377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21,829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19,325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net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7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89445" cy="156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156210"/>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Non-cash investing and financing activities:</w:t>
      </w:r>
    </w:p>
    <w:p>
      <w:pPr>
        <w:sectPr>
          <w:pgSz w:w="11900" w:h="16874" w:orient="portrait"/>
          <w:cols w:equalWidth="0" w:num="1">
            <w:col w:w="11220"/>
          </w:cols>
          <w:pgMar w:left="240" w:top="125" w:right="4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6680" w:type="dxa"/>
            <w:vAlign w:val="bottom"/>
          </w:tcPr>
          <w:p>
            <w:pPr>
              <w:ind w:left="16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4,552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2,457</w:t>
            </w:r>
          </w:p>
        </w:tc>
      </w:tr>
      <w:tr>
        <w:trPr>
          <w:trHeight w:val="27"/>
        </w:trPr>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acquisition of businesses from subsequent working capital true-ups</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110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820" w:type="dxa"/>
            <w:vAlign w:val="bottom"/>
          </w:tcPr>
          <w:p>
            <w:pPr>
              <w:jc w:val="right"/>
              <w:ind w:right="53"/>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3,334</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88900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60" w:top="166" w:right="4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Altisource Portfolio Solutions S.A., together with its subsidiaries (which may be referred to as “Altisource,” the “Company,” “we,”</w:t>
      </w:r>
      <w:r>
        <w:rPr>
          <w:rFonts w:ascii="Arial" w:cs="Arial" w:eastAsia="Arial" w:hAnsi="Arial"/>
          <w:sz w:val="18"/>
          <w:szCs w:val="18"/>
          <w:b w:val="1"/>
          <w:bCs w:val="1"/>
          <w:color w:val="auto"/>
        </w:rPr>
        <w:t xml:space="preserve"> </w:t>
      </w:r>
      <w:r>
        <w:rPr>
          <w:rFonts w:ascii="Arial" w:cs="Arial" w:eastAsia="Arial" w:hAnsi="Arial"/>
          <w:sz w:val="18"/>
          <w:szCs w:val="18"/>
          <w:color w:val="auto"/>
        </w:rPr>
        <w:t>“us”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23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Basis of Accounting and Presentation </w:t>
      </w:r>
      <w:r>
        <w:rPr>
          <w:rFonts w:ascii="Arial" w:cs="Arial" w:eastAsia="Arial" w:hAnsi="Arial"/>
          <w:sz w:val="17"/>
          <w:szCs w:val="17"/>
          <w:color w:val="auto"/>
        </w:rPr>
        <w:t>- The consolidated financial statements are prepared in accordance with accounting principles generally accepted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of America (“GAAP”). Intercompany and inter-segment transactions and accounts have been eliminated in consolidation.</w:t>
      </w:r>
    </w:p>
    <w:p>
      <w:pPr>
        <w:spacing w:after="0" w:line="13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Mortgage Partnership of America, L.L.C. (“MPA”), a wholly-owned subsidiary of Altisource, serves as the manager of Best Partners Mortgage Cooperative, Inc. doing business as Lenders One Mortgage Cooperative (“Lenders One”). MPA provides services to Lenders One under a management agreement that ends on December 31, 2025. MPA acts on behalf of Lenders One and its members principally to provide its members with education and training along with revenue enhancing, cost reducing and market share expanding opportunities. For providing these services, MPA receives payments from Lenders One, and in some instances the vendors, based primarily upon the benefits achieved for the members. The management agreement provides MPA with broad powers such as recruiting members for Lenders One, collection of fees and other obligations from members of Lenders One, processing of all rebates owed to Lenders One and negotiating and executing contracts with vendors including executing contracts on behalf of Lenders One.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consolidated financial statements on a consolidated basis with the interests of the members reflected as non-controlling interests. As of December 31, 2014, Lenders One had total assets of $7.7 million and total liabilities of $6.7 million. As of December 31, 2013, Lenders One had total assets of $4.6 million and total liabilities of $3.5 million.</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Correction of Immaterial Errors </w:t>
      </w:r>
      <w:r>
        <w:rPr>
          <w:rFonts w:ascii="Arial" w:cs="Arial" w:eastAsia="Arial" w:hAnsi="Arial"/>
          <w:sz w:val="16"/>
          <w:szCs w:val="16"/>
          <w:color w:val="auto"/>
        </w:rPr>
        <w:t>- As previously disclosed, during 2014 we determined that while we properly identified our related parties in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issued financial statements, disclosures of certain immaterial related party expenses were omitted. We have corrected the previously presented disclosures of related party expenses in Note 4 - </w:t>
      </w:r>
      <w:r>
        <w:rPr>
          <w:rFonts w:ascii="Arial" w:cs="Arial" w:eastAsia="Arial" w:hAnsi="Arial"/>
          <w:sz w:val="16"/>
          <w:szCs w:val="16"/>
          <w:i w:val="1"/>
          <w:iCs w:val="1"/>
          <w:color w:val="auto"/>
        </w:rPr>
        <w:t>Transactions with Related Parties</w:t>
      </w:r>
      <w:r>
        <w:rPr>
          <w:rFonts w:ascii="Arial" w:cs="Arial" w:eastAsia="Arial" w:hAnsi="Arial"/>
          <w:sz w:val="16"/>
          <w:szCs w:val="16"/>
          <w:color w:val="auto"/>
        </w:rPr>
        <w:t xml:space="preserve"> and on the face of the consolidated statements of operations for the years ended December 31, 2013 and 2012. The impact of correcting these items in the notes to the consolidated financial statements had the effect of:</w:t>
      </w:r>
    </w:p>
    <w:p>
      <w:pPr>
        <w:spacing w:after="0" w:line="155"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amounts disclosed as related party cost of revenue from Ocwen Financial Corporation and its subsidiaries (“Ocwen”) by $20.0 million and $13.5 million for the years ended December 31, 2013 and 2012, respectively;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amounts disclosed as selling, general and administrative expenses from Ocwen billings to Altisource by $1.7 million and $0.7 million for the years ended December 31, 2013 and 2012, respectively;</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decreasing the amounts disclosed as selling, general and administrative expenses from Altisource billings to Ocwen by $0.1 million and less than $0.1 million for the years ended December 31, 2013 and 2012, respectively; and</w:t>
      </w:r>
    </w:p>
    <w:p>
      <w:pPr>
        <w:ind w:left="66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decreasing the amounts disclosed as selling, general and administrative expenses from Altisource billings to Altisource Asset Management Corporation (“AAMC”) by $0.5 million for the year ended December 31, 2013 (no adjustment for the year ended December 31, 2012).</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Correcting these items on the face of the consolidated statements of operations resulted in the disclosure of related party cost of revenue of $20.0 million and $13.5 million for the years ended December 31, 2013 and 2012, respectively, and a decrease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disclosed related party selling, general and administrative expenses by $2.4 million and $3.0 million for the years ended December 31, 2013 and 2012, respectively.</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accordance with the Financial Accounting Standards Board’s Accounting Standards Codification (“ASC”) Topic 250, </w:t>
      </w:r>
      <w:r>
        <w:rPr>
          <w:rFonts w:ascii="Arial" w:cs="Arial" w:eastAsia="Arial" w:hAnsi="Arial"/>
          <w:sz w:val="18"/>
          <w:szCs w:val="18"/>
          <w:i w:val="1"/>
          <w:iCs w:val="1"/>
          <w:color w:val="auto"/>
        </w:rPr>
        <w:t>Accounting Changes and Error</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Corrections</w:t>
      </w:r>
      <w:r>
        <w:rPr>
          <w:rFonts w:ascii="Arial" w:cs="Arial" w:eastAsia="Arial" w:hAnsi="Arial"/>
          <w:sz w:val="18"/>
          <w:szCs w:val="18"/>
          <w:color w:val="auto"/>
        </w:rPr>
        <w:t>, the Company evaluated the effect of the disclosure and presentation errors on its previously issued annual and quarterly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both qualitatively and quantitatively, and concluded that the related party disclosures in the Company’s previously issued annual and quarterly financial statements are not materially misstated.</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of fixed assets and contingencies. Actual results could differ materially from those estimates.</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Accounts Receivable, Net </w:t>
      </w:r>
      <w:r>
        <w:rPr>
          <w:rFonts w:ascii="Arial" w:cs="Arial" w:eastAsia="Arial" w:hAnsi="Arial"/>
          <w:sz w:val="16"/>
          <w:szCs w:val="16"/>
          <w:color w:val="auto"/>
        </w:rPr>
        <w:t>- Accounts receivable are net of an allowance for doubtful accounts that represents an amount that we estimate to be uncollectible.</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We report premises and equipment, net at cost or estimated fair value at acquisition and depreciate these assets over their</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using the straight-line method as follows:</w:t>
      </w:r>
    </w:p>
    <w:p>
      <w:pPr>
        <w:spacing w:after="0" w:line="315" w:lineRule="exact"/>
        <w:rPr>
          <w:sz w:val="20"/>
          <w:szCs w:val="20"/>
          <w:color w:val="auto"/>
        </w:rPr>
      </w:pPr>
    </w:p>
    <w:tbl>
      <w:tblPr>
        <w:tblLayout w:type="fixed"/>
        <w:tblInd w:w="1480" w:type="dxa"/>
        <w:tblCellMar>
          <w:top w:w="0" w:type="dxa"/>
          <w:left w:w="0" w:type="dxa"/>
          <w:bottom w:w="0" w:type="dxa"/>
          <w:right w:w="0" w:type="dxa"/>
        </w:tblCellMar>
      </w:tblPr>
      <w:tr>
        <w:trPr>
          <w:trHeight w:val="27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120" w:type="dxa"/>
            <w:vAlign w:val="bottom"/>
          </w:tcPr>
          <w:p>
            <w:pPr>
              <w:ind w:left="480"/>
              <w:spacing w:after="0"/>
              <w:rPr>
                <w:sz w:val="20"/>
                <w:szCs w:val="20"/>
                <w:color w:val="auto"/>
              </w:rPr>
            </w:pPr>
            <w:r>
              <w:rPr>
                <w:rFonts w:ascii="Arial" w:cs="Arial" w:eastAsia="Arial" w:hAnsi="Arial"/>
                <w:sz w:val="18"/>
                <w:szCs w:val="18"/>
                <w:color w:val="auto"/>
              </w:rPr>
              <w:t>5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120" w:type="dxa"/>
            <w:vAlign w:val="bottom"/>
          </w:tcPr>
          <w:p>
            <w:pPr>
              <w:ind w:left="480"/>
              <w:spacing w:after="0"/>
              <w:rPr>
                <w:sz w:val="20"/>
                <w:szCs w:val="20"/>
                <w:color w:val="auto"/>
              </w:rPr>
            </w:pPr>
            <w:r>
              <w:rPr>
                <w:rFonts w:ascii="Arial" w:cs="Arial" w:eastAsia="Arial" w:hAnsi="Arial"/>
                <w:sz w:val="18"/>
                <w:szCs w:val="18"/>
                <w:color w:val="auto"/>
              </w:rPr>
              <w:t>3-7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Shorter of useful life, 10 years or the term of the lease</w:t>
            </w:r>
          </w:p>
        </w:tc>
      </w:tr>
      <w:tr>
        <w:trPr>
          <w:trHeight w:val="27"/>
        </w:trPr>
        <w:tc>
          <w:tcPr>
            <w:tcW w:w="234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the straight-line method over its estimated useful life.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We account for acquisitions using the purchase method of accounting in accordance with ASC Topic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of an acquisition is allocated to the assets acquired and liabilities assumed using the fair values as of the acquisition date.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Equity Affiliates </w:t>
      </w:r>
      <w:r>
        <w:rPr>
          <w:rFonts w:ascii="Arial" w:cs="Arial" w:eastAsia="Arial" w:hAnsi="Arial"/>
          <w:sz w:val="18"/>
          <w:szCs w:val="18"/>
          <w:color w:val="auto"/>
        </w:rPr>
        <w:t>- We utilize the equity method to account for investments in equity securities where we have the ability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over operating and financial policies of the investee. We include a proportionate share of losses of equity method investees in equity losses of affiliates, net which is included in other income (expense), net in the consolidated statements of operations. We review investments in equity affiliates for an other than temporary impairment whenever events or circumstances indicate that the carrying value is greater than the fair value of the investment and the loss is other than a temporary decline.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represents the excess cost of an acquired business over the fair value of the identifiable tangible and intangible assets acquired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assumed in a business combination. We evaluate goodwill for impairment annually during the fourth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quarter or more frequently when an event occurs or circumstances change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The discounted cash flow method is based on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we recorded an impairment of goodwill during an interim period in 2014 (see Note 5), we elected to bypass the initial analysis of qualitative factors and perform a quantitative two-step goodwill impairment test of all of our reporting units during our annual assessment in the fourth quarter of 2014. For purposes of the annual goodwill impairment assessment, our reporting units are our reportable segments. We calculated the fair value of each of our reporting units by using a discounted cash flow analysis. As of December 31, 2014, the fair value of the Mortgage Services, Financial Services and Technology Services reporting units exceeded their carrying values by a significant margin. Consequently, we determined that no further goodwill impairment exists as of December 31, 2014. There were no goodwill impairments in 2013 or 2012.</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Intangible Assets, Net - </w:t>
      </w:r>
      <w:r>
        <w:rPr>
          <w:rFonts w:ascii="Arial" w:cs="Arial" w:eastAsia="Arial" w:hAnsi="Arial"/>
          <w:sz w:val="18"/>
          <w:szCs w:val="18"/>
          <w:color w:val="auto"/>
        </w:rPr>
        <w:t>Identifiable intangible assets acquired in business combinations are recorded based on their fair values at the date of acquisition.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5 to 20 years.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Based on the 2014, 2013 and 2012 cash flow analyses prepared by management for certain of the intangible assets, no impairment of intangible assets was recorded for the years ended December 31, 2014, 2013 and 2012.</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Debt issuance costs are capitalized and amortized to interest expense through maturity of the related debt using the effective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or premium. The debt discount or premium is amortized to interest expense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of the related debt using the effective interest method.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an exit price, representing the amount that would be received for an asset or paid to transfer a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 The currency of the primary economic environment in which our operations are conducted is the United States dollar. Therefore,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dollar has been determined to be our functional and reporting currency. Non-United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statement of operations as income or expenses, as appropriate.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equal to a discretionary percentage determined by us. We recorded expense of $0.9 million, $0.4 million and $0.2 million for the years ended December 31, 2014, 2013 and 2012, respectively, related to our discretionary amounts contributed.</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Share-Based Compensation - </w:t>
      </w:r>
      <w:r>
        <w:rPr>
          <w:rFonts w:ascii="Arial" w:cs="Arial" w:eastAsia="Arial" w:hAnsi="Arial"/>
          <w:sz w:val="18"/>
          <w:szCs w:val="18"/>
          <w:color w:val="auto"/>
        </w:rPr>
        <w:t>Share-based compensation is accounted for under the provisions of ASC Topic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ASC Topic 718, the cost of employee services received in exchange for an award of equity instruments is generally measured based on the grant-date fair value of the award. Share-based awards that do not require future service are expensed immediately. Share-based employee awards that require future service are recognized over the relevant service period. Further, as required under ASC Topic 718, we estimate forfeitures for share-based awards that are not expected to vest.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 average number of shares of common stock outstanding for the period. Diluted net income per share reflects the assumed conversion of all dilutive securities.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w:t>
      </w:r>
      <w:r>
        <w:rPr>
          <w:rFonts w:ascii="Arial" w:cs="Arial" w:eastAsia="Arial" w:hAnsi="Arial"/>
          <w:sz w:val="16"/>
          <w:szCs w:val="16"/>
          <w:b w:val="1"/>
          <w:bCs w:val="1"/>
          <w:color w:val="auto"/>
        </w:rPr>
        <w:t xml:space="preserve"> </w:t>
      </w:r>
      <w:r>
        <w:rPr>
          <w:rFonts w:ascii="Arial" w:cs="Arial" w:eastAsia="Arial" w:hAnsi="Arial"/>
          <w:sz w:val="16"/>
          <w:szCs w:val="16"/>
          <w:color w:val="auto"/>
        </w:rPr>
        <w:t>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58" w:lineRule="exact"/>
        <w:rPr>
          <w:sz w:val="20"/>
          <w:szCs w:val="20"/>
          <w:color w:val="auto"/>
        </w:rPr>
      </w:pPr>
    </w:p>
    <w:p>
      <w:pPr>
        <w:jc w:val="both"/>
        <w:ind w:left="240"/>
        <w:spacing w:after="0" w:line="271" w:lineRule="auto"/>
        <w:rPr>
          <w:sz w:val="20"/>
          <w:szCs w:val="20"/>
          <w:color w:val="auto"/>
        </w:rPr>
      </w:pPr>
      <w:r>
        <w:rPr>
          <w:rFonts w:ascii="Arial" w:cs="Arial" w:eastAsia="Arial" w:hAnsi="Arial"/>
          <w:sz w:val="17"/>
          <w:szCs w:val="17"/>
          <w:i w:val="1"/>
          <w:iCs w:val="1"/>
          <w:color w:val="auto"/>
        </w:rPr>
        <w:t>Mortgage Services segment</w:t>
      </w:r>
      <w:r>
        <w:rPr>
          <w:rFonts w:ascii="Arial" w:cs="Arial" w:eastAsia="Arial" w:hAnsi="Arial"/>
          <w:sz w:val="17"/>
          <w:szCs w:val="17"/>
          <w:color w:val="auto"/>
        </w:rPr>
        <w:t>: We recognize revenue for the majority of the services we provide when the services have been performed. For default</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services and certain property preservation services, we recognize revenue over the period during which we perform the related services, with full recognition upon recording the related foreclosure deed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 Reimbursable expenses of $137.4 million, $102.0 million and $95.6 million incurred for the years ended December 31, 2014, 2013 and 2012, respectively, are included in revenue with an equal offsetting expense included in cost of revenue primarily related to our property preservation and default processing services. These amounts are recognized on a gross basis, principally because we have complete control over selection of vendors and the vendor relationship is with us, rather than with our customers.</w:t>
      </w:r>
    </w:p>
    <w:p>
      <w:pPr>
        <w:spacing w:after="0" w:line="179"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i w:val="1"/>
          <w:iCs w:val="1"/>
          <w:color w:val="auto"/>
        </w:rPr>
        <w:t>Financial Services segment</w:t>
      </w:r>
      <w:r>
        <w:rPr>
          <w:rFonts w:ascii="Arial" w:cs="Arial" w:eastAsia="Arial" w:hAnsi="Arial"/>
          <w:sz w:val="18"/>
          <w:szCs w:val="18"/>
          <w:color w:val="auto"/>
        </w:rPr>
        <w:t>: We generally earn our fees for asset recovery management services as a percentage of the amount we collect on delinquent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receivables and charged-off mortgages on behalf of our clients and recognize revenue upon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earn and recognize revenue on a per-call, per-person or per-minute basis as the related services are performed.</w:t>
      </w:r>
    </w:p>
    <w:p>
      <w:pPr>
        <w:spacing w:after="0" w:line="188" w:lineRule="exact"/>
        <w:rPr>
          <w:sz w:val="20"/>
          <w:szCs w:val="20"/>
          <w:color w:val="auto"/>
        </w:rPr>
      </w:pPr>
    </w:p>
    <w:p>
      <w:pPr>
        <w:jc w:val="both"/>
        <w:ind w:left="240"/>
        <w:spacing w:after="0" w:line="342" w:lineRule="auto"/>
        <w:rPr>
          <w:sz w:val="20"/>
          <w:szCs w:val="20"/>
          <w:color w:val="auto"/>
        </w:rPr>
      </w:pPr>
      <w:r>
        <w:rPr>
          <w:rFonts w:ascii="Arial" w:cs="Arial" w:eastAsia="Arial" w:hAnsi="Arial"/>
          <w:sz w:val="16"/>
          <w:szCs w:val="16"/>
          <w:i w:val="1"/>
          <w:iCs w:val="1"/>
          <w:color w:val="auto"/>
        </w:rPr>
        <w:t>Technology Services segment</w:t>
      </w:r>
      <w:r>
        <w:rPr>
          <w:rFonts w:ascii="Arial" w:cs="Arial" w:eastAsia="Arial" w:hAnsi="Arial"/>
          <w:sz w:val="16"/>
          <w:szCs w:val="16"/>
          <w:color w:val="auto"/>
        </w:rPr>
        <w:t>: For our REALSuite platform, we charge based on the number of loans on the system or on a per-transaction basis.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 transactional revenue when the service is provided and other revenue monthly based on the number of loans processed or services provided.</w:t>
      </w:r>
    </w:p>
    <w:p>
      <w:pPr>
        <w:spacing w:after="0" w:line="124" w:lineRule="exact"/>
        <w:rPr>
          <w:sz w:val="20"/>
          <w:szCs w:val="20"/>
          <w:color w:val="auto"/>
        </w:rPr>
      </w:pPr>
    </w:p>
    <w:p>
      <w:pPr>
        <w:jc w:val="both"/>
        <w:ind w:left="240"/>
        <w:spacing w:after="0" w:line="270" w:lineRule="auto"/>
        <w:rPr>
          <w:sz w:val="20"/>
          <w:szCs w:val="20"/>
          <w:color w:val="auto"/>
        </w:rPr>
      </w:pPr>
      <w:r>
        <w:rPr>
          <w:rFonts w:ascii="Arial" w:cs="Arial" w:eastAsia="Arial" w:hAnsi="Arial"/>
          <w:sz w:val="17"/>
          <w:szCs w:val="17"/>
          <w:color w:val="auto"/>
        </w:rPr>
        <w:t xml:space="preserve">For Equator, LLC’s (“Equator”) software applications, we recognize revenue from arrangements with multiple deliverables in accordance with ASC Subtopic 605-25, </w:t>
      </w:r>
      <w:r>
        <w:rPr>
          <w:rFonts w:ascii="Arial" w:cs="Arial" w:eastAsia="Arial" w:hAnsi="Arial"/>
          <w:sz w:val="17"/>
          <w:szCs w:val="17"/>
          <w:i w:val="1"/>
          <w:iCs w:val="1"/>
          <w:color w:val="auto"/>
        </w:rPr>
        <w:t>Revenue Recognition: Multiple-Element Arrangements</w:t>
      </w:r>
      <w:r>
        <w:rPr>
          <w:rFonts w:ascii="Arial" w:cs="Arial" w:eastAsia="Arial" w:hAnsi="Arial"/>
          <w:sz w:val="17"/>
          <w:szCs w:val="17"/>
          <w:color w:val="auto"/>
        </w:rPr>
        <w:t xml:space="preserve"> (“ASC 605-25”), and Securities and Exchange Commission Staff Accounting Bulletin Topic 13,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240"/>
        <w:spacing w:after="0" w:line="272" w:lineRule="auto"/>
        <w:rPr>
          <w:sz w:val="20"/>
          <w:szCs w:val="20"/>
          <w:color w:val="auto"/>
        </w:rPr>
      </w:pPr>
      <w:r>
        <w:rPr>
          <w:rFonts w:ascii="Arial" w:cs="Arial" w:eastAsia="Arial" w:hAnsi="Arial"/>
          <w:sz w:val="17"/>
          <w:szCs w:val="17"/>
          <w:color w:val="auto"/>
        </w:rPr>
        <w:t>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78" w:lineRule="exact"/>
        <w:rPr>
          <w:sz w:val="20"/>
          <w:szCs w:val="20"/>
          <w:color w:val="auto"/>
        </w:rPr>
      </w:pPr>
    </w:p>
    <w:p>
      <w:pPr>
        <w:jc w:val="both"/>
        <w:ind w:left="240"/>
        <w:spacing w:after="0" w:line="286" w:lineRule="auto"/>
        <w:rPr>
          <w:sz w:val="20"/>
          <w:szCs w:val="20"/>
          <w:color w:val="auto"/>
        </w:rPr>
      </w:pPr>
      <w:r>
        <w:rPr>
          <w:rFonts w:ascii="Arial" w:cs="Arial" w:eastAsia="Arial" w:hAnsi="Arial"/>
          <w:sz w:val="17"/>
          <w:szCs w:val="17"/>
          <w:color w:val="auto"/>
        </w:rPr>
        <w:t>For Mortgage Builder Software, Inc.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Mortgage Builder generally invoices customers on a monthly basis.</w:t>
      </w:r>
    </w:p>
    <w:p>
      <w:pPr>
        <w:spacing w:after="0" w:line="166"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We provide information technology (“IT”) infrastructure services to Ocwen, Home Loan Servicing Solutions, Ltd. (“HLSS”), Altisource Residential Corporation (“Residential”) and AAMC and charge for these services primarily based on the number of employees that are using the applicable systems and the number and type of licensed platforms used by Ocwen, HLSS, Residential and AAMC. We record revenue associated with implementation services upon completion and maintenance ratably over the related service period.</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account for certain income and expense items differently for financial purposes and income tax purposes. We recognize deferred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Tax laws are complex and subject to different interpretations by the taxpayer and respective governmental taxing authorities. Significant judgment is required in determining tax expense and in evaluating tax positions including evaluating uncertainties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Topic 740”).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SEPARATION OF RESIDENTIAL ASSET BUSINESSES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21, 2012, we completed the spin-offs of two wholly-owned subsidiaries, AAMC and Residential, into separate publicly traded companies (the “Separation of the Residential Asset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December 24, 2012, Altisource shareholders of record as of December 17, 2012 received a pro rata distribution of:</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share of AAMC common stock for every ten shares of Altisource common stock held;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in lieu of fractional Residential and AAMC shares.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eliminated the assets and liabilities of Residential and AAMC from our consolidated balance sheet effective at the close of business on December 21, 2012. As Residential and AAMC were development stage companies and had not commenced operations at the date of separation, these entities had no historical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net assets transferred by Altisource was as follows:</w:t>
      </w:r>
    </w:p>
    <w:p>
      <w:pPr>
        <w:spacing w:after="0" w:line="185" w:lineRule="exact"/>
        <w:rPr>
          <w:sz w:val="20"/>
          <w:szCs w:val="20"/>
          <w:color w:val="auto"/>
        </w:rPr>
      </w:pPr>
    </w:p>
    <w:tbl>
      <w:tblPr>
        <w:tblLayout w:type="fixed"/>
        <w:tblInd w:w="2020" w:type="dxa"/>
        <w:tblCellMar>
          <w:top w:w="0" w:type="dxa"/>
          <w:left w:w="0" w:type="dxa"/>
          <w:bottom w:w="0" w:type="dxa"/>
          <w:right w:w="0" w:type="dxa"/>
        </w:tblCellMar>
      </w:tblPr>
      <w:tr>
        <w:trPr>
          <w:trHeight w:val="210"/>
        </w:trPr>
        <w:tc>
          <w:tcPr>
            <w:tcW w:w="39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Residential</w:t>
            </w: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AAMC</w:t>
            </w: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105,000</w:t>
            </w:r>
          </w:p>
        </w:tc>
      </w:tr>
      <w:tr>
        <w:trPr>
          <w:trHeight w:val="243"/>
        </w:trPr>
        <w:tc>
          <w:tcPr>
            <w:tcW w:w="3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in Altisource retained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$2.7 million of expenses for the year ended December 31, 2012 representing salaries of certain employees who became employees of AAMC after the separation (included in cost of revenue) and advisory expenses (included in selling, general and administrative expenses) incurred in connection with the Separation of the Residential Asset Businesses. These expenses are included in our Mortgage Services segment (no comparative amounts for 2014 and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each outstanding stock option of Altisource was adjusted to reflect the value of Residential and AAMC common stock distributed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Altisource shareholders. On the separation date, all holders of Altisource stock options received the following:</w:t>
      </w:r>
    </w:p>
    <w:p>
      <w:pPr>
        <w:spacing w:after="0" w:line="211" w:lineRule="exact"/>
        <w:rPr>
          <w:sz w:val="20"/>
          <w:szCs w:val="20"/>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stock options (issued by Residential and AAMC) to acquire the number of shares of Residential or AAMC common stock equal to the product of (a) the number of Altisource stock options held on the separation date and (b) the distribution ratio of one share of Residential common stock for every three shares of Altisource common stock and one share of AAMC stock for every ten shares of Altisource common stock;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adjusted Altisource stock option, with a reduced exercise price per stock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TRANSACTIONS WITH RELATED PARTIES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Through January 16, 2015, William C. Erbey served as our Chairman as well as the Executive Chairman of Ocwen and Chairman of each of HLSS, Residential and AAMC. Effective January 16, 2015, Mr. Erbey stepped down as the Executive Chairman of Ocwen and Chairman of each of Altisource, HLSS, Residential and AAMC and is no longer a member of the Board of Directors for any of these companies. As of December 31, 2014, Mr. Erbey owned or controlled approximately 29% of the common stock of Altisource, approximately 14% of the common stock of Ocwen, approximately 1% of the common stock of HLSS, approximately 4% of the common stock of Residential and approximately 28% of the common stock of AAMC. As of December 31, 2014, Mr. Erbey also held 873,501 options to purchase Altisource common stock (all of which were exercisable), 3,620,498 options to purchase Ocwen common stock (3,370,498 of which were exercisable) and 87,350 options to purchase AAMC common stock (all of which were exercisable). Accordingly, as a result of Mr. Erbey’s positions and the continuing common ownership, these companies have been and are related parties of Altisource.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is our largest customer. Ocwen purchases certain mortgage services and technology services from us under the terms of the master services agreements and amendments to the master services agreements (collectively, the “Service Agreements”) with terms extending through August 2025. The Service Agreements, among other things, contain a “most favored nation” provision and the parties to the Service Agreements have the right to renegotiate pricing. In connection with our March 29, 2013 acquisition from Ocwen of the fee-based businesses of Homeward Residential, Inc. (“Homeward”) and the April 12, 2013 transaction with Ocwen related to the fee-based businesses of Residential Capital, LLC (“ResCap”) (see Note 5), our Service Agreements with Ocwen were amended to extend the term from 2020 to 2025. Further, as part of the amendments, Ocwen agreed not to establish similar fee-based businesses that would directly or indirectly compete with Altisource’s services with respect to the Homeward and ResCap businesses. During 2014, we agreed with Ocwen to apply a negligence standard with respect to indemnification obligations arising out of property preservation and inspection services. Previously, Altisource and Ocwen applied a gross negligence standard with respect to these indemnification obligations. The impact of changing the negligence standard did not have a material effect on our results of operations. In addition, Ocwen purchases certain origination services from Altisource under an agreement that extends through January 2017, subject to termination under certain conditions. We settle amounts with Ocwen on a daily, weekly or monthly basis depending upon the nature of the service and when the service is provided.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Related party revenue primarily consists of revenue earned directly from Ocwen and revenue earned from the loans serviced by Ocwen when Ocwen designates us as the service provider. Related party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43"/>
        </w:trPr>
        <w:tc>
          <w:tcPr>
            <w:tcW w:w="7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68%</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&lt;1%</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42%</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w:t>
            </w: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market rates as we believe they are consistent with the fees we charge to other customers for comparable services and/or fees charged by our competitors.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earn additional revenue on the portfolios serviced by Ocwen that is not considered related party revenue when a party other than Ocwen selects Altisource as the service provider. For the years ended December 31, 2014, 2013 and 2012, we recognized revenue of $256.0 million, $161.9 million and $125.4 million, respectively, on the portfolios serviced by Ocwen that are not considered related party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times, we use Ocwen’s contractors and/or employees to support Altisource related services. Ocwen generally bills us for these contractors and/or employees based on their fully-allocated cost. Additionally, we purchase certain data relating to Ocwen’s servicing portfolio in connection with a Data Access and Services Agreement. The Data Access and Services Agreement may be renegotiated and may be cancelled by either Altisource or Ocwen with 90 days prior written notice. Ocwen bills us a per asset fee for this data. For the years ended December 31, 2014, 2013 and 2012, Ocwen billed us $38.6 million, $20.0 million and $13.5 million, respectively. These amounts are reflected as a component of cost of revenue in the consolidated statements of operations. On December 31, 2014, we notified Ocwen that we are canceling the Data Access and Services Agreement, effective March 31,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provided certain other services to Ocwen and Ocwen provided certain other services to us in connection with Support Services Agreements. These services include such areas as human resources, vendor management, vendor oversight, corporate services, operational effectiveness, quality assurance, quantitative analytics, tax and treasury. The Support Services Agreement with Ocwen Mortgage Servicing, Inc. extends through September 2018 with automatic one-year renewals thereafter. The Support Services Agreement with Ocwen Financial Corporation extends through October 2017 with automatic one-year renewals thereafter. Billings for these services were generally based on the fully-allocated cost of providing the service based on an estimate of the time and expense of providing the service or estimates thereof. For the years ended December 31, 2014, 2013 and 2012, we billed Ocwen $4.5 million, $2.8 million and $2.7 million, respectively, and Ocwen billed us $6.1 million, $4.6 million and $3.2 million, respectively. These amounts are reflected as a component of selling, general and administrative expenses in the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was not less than 1.50%. On February 15, 2013, Ocwen repaid the outstanding principal amount of this loan and all accrued and unpaid interest and the term loan was terminated. Interest income related to this loan was $0.8 million and $0.1 million for the years ended December 31, 2013 and 2012, respectively (no comparative amount for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Related to Fee-Based Businesses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businesses from Ocwen on March 29, 2013 (see Note 5). Altisource entered into an agreement with Ocwen on April 12, 2013 to establish additional terms related to our services in connection with the ResCap fee-based businesses (see Note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 and HLSS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2011, we acquired an equity interest in Correspondent One S.A. (“Correspondent One”). Correspondent One purchased closed conforming and government guaranteed residential mortgages from approved mortgage bankers. On March 31, 2013, we sold our 49% interest in Correspondent One to Ocwen for $12.6 million. Prior to the sale to Ocwen, we provided Correspondent One certain finance, human resources, legal support, facilities, technology, vendor management and insurance risk management services under a support services agreement. For the years ended December 31, 2013 and 2012, we billed Correspondent One less than $0.1 million and $0.4 million, respectively (no comparative amount for 2014). These amounts are reflected as a component of selling, general and administrative expenses in the consolidated statements of operations. We also provided certain origination related services to Correspondent One. We earned revenue of $0.1 million and $0.3 million for the years ended December 31, 2013 and 2012, respectively, for these services (no comparative amount for 2014).</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HLSS is a publicly traded company whose primary objective is the acquisition of mortgage servicing rights and related servicing advances, loans held for investment and other residential mortgage related assets. Under a support services agreement, we provide HLSS certain finance, human resources, tax and facilities services. For the years ended December 31, 2014, 2013 and 2012, we billed HLSS $0.9 million, $0.7 million and $0.6 million, respectively. These amounts are reflected as a component of selling, general and administrative expenses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Residential and AAMC were spun-off on December 21, 2012 and their equity was distributed to our shareholders on December 24, 2012 and they are each separate publicly traded companies. Residential is focused on acquiring and managing single family rental properties by acquiring sub-performing and non-performing residential mortgage loans as well as single family homes at or following the foreclosure sale throughout the United States. AAMC is an asset management company providing portfolio management and corporate governance services to Residential.</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purposes of governing certain ongoing relationships between Altisource, Residential and AAMC, we entered into certain agreements with Residential and AAMC. We have agreements to provide Residential with renovation management, lease management and property management services. In addition, we have agreements with Residential and AAMC to provide services such as finance, human resources, facilities, technology and insurance risk management. Further, we have separate agreements for certain services related to income tax matters, trademark licenses and technology services.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years ended December 31, 2014 and 2013, we billed Residential $16.0 million and $2.6 million, respectively (no comparative amount for 2012). This excludes revenue where we are retained by Ocwen to provide services to Residential’s loans serviced by Ocwen. That revenue is included in related party revenue from Ocwen. For the years ended December 31, 2014 and 2013, we billed AAMC $0.1 million and less than $0.1 million, respectively, under the services agreements (no comparative amount for 2012). These amounts are reflected in revenue in the consolidated statements of operations. In addition, for the years ended December 31, 2014 and 2013, we billed AAMC $0.9 million and $0.5 million, respectively, under the services agreements (no comparative amount for 2012). These amounts are reflected as a component of selling, general and administrative expenses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our Service Agreements with Ocwen were amended to extend the term from 2020 to 2025 (see Note 4). We paid $75.8 million, after a working capital and pre-acquisition net income adjustment payment by Ocwen of $11.1 million, which we received in September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acquisition date, management adjusted the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and increased current liabilities by $2.0 million based on a subsequent detailed analysis of obligations payable as of the closing date, which we paid in 2014. Consequently,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retrospectively adjusted the fair value of the assets acquired and liabilities assumed in the consolidated balance sheet as of December 31, 2013 as well as disclosed the corresponding amount of non-cash investing and financing activities in the consolidated statement of cash flows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8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75,609</w:t>
            </w:r>
          </w:p>
        </w:tc>
      </w:tr>
      <w:tr>
        <w:trPr>
          <w:trHeight w:val="27"/>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w:t>
            </w:r>
          </w:p>
        </w:tc>
      </w:tr>
      <w:tr>
        <w:trPr>
          <w:trHeight w:val="237"/>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79,207</w:t>
            </w:r>
          </w:p>
        </w:tc>
      </w:tr>
      <w:tr>
        <w:trPr>
          <w:trHeight w:val="27"/>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7"/>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75,817</w:t>
            </w:r>
          </w:p>
        </w:tc>
      </w:tr>
      <w:tr>
        <w:trPr>
          <w:trHeight w:val="20"/>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91"/>
        </w:trPr>
        <w:tc>
          <w:tcPr>
            <w:tcW w:w="8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life</w:t>
            </w:r>
          </w:p>
        </w:tc>
      </w:tr>
      <w:tr>
        <w:trPr>
          <w:trHeight w:val="192"/>
        </w:trPr>
        <w:tc>
          <w:tcPr>
            <w:tcW w:w="8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8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agreement provides that (i) Altisource will be a provider to Ocwen of certain services related to the ResCap Business, (ii) Ocwen will not establish similar fee-based businesses that would directly or indirectly compete with Altisource’s services as they relate to the ResCap Business and (iii) 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to Ocwen in connection with the ResCap fee-based businesses agreement.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ResCap transaction.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until finalized as of December 31, 2013. The agreement consideration of $128.8 million was fully allocated to the customer relationship intangible asset with an estimated average useful life of 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15, 2013, we completed the acquisition of all of the outstanding limited liability company interests of Equator pursuant to a Purchase and Sale Agreement dated August 19, 2013 (the “Purchase Agreement”). Pursuant to the terms of the Purchase Agreement, we paid $63.4 million at closing in cash (net of closing working capital adjustments), subject to certain post-closing adjustments based on current assets and current liabilities of Equator at closing. After the acquisition date, management adjusted the purchase price allocation based upon information that has subsequently become available relating to acquisition date working capital, resulting in an obligation of the Company to pay the sellers an additional $3.7 million. Consequently, the Company retrospectively adjusted the fair value of the assets acquired and liabilities assumed in the consolidated balance sheet as of December 31, 2013 as well as disclosed the corresponding amount of non-cash investing and financing activities in the consolidated statement of cash flows for the year ended December 31, 2014.</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also provided for the payment of up to $80 million in potential additional consideration (“Equator Earn Out”). The Equator Earn Out will be determined based on Equator’s Adjusted EBITA (as defined in the Purchase Agreement) in the three consecutive 12-month periods following closing. Up to $22.5 million of the Equator Earn Out could be earned in each of the first two 12-month periods, and up to $35.0 million could be earned in the third 12-month period. Any amounts earned upon the achievement of Adjusted EBITA thresholds are payable through 2017. We may, at our discretion, pay up to 20% of each</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of any of the Equator Earn Out in shares of Company restricted stock, with the balance to be paid in cash. As of the closing date, we estimated the fair value of the Equator Earn Out to be $46.0 million, determined based on the present value of future estimated Equator Earn Out payments at such date, which has subsequently been reduced to $8.1 million, as further described below. The acquisition date fair value of the Equator Earn Out is included as a component of the purchase price of Equator.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Initial purchase price</w:t>
            </w:r>
          </w:p>
        </w:tc>
        <w:tc>
          <w:tcPr>
            <w:tcW w:w="300" w:type="dxa"/>
            <w:vAlign w:val="bottom"/>
          </w:tcPr>
          <w:p>
            <w:pPr>
              <w:spacing w:after="0"/>
              <w:rPr>
                <w:sz w:val="14"/>
                <w:szCs w:val="14"/>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1"/>
              </w:rPr>
              <w:t>Adjusted purchase price</w:t>
            </w:r>
          </w:p>
        </w:tc>
        <w:tc>
          <w:tcPr>
            <w:tcW w:w="0" w:type="dxa"/>
            <w:vAlign w:val="bottom"/>
          </w:tcPr>
          <w:p>
            <w:pPr>
              <w:spacing w:after="0"/>
              <w:rPr>
                <w:sz w:val="1"/>
                <w:szCs w:val="1"/>
                <w:color w:val="auto"/>
              </w:rPr>
            </w:pPr>
          </w:p>
        </w:tc>
      </w:tr>
      <w:tr>
        <w:trPr>
          <w:trHeight w:val="192"/>
        </w:trPr>
        <w:tc>
          <w:tcPr>
            <w:tcW w:w="5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48"/>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43"/>
        </w:trPr>
        <w:tc>
          <w:tcPr>
            <w:tcW w:w="58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trademarks and trade names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43,393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82,460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Assets acquired</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153,316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156,491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(36,689)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Liabilities assumed</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(43,385)</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109,395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113,106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308"/>
              <w:spacing w:after="0"/>
              <w:rPr>
                <w:sz w:val="20"/>
                <w:szCs w:val="20"/>
                <w:color w:val="auto"/>
              </w:rPr>
            </w:pPr>
            <w:r>
              <w:rPr>
                <w:rFonts w:ascii="Arial" w:cs="Arial" w:eastAsia="Arial" w:hAnsi="Arial"/>
                <w:sz w:val="14"/>
                <w:szCs w:val="14"/>
                <w:b w:val="1"/>
                <w:bCs w:val="1"/>
                <w:color w:val="auto"/>
              </w:rPr>
              <w:t>Estimated life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(excluding internally developed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Internally developed software (included in premises and equipment)</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(weighted average)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liability for contingent consideration is reflected at fair value and adjusted each reporting period with the change in fair value recognized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 The reduction in fair value was recorded in 2014 and is reflected as a reduction of selling, general and administrative expenses in the consolidated statements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decline in fair value of the Equator Earn Out, management evaluated and determined that Equator goodwill should be tested for impairment. Consequently, we initiated a quantitative two-step goodwill impairment test by comparing the carrying value of the net assets of Equator to its fair value based on a discounted cash flow analysis. In 2014, based on our goodwill assessment, we determined that the fair value of Equator was less than its carrying value and goodwill was impaired. Consequently, we recorded an impairment loss of $37.5 million, which is reflected as a component of selling, general and administrative expenses in the consolidated statements of operations (see Note 18).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change in the fair value of the Equator Earn Out and Equator goodwill impairment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which are included in selling, general and administrative expenses in the consolidated statements of operations: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234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99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9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present the unaudited pro forma consolidated results of operations for the years ended December 31, 2013 and 2012 as if the Homeward fee-based business, ResCap fee-based business and Equator transactions had occurred at the beginning of the periods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gridSpan w:val="3"/>
          </w:tcPr>
          <w:p>
            <w:pPr>
              <w:jc w:val="center"/>
              <w:ind w:right="1048"/>
              <w:spacing w:after="0"/>
              <w:rPr>
                <w:sz w:val="20"/>
                <w:szCs w:val="20"/>
                <w:color w:val="auto"/>
              </w:rPr>
            </w:pPr>
            <w:r>
              <w:rPr>
                <w:rFonts w:ascii="Arial" w:cs="Arial" w:eastAsia="Arial" w:hAnsi="Arial"/>
                <w:sz w:val="14"/>
                <w:szCs w:val="14"/>
                <w:b w:val="1"/>
                <w:bCs w:val="1"/>
                <w:color w:val="auto"/>
                <w:w w:val="90"/>
              </w:rPr>
              <w:t>Year ended</w:t>
            </w: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20" w:type="dxa"/>
            <w:vAlign w:val="bottom"/>
          </w:tcPr>
          <w:p>
            <w:pPr>
              <w:spacing w:after="0"/>
              <w:rPr>
                <w:sz w:val="22"/>
                <w:szCs w:val="22"/>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4"/>
              </w:rPr>
              <w:t>As reported</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 forma</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768,357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854,098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129,973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132,907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r>
      <w:tr>
        <w:trPr>
          <w:trHeight w:val="50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24"/>
                <w:szCs w:val="24"/>
                <w:color w:val="auto"/>
              </w:rPr>
            </w:pP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360" w:type="dxa"/>
            <w:vAlign w:val="bottom"/>
          </w:tcPr>
          <w:p>
            <w:pPr>
              <w:spacing w:after="0"/>
              <w:rPr>
                <w:sz w:val="22"/>
                <w:szCs w:val="22"/>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rPr>
              <w:t>Pro forma</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568,360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781,834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110,627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129,229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unaudited pro forma information presents the combined operating results of Altisource and the Homeward fee-based business, ResCap fee-based business and Equator. The Homeward fee-based business, ResCap fee-based business and Equator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purchase price allocations, the adjustment of interest expense reflecting the portion of our senior secured term loan used in the Homeward fee-based business, ResCap fee-based business and Equator transactions and to reflect the impact of income taxes on the pro forma adjustments utilizing Altisource’s effective income tax rate.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the period presented, nor is the pro forma data intended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Builder Acquisition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12, 2014, we acquired certain assets and assumed certain liabilities of Mortgage Builder pursuant to a Purchase and Sale Agreement dated July 18, 2014 (the “Purchase and Sale Agreement”). Mortgage Builder is a provider of residential mortgage loan origination and servicing software systems. Pursuant to the terms of the Purchase and Sale Agreement, we paid $15.7 million at closing in cash (net of closing working capital adjustments). Additionally, the Purchase and Sale Agreement provides for the payment of up to $7.0 million in potential additional consideration (the “MB Earn Out”) based on Adjusted Revenue (as defined in the Purchase and Sale Agreement) in the three consecutive 12-month periods following closing. At closing, we estimated the fair value of the MB Earn Out to be $1.6 million, determined based on the present value of future estimated MB Earn Out payments. The Mortgage Builder acquisition is not material in relation to the Company’s results of operations or financial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700" w:type="dxa"/>
            <w:vAlign w:val="bottom"/>
            <w:gridSpan w:val="2"/>
          </w:tcPr>
          <w:p>
            <w:pPr>
              <w:ind w:left="3180"/>
              <w:spacing w:after="0"/>
              <w:rPr>
                <w:sz w:val="20"/>
                <w:szCs w:val="20"/>
                <w:color w:val="auto"/>
              </w:rPr>
            </w:pPr>
            <w:r>
              <w:rPr>
                <w:rFonts w:ascii="Arial" w:cs="Arial" w:eastAsia="Arial" w:hAnsi="Arial"/>
                <w:sz w:val="18"/>
                <w:szCs w:val="18"/>
                <w:b w:val="1"/>
                <w:bCs w:val="1"/>
                <w:color w:val="auto"/>
              </w:rPr>
              <w:t>ALTISOURCE PORTFOLIO SOLUTIONS S.A.</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8700" w:type="dxa"/>
            <w:vAlign w:val="bottom"/>
            <w:gridSpan w:val="2"/>
          </w:tcPr>
          <w:p>
            <w:pPr>
              <w:ind w:left="2920"/>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60" w:type="dxa"/>
            <w:vAlign w:val="bottom"/>
            <w:gridSpan w:val="3"/>
          </w:tcPr>
          <w:p>
            <w:pPr>
              <w:spacing w:after="0"/>
              <w:rPr>
                <w:sz w:val="20"/>
                <w:szCs w:val="20"/>
                <w:color w:val="auto"/>
              </w:rPr>
            </w:pPr>
            <w:r>
              <w:rPr>
                <w:rFonts w:ascii="Arial" w:cs="Arial" w:eastAsia="Arial" w:hAnsi="Arial"/>
                <w:sz w:val="18"/>
                <w:szCs w:val="18"/>
                <w:color w:val="auto"/>
              </w:rPr>
              <w:t>The preliminary allocation of the purchase price is as follows: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8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8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17,233</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Owners.com Acquisition</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3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21, 2014, we acquired certain assets and assumed certain liabilities of Owners Advantage, LLC (“Owners.com”). Owners.com is a self-directed online real estate marketplace. We paid $19.8 million at closing in cash plus contingent consideration of up to an additional $7.0 million over two years (“Owners.com Earn Out”). At closing, we estimated the fair value of the Owners.com Earn Out to be $1.9 million determined based on the present value of future estimated Owners.com Earn Out payments. The Owners.com acquisition is not material in relation to the Company’s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8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19,775</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21,739</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no assets carried at fair value and its liabilities carried at fair value consist of the acquisition related contingent consideration as of December 31, 2014 and 2013. The liabilities for acquisition related contingent consideration were recorded in connection with the acquisitions of Equator in 2013 and Mortgage Builder and Owners.com in 2014. The fair values of the liabilities for acquisition related contingent consideration were $11.6 million and $46.0 million as of December 31, 2014 and 2013, respectively. We measured the liabilities for acquisition related contingent consideration using Level 3 inputs as they are determined based on the present value of future estimated payments, which included sensitivities pertaining to discount rates and financial projections.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2014, the Company recorded acquisition related contingent consideration in connection with the acquisitions of Mortgage Builder and Owners.com of $1.9 million and $1.6 million, respectively (see Note 5). Additionally, the Company recorded a change in the fair value of the Equator acquisition related contingent consideration of $37.9 million (see Note 5), which is reflected as a reduction in selling, general and administrative expenses in the consolidated statements of operations.</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2013, the Company recorded acquisition related contingent consideration of $46.0 million related to the acquisition of Equator. There were no gains or losses from the valuation of this contingent consideration during the year ended December 31, 2013.</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transfers in or out of the Level 3 fair value hierarchy for the years ended December 31, 2014 and 2013. There were no comparative amounts in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a $37.5 million impairment of its goodwill balance during the year ended December 31, 2014 based on a fair value measurement. The goodwill impairment charge is included in selling, general and administrative expenses in the consolidated statements of operations. This fair value measurement was based on inputs classified as Level 3 in the valuation hierarchy. See Note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at December 31, 2014 and 2013 that are not carried at fair value. The fair values are estimated using market information and what the Company believes to be appropriate valuation methodologies under GAAP: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3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12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12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130,324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130,324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591,543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467,319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396,503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396,503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financial assets and liabilities primarily include cash and cash equivalents, restricted cash and long-term debt. Cash and cash equivalents and restricted cash are carried at amounts that approximate their fair value due to the short-term nature of these instruments. The fair value for cash and cash equivalents and restricted cash was measured using Level 1 inputs. The fair value of our long-term debt as of December 31, 2014 is based on quoted market prices. However, we do not believe that there is an active market for our debt, based on the frequency of trading; therefore, the quoted prices are considered Level 2 inputs. Our prior year long-term debt was refinanced on December 9, 2013 (see Note 14), and therefore, represents fair value at December 31,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6"/>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43"/>
        </w:trPr>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5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03"/>
        </w:trPr>
        <w:tc>
          <w:tcPr>
            <w:tcW w:w="83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Billed</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320" w:type="dxa"/>
            <w:vAlign w:val="bottom"/>
            <w:gridSpan w:val="5"/>
          </w:tcPr>
          <w:p>
            <w:pPr>
              <w:ind w:left="140"/>
              <w:spacing w:after="0"/>
              <w:rPr>
                <w:sz w:val="20"/>
                <w:szCs w:val="20"/>
                <w:color w:val="auto"/>
              </w:rPr>
            </w:pPr>
            <w:r>
              <w:rPr>
                <w:rFonts w:ascii="Arial" w:cs="Arial" w:eastAsia="Arial" w:hAnsi="Arial"/>
                <w:sz w:val="18"/>
                <w:szCs w:val="18"/>
                <w:color w:val="auto"/>
              </w:rPr>
              <w:t>Non-related parties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41,011</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Ocwen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11,658</w:t>
            </w:r>
          </w:p>
        </w:tc>
      </w:tr>
      <w:tr>
        <w:trPr>
          <w:trHeight w:val="243"/>
        </w:trPr>
        <w:tc>
          <w:tcPr>
            <w:tcW w:w="40" w:type="dxa"/>
            <w:vAlign w:val="bottom"/>
          </w:tcPr>
          <w:p>
            <w:pPr>
              <w:spacing w:after="0"/>
              <w:rPr>
                <w:sz w:val="21"/>
                <w:szCs w:val="21"/>
                <w:color w:val="auto"/>
              </w:rPr>
            </w:pPr>
          </w:p>
        </w:tc>
        <w:tc>
          <w:tcPr>
            <w:tcW w:w="8320" w:type="dxa"/>
            <w:vAlign w:val="bottom"/>
            <w:gridSpan w:val="5"/>
          </w:tcPr>
          <w:p>
            <w:pPr>
              <w:ind w:left="140"/>
              <w:spacing w:after="0"/>
              <w:rPr>
                <w:sz w:val="20"/>
                <w:szCs w:val="20"/>
                <w:color w:val="auto"/>
              </w:rPr>
            </w:pPr>
            <w:r>
              <w:rPr>
                <w:rFonts w:ascii="Arial" w:cs="Arial" w:eastAsia="Arial" w:hAnsi="Arial"/>
                <w:sz w:val="18"/>
                <w:szCs w:val="18"/>
                <w:color w:val="auto"/>
              </w:rPr>
              <w:t>HLSS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AAMC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r>
      <w:tr>
        <w:trPr>
          <w:trHeight w:val="243"/>
        </w:trPr>
        <w:tc>
          <w:tcPr>
            <w:tcW w:w="40" w:type="dxa"/>
            <w:vAlign w:val="bottom"/>
          </w:tcPr>
          <w:p>
            <w:pPr>
              <w:spacing w:after="0"/>
              <w:rPr>
                <w:sz w:val="21"/>
                <w:szCs w:val="21"/>
                <w:color w:val="auto"/>
              </w:rPr>
            </w:pPr>
          </w:p>
        </w:tc>
        <w:tc>
          <w:tcPr>
            <w:tcW w:w="8320" w:type="dxa"/>
            <w:vAlign w:val="bottom"/>
            <w:gridSpan w:val="5"/>
          </w:tcPr>
          <w:p>
            <w:pPr>
              <w:ind w:left="14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547</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56,289</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83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Unbilled</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320" w:type="dxa"/>
            <w:vAlign w:val="bottom"/>
            <w:gridSpan w:val="5"/>
          </w:tcPr>
          <w:p>
            <w:pPr>
              <w:ind w:left="140"/>
              <w:spacing w:after="0"/>
              <w:rPr>
                <w:sz w:val="20"/>
                <w:szCs w:val="20"/>
                <w:color w:val="auto"/>
              </w:rPr>
            </w:pPr>
            <w:r>
              <w:rPr>
                <w:rFonts w:ascii="Arial" w:cs="Arial" w:eastAsia="Arial" w:hAnsi="Arial"/>
                <w:sz w:val="18"/>
                <w:szCs w:val="18"/>
                <w:color w:val="auto"/>
              </w:rPr>
              <w:t>Non-related parties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44,102</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Ocwen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10,027</w:t>
            </w: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110,418</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112,183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104,787</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88" w:lineRule="exact"/>
        <w:rPr>
          <w:sz w:val="20"/>
          <w:szCs w:val="20"/>
          <w:color w:val="auto"/>
        </w:rPr>
      </w:pPr>
    </w:p>
    <w:p>
      <w:pPr>
        <w:ind w:left="180" w:right="20" w:hanging="172"/>
        <w:spacing w:after="0" w:line="216" w:lineRule="auto"/>
        <w:tabs>
          <w:tab w:leader="none" w:pos="237"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December 31, 2013 accounts receivable has been revised to reflect a purchase accounting measurement period adjustment related to the Equator acquisition. See Note 5.</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asset management and default management services for which we recognize revenues over the service delivery period but bill following completion of the service. We also include in unbilled receivables amounts that are earned during a month and billed in the following month.</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Bad debt expense amounted to $16.3 million, $2.5 million and $3.0 million for years ended December 31, 2014, 2013 and 2012, respectively, and is included in selling, general and administrative expenses in the consolidated statements of operations. Bad debt expense increased during 2014 driven primarily from the default management services business. A change in our customers’ business model and fourth quarter 2014 discussions with those customers led us to believe that a portion of the accounts receivable balance is no longer collectible.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43"/>
        </w:trPr>
        <w:tc>
          <w:tcPr>
            <w:tcW w:w="2840" w:type="dxa"/>
            <w:vAlign w:val="bottom"/>
            <w:tcBorders>
              <w:top w:val="single" w:sz="8" w:color="auto"/>
            </w:tcBorders>
          </w:tcPr>
          <w:p>
            <w:pPr>
              <w:spacing w:after="0"/>
              <w:rPr>
                <w:sz w:val="21"/>
                <w:szCs w:val="21"/>
                <w:color w:val="auto"/>
              </w:rPr>
            </w:pPr>
          </w:p>
        </w:tc>
        <w:tc>
          <w:tcPr>
            <w:tcW w:w="5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1,645</w:t>
            </w:r>
          </w:p>
        </w:tc>
      </w:tr>
      <w:tr>
        <w:trPr>
          <w:trHeight w:val="27"/>
        </w:trPr>
        <w:tc>
          <w:tcPr>
            <w:tcW w:w="28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1,079</w:t>
            </w:r>
          </w:p>
        </w:tc>
      </w:tr>
      <w:tr>
        <w:trPr>
          <w:trHeight w:val="27"/>
        </w:trPr>
        <w:tc>
          <w:tcPr>
            <w:tcW w:w="284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84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10,996</w:t>
            </w:r>
          </w:p>
        </w:tc>
      </w:tr>
      <w:tr>
        <w:trPr>
          <w:trHeight w:val="20"/>
        </w:trPr>
        <w:tc>
          <w:tcPr>
            <w:tcW w:w="28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2840" w:type="dxa"/>
            <w:vAlign w:val="bottom"/>
            <w:tcBorders>
              <w:bottom w:val="single" w:sz="8" w:color="auto"/>
            </w:tcBorders>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88" w:lineRule="exact"/>
        <w:rPr>
          <w:sz w:val="20"/>
          <w:szCs w:val="20"/>
          <w:color w:val="auto"/>
        </w:rPr>
      </w:pPr>
    </w:p>
    <w:p>
      <w:pPr>
        <w:ind w:left="180" w:hanging="172"/>
        <w:spacing w:after="0" w:line="232" w:lineRule="auto"/>
        <w:tabs>
          <w:tab w:leader="none" w:pos="196"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December 31, 2013 prepaid expenses and other current assets have been revised to reflect a purchase accounting measurement period adjustment related to the Equator acquisition. See Note 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PREMISES AND EQUIPMENT,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Premises and equipment, net, which include amounts recorded under capital leases, consists of the following as of 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103,400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28,057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17,574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157,422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(70,170)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127,759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87,252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inclusive of capital leases, amounted to $29.0 million, $19.1 million and $12.8 million for the years ended December 31, 2014, 2013 and 2012, respectively, and is included in cost of revenue for operating assets and in selling, general and administrative expenses for non-operating assets in the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Goodwill primarily relates to the acquisitions of Equator, Owners.com and Mortgage Builder, discussed in Note 5, Springhouse, LLC and Tracmail acquired in 2011 and MPA acquired in 2010. Changes in goodwill during the years ended December 31, 2014 and 2013 are summarized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Mortgage</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January 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Equator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Acquisition of Homeward</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2013</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12,958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84,078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Mortgage Builder</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Owners.com</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19,775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Impairment of Equator goodwill</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90,851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857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182" w:lineRule="exact"/>
        <w:rPr>
          <w:sz w:val="20"/>
          <w:szCs w:val="20"/>
          <w:color w:val="auto"/>
        </w:rPr>
      </w:pPr>
    </w:p>
    <w:p>
      <w:pPr>
        <w:ind w:right="2240" w:firstLine="8"/>
        <w:spacing w:after="0" w:line="266" w:lineRule="auto"/>
        <w:tabs>
          <w:tab w:leader="none" w:pos="178" w:val="left"/>
        </w:tabs>
        <w:numPr>
          <w:ilvl w:val="0"/>
          <w:numId w:val="19"/>
        </w:numPr>
        <w:rPr>
          <w:rFonts w:ascii="Arial" w:cs="Arial" w:eastAsia="Arial" w:hAnsi="Arial"/>
          <w:sz w:val="13"/>
          <w:szCs w:val="13"/>
          <w:color w:val="auto"/>
        </w:rPr>
      </w:pPr>
      <w:r>
        <w:rPr>
          <w:rFonts w:ascii="Arial" w:cs="Arial" w:eastAsia="Arial" w:hAnsi="Arial"/>
          <w:sz w:val="18"/>
          <w:szCs w:val="18"/>
          <w:color w:val="auto"/>
        </w:rPr>
        <w:t>December 31, 2013 goodwill has been revised to reflect a purchase accounting measurement period adjustment related to the Homeward acquisition. See Note 5.</w:t>
      </w:r>
    </w:p>
    <w:p>
      <w:pPr>
        <w:spacing w:after="0" w:line="1" w:lineRule="exact"/>
        <w:rPr>
          <w:rFonts w:ascii="Arial" w:cs="Arial" w:eastAsia="Arial" w:hAnsi="Arial"/>
          <w:sz w:val="13"/>
          <w:szCs w:val="13"/>
          <w:color w:val="auto"/>
        </w:rPr>
      </w:pPr>
    </w:p>
    <w:p>
      <w:pPr>
        <w:ind w:left="180" w:hanging="172"/>
        <w:spacing w:after="0" w:line="214"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See Note 5 for a discussion of the Equator goodwill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Intangible assets relate to our acquisitions of the Homeward and ResCap fee-based businesses, Equator, Mortgage Builder, Owners.com, MPA and Nationwide Credit, Inc. (“NCI”). No impairment charges were taken during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 2014 and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08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4"/>
                <w:szCs w:val="14"/>
                <w:color w:val="auto"/>
              </w:rPr>
            </w:pPr>
          </w:p>
        </w:tc>
        <w:tc>
          <w:tcPr>
            <w:tcW w:w="19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8"/>
              </w:rPr>
              <w:t>estimated</w:t>
            </w: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24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related 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240,276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26,396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28,146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338,497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333,033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245,246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276,162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$37.7 million, $28.2 million and $5.0 million for the years ended December 31, 2014, 2013 and 2012,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for 2015 through 2019 is $39.4 million, $34.2 million, $30.0 million, $26.1 million and $23.0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INVESTMENT IN EQUITY AFFILIATE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Correspondent One purchased closed conforming residential mortgages from approved mortgage bankers. Prior to the sale of our interest in Correspondent One to Ocwen on March 31, 2013 (see Note 4),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loss on this investment using the equity method was $0.2 million and $1.2 million for the years ended December 31, 2013 and 2012, respectively (no comparative amount for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43"/>
        </w:trPr>
        <w:tc>
          <w:tcPr>
            <w:tcW w:w="2760" w:type="dxa"/>
            <w:vAlign w:val="bottom"/>
            <w:tcBorders>
              <w:top w:val="single" w:sz="8" w:color="auto"/>
            </w:tcBorders>
            <w:shd w:val="clear" w:color="auto" w:fill="CCEEFF"/>
          </w:tcPr>
          <w:p>
            <w:pPr>
              <w:spacing w:after="0"/>
              <w:rPr>
                <w:sz w:val="21"/>
                <w:szCs w:val="21"/>
                <w:color w:val="auto"/>
              </w:rPr>
            </w:pPr>
          </w:p>
        </w:tc>
        <w:tc>
          <w:tcPr>
            <w:tcW w:w="5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Security deposits,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7,314</w:t>
            </w:r>
          </w:p>
        </w:tc>
      </w:tr>
      <w:tr>
        <w:trPr>
          <w:trHeight w:val="27"/>
        </w:trPr>
        <w:tc>
          <w:tcPr>
            <w:tcW w:w="27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issuance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1,465</w:t>
            </w:r>
          </w:p>
        </w:tc>
      </w:tr>
      <w:tr>
        <w:trPr>
          <w:trHeight w:val="27"/>
        </w:trPr>
        <w:tc>
          <w:tcPr>
            <w:tcW w:w="27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572</w:t>
            </w:r>
          </w:p>
        </w:tc>
      </w:tr>
      <w:tr>
        <w:trPr>
          <w:trHeight w:val="27"/>
        </w:trPr>
        <w:tc>
          <w:tcPr>
            <w:tcW w:w="27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76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4"/>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22,267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17,658</w:t>
            </w:r>
          </w:p>
        </w:tc>
      </w:tr>
      <w:tr>
        <w:trPr>
          <w:trHeight w:val="20"/>
        </w:trPr>
        <w:tc>
          <w:tcPr>
            <w:tcW w:w="2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276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88" w:lineRule="exact"/>
        <w:rPr>
          <w:sz w:val="20"/>
          <w:szCs w:val="20"/>
          <w:color w:val="auto"/>
        </w:rPr>
      </w:pPr>
    </w:p>
    <w:p>
      <w:pPr>
        <w:ind w:left="180" w:right="20" w:hanging="172"/>
        <w:spacing w:after="0" w:line="232" w:lineRule="auto"/>
        <w:tabs>
          <w:tab w:leader="none" w:pos="196"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December 31, 2013 security deposits, net and other assets have been revised to reflect a purchase accounting measurement period adjustment related to the Equator acquisition. See Note 5.</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issuance costs of $2.6 million and $3.2 million were capitalized for the years ended December 31, 2014 and 2013, respectively, in connection with issuing and refinancing our long-term debt (see Note 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43"/>
        </w:trPr>
        <w:tc>
          <w:tcPr>
            <w:tcW w:w="2340" w:type="dxa"/>
            <w:vAlign w:val="bottom"/>
            <w:tcBorders>
              <w:top w:val="single" w:sz="8" w:color="auto"/>
            </w:tcBorders>
          </w:tcPr>
          <w:p>
            <w:pPr>
              <w:spacing w:after="0"/>
              <w:rPr>
                <w:sz w:val="21"/>
                <w:szCs w:val="21"/>
                <w:color w:val="auto"/>
              </w:rPr>
            </w:pPr>
          </w:p>
        </w:tc>
        <w:tc>
          <w:tcPr>
            <w:tcW w:w="5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20,945</w:t>
            </w:r>
          </w:p>
        </w:tc>
      </w:tr>
      <w:tr>
        <w:trPr>
          <w:trHeight w:val="27"/>
        </w:trPr>
        <w:tc>
          <w:tcPr>
            <w:tcW w:w="2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Accrued expenses - Ocwen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Payable to Ocwen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7,361</w:t>
            </w:r>
          </w:p>
        </w:tc>
      </w:tr>
      <w:tr>
        <w:trPr>
          <w:trHeight w:val="27"/>
        </w:trPr>
        <w:tc>
          <w:tcPr>
            <w:tcW w:w="23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Payable to AAMC</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23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111,766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84,706</w:t>
            </w:r>
          </w:p>
        </w:tc>
      </w:tr>
      <w:tr>
        <w:trPr>
          <w:trHeight w:val="20"/>
        </w:trPr>
        <w:tc>
          <w:tcPr>
            <w:tcW w:w="2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2340" w:type="dxa"/>
            <w:vAlign w:val="bottom"/>
            <w:tcBorders>
              <w:bottom w:val="single" w:sz="8" w:color="auto"/>
            </w:tcBorders>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29" w:lineRule="exact"/>
        <w:rPr>
          <w:sz w:val="20"/>
          <w:szCs w:val="20"/>
          <w:color w:val="auto"/>
        </w:rPr>
      </w:pPr>
    </w:p>
    <w:p>
      <w:pPr>
        <w:ind w:left="180" w:right="440" w:hanging="172"/>
        <w:spacing w:after="0" w:line="232" w:lineRule="auto"/>
        <w:tabs>
          <w:tab w:leader="none" w:pos="196"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December 31, 2013 payables have been revised to reflect purchase accounting measurement period adjustments related to the Homeward and Equator acquisitions. See Note 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Book overdrafts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396,503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395,256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582,669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391,281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27, 2012, Altisource Solutions S.à r.l., a wholly-owned subsidiary of the Company, entered into a senior secured term loan agreement, as subsequently amended, with Bank of America, N.A., as administrative agent, and certain lenders, pursuant to which we borrowed $200.0 million. The senior secured term loan was issued with an original issue discount of $2.0 million, resulting in net proceeds of $198.0 million, with the Company and certain wholly-owned subsidiaries acting as guarantors (collectively, the “Guarantors”).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7, 2013, we amended the senior secured term loan agreement to increase the principal amount of the senior secured term loan by $200.0 million (the “Incremental Term Loan”), which was issued with a $1.0 million original issue premium, resulting in gross proceeds to the Company of $201.0 million. Additionally, the Incremental Term Loan amended the senior secured term loan agreement to, among other changes, provide for an additional $200.0 million incremental term loan facility accordion and increase the maximum amount of Restricted Junior Payments (as defined in the senior secured term loan agreement) that may be made by us, including increasing the amount of Company share repurchases permitted.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9, 2013, we entered into an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w:t>
      </w:r>
    </w:p>
    <w:p>
      <w:pPr>
        <w:jc w:val="both"/>
        <w:spacing w:after="0" w:line="277" w:lineRule="auto"/>
        <w:rPr>
          <w:sz w:val="20"/>
          <w:szCs w:val="20"/>
          <w:color w:val="auto"/>
        </w:rPr>
      </w:pPr>
      <w:r>
        <w:rPr>
          <w:rFonts w:ascii="Arial" w:cs="Arial" w:eastAsia="Arial" w:hAnsi="Arial"/>
          <w:sz w:val="17"/>
          <w:szCs w:val="17"/>
          <w:color w:val="auto"/>
        </w:rPr>
        <w:t>agreement immediately prior to the effectiveness of the Second Amendment. The Refinancing Debt bears interest at lower rates and has a maturity date approximately one year later than the prior term loans. The Second Amendment further modified the senior secured term loan agreement to, among other changes, increase the maximum permitted amount of Restricted Junior Payments, including share repurchases by the Company.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2014, we entered into Amendment No. 3 (“Third Amendment”) to the senior secured term loan agreement to increase the principal amount of the term loan under the senior secured term loan agreement by $200.0 million, which was issued with a $2.0 million original issue discount, resulting in gross proceeds to the Company of $198.0 million. Additionally, the Third Amendment modified the senior secured term loan agreement to, among other changes, to re-establish the $200.0 million incremental term loan facility accordion and increase the maximum amount of permitted Restricted Junior Payments, including share repurchases, by $200.0 million.</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After giving effect to the Third Amendment, the Refinancing Debt must be repaid in equal consecutive quarterly principal installments of $1.5 million, which commenced on September 30, 2014, with the balance due at maturity.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the Refinancing Debt is (with certain exceptions) subject to mandatory prepayment upon issuances of debt, casualty and condemnation events and sales of assets, as well as from a percentage of excess cash flow (as defined in the senior secured term loan agreement) if the leverage ratio (as defined in the senior secured term loan agreement) is greater than 3.00 to 1.00. No mandatory prepayments were owed for the year ended December 31, 2014.</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 term loans outstanding under the senior secured term loan bear interest at rates based upon, at our option, the Adjusted Eurodollar Rate or the Base Rate (each as defined in the senior secured term loan agreement).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December 31, 2014 was 4.50%.</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Payments under the senior secured term loan agreement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81" w:lineRule="auto"/>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on any other debt that equals or exceeds $40.0 million that causes, or gives the holder or holders of such debt the ability to cause, an acceleration of such debt, (vi) occurrence of a Change of Control (as defined in the senior secured term loan agreement), (vii) bankruptcy and insolvency events (as defined in the senior secured term loan agreement), (viii) entry by a court of one or more judgments against us (as defined in the senior secured term loan agreement) in an amount in excess of $40.0 million that remain unbonded, undischarged or unstayed for a certain number of days after the entry thereof,</w:t>
      </w:r>
    </w:p>
    <w:p>
      <w:pPr>
        <w:spacing w:after="0" w:line="2" w:lineRule="exact"/>
        <w:rPr>
          <w:rFonts w:ascii="Arial" w:cs="Arial" w:eastAsia="Arial" w:hAnsi="Arial"/>
          <w:sz w:val="16"/>
          <w:szCs w:val="16"/>
          <w:color w:val="auto"/>
        </w:rPr>
      </w:pPr>
    </w:p>
    <w:p>
      <w:pPr>
        <w:jc w:val="both"/>
        <w:ind w:firstLine="8"/>
        <w:spacing w:after="0" w:line="277" w:lineRule="auto"/>
        <w:tabs>
          <w:tab w:leader="none" w:pos="3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occurrence of certain ERISA events and (x) the failure of certain Loan Documents (as defined in the senior secured term loan agreement)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debt issuance costs were $8.1 million, net of $2.2 million of accumulated amortization. At December 31, 2013, debt issuance costs were $6.7 million, net of $1.0 million of accumulated amortization. Debt issuance costs are included in other assets in the accompanying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term loans, including amortization of debt issuance costs and the net debt discount, totaled $23.4 million, $20.3 million and $1.2 million for the years ended December 31,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60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3"/>
        </w:trPr>
        <w:tc>
          <w:tcPr>
            <w:tcW w:w="5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5,945</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5,945</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561,818</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43"/>
        </w:trPr>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591,543</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16 — SHAREHOLDERS’ EQUITY AND SHARE-BASED COMPENSATION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2014, we had 25.4 million shares authorized and issued, and 20.3 million shares of common stock outstanding. As of December 31, 2013, the Board of Directors had the power to issue shares of authorized but unissued common stock without further shareholder action, subject to the requirements of applicable laws and stock exchanges, and we had 100.0 million shares authorized, 25.4 million shares issued and 22.6 million shares outstanding. In 2014, this authorization to the Board of Directors expired. The holders of shares of Altisource common stock are entitled to one vote for each share on all matters voted on by shareholders, and the holders of such shares will possess all voting power.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key employees and to employees of our affiliates. As of December 31, 2014, 2.5 million share-based awards were available for future grant under the Plan. Expired and forfeited awards are available for reissuance. Vesting and exercise of share-based awards are generally contingent on continued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December 31, 2014, we have purchased approximately 6.2 million shares</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of our common stock in the open market at an average price of $79.16 per share. We purchased 2.5 million shares of common stock at an average price of $103.67 per share during the year ended December 31, 2014 and 1.2 million shares at an average price of $116.99 per share during the year ended December 31, 2013. As of December 31, 2014, approximately 1.1 million shares of common stock remain available for repurchase under the new program. Our senior secured term loan limits the amount we can spend on share repurchases in any year and may prevent repurchases in certain circumstances. As of December 31, 2014, approximately $225 million was available to repurchase our common stock under our senior secured term loan.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issue share-based awards in the form of stock options and certain other equity-based awards for certain employees and officers. We recorded share-based compensation expense of $2.2 million, $2.4 million and $3.6 million for the years ended December 31, 2014, 2013 and 2012,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0.8 million service-based awards were outstanding at December 31, 2014.</w:t>
      </w:r>
    </w:p>
    <w:p>
      <w:pPr>
        <w:spacing w:after="0" w:line="1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1.8 million market-based awards were outstanding at December 31, 2014.</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0.1 million stock options (at a weighted average exercise price of $84.61 per share), less than 0.1 million stock options (at a weighted average exercise price $104.84 per share) and 0.3 million stock options (at a weighted average exercise price of $69.48 per share) during the years ended December 31, 2014, 2013 and 2012,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Binomial</w:t>
            </w:r>
          </w:p>
        </w:tc>
        <w:tc>
          <w:tcPr>
            <w:tcW w:w="180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Black-Scholes</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Binomial</w:t>
            </w:r>
          </w:p>
        </w:tc>
        <w:tc>
          <w:tcPr>
            <w:tcW w:w="17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Black-Scholes</w:t>
            </w:r>
          </w:p>
        </w:tc>
        <w:tc>
          <w:tcPr>
            <w:tcW w:w="1200" w:type="dxa"/>
            <w:vAlign w:val="bottom"/>
          </w:tcPr>
          <w:p>
            <w:pPr>
              <w:jc w:val="right"/>
              <w:ind w:right="320"/>
              <w:spacing w:after="0"/>
              <w:rPr>
                <w:sz w:val="20"/>
                <w:szCs w:val="20"/>
                <w:color w:val="auto"/>
              </w:rPr>
            </w:pPr>
            <w:r>
              <w:rPr>
                <w:rFonts w:ascii="Arial" w:cs="Arial" w:eastAsia="Arial" w:hAnsi="Arial"/>
                <w:sz w:val="14"/>
                <w:szCs w:val="14"/>
                <w:b w:val="1"/>
                <w:bCs w:val="1"/>
                <w:color w:val="auto"/>
              </w:rPr>
              <w:t>Binomial</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 – 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 – 2.49</w:t>
            </w:r>
          </w:p>
        </w:tc>
        <w:tc>
          <w:tcPr>
            <w:tcW w:w="18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1.02 – 1.81</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0.01 – 2.71</w:t>
            </w:r>
          </w:p>
        </w:tc>
        <w:tc>
          <w:tcPr>
            <w:tcW w:w="17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0.87 – 1.17</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 – 2.04</w:t>
            </w:r>
          </w:p>
        </w:tc>
        <w:tc>
          <w:tcPr>
            <w:tcW w:w="0" w:type="dxa"/>
            <w:vAlign w:val="bottom"/>
          </w:tcPr>
          <w:p>
            <w:pPr>
              <w:spacing w:after="0"/>
              <w:rPr>
                <w:sz w:val="1"/>
                <w:szCs w:val="1"/>
                <w:color w:val="auto"/>
              </w:rPr>
            </w:pPr>
          </w:p>
        </w:tc>
      </w:tr>
      <w:tr>
        <w:trPr>
          <w:trHeight w:val="22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Expected stock price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volatility (%)</w:t>
            </w:r>
          </w:p>
        </w:tc>
        <w:tc>
          <w:tcPr>
            <w:tcW w:w="1400" w:type="dxa"/>
            <w:vAlign w:val="bottom"/>
          </w:tcPr>
          <w:p>
            <w:pPr>
              <w:jc w:val="right"/>
              <w:spacing w:after="0"/>
              <w:rPr>
                <w:sz w:val="20"/>
                <w:szCs w:val="20"/>
                <w:color w:val="auto"/>
              </w:rPr>
            </w:pPr>
            <w:r>
              <w:rPr>
                <w:rFonts w:ascii="Arial" w:cs="Arial" w:eastAsia="Arial" w:hAnsi="Arial"/>
                <w:sz w:val="16"/>
                <w:szCs w:val="16"/>
                <w:color w:val="auto"/>
              </w:rPr>
              <w:t>37.57 – 45.15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38.38 – 45.15</w:t>
            </w:r>
          </w:p>
        </w:tc>
        <w:tc>
          <w:tcPr>
            <w:tcW w:w="1800" w:type="dxa"/>
            <w:vAlign w:val="bottom"/>
            <w:gridSpan w:val="3"/>
          </w:tcPr>
          <w:p>
            <w:pPr>
              <w:jc w:val="right"/>
              <w:ind w:right="420"/>
              <w:spacing w:after="0"/>
              <w:rPr>
                <w:sz w:val="20"/>
                <w:szCs w:val="20"/>
                <w:color w:val="auto"/>
              </w:rPr>
            </w:pPr>
            <w:r>
              <w:rPr>
                <w:rFonts w:ascii="Arial" w:cs="Arial" w:eastAsia="Arial" w:hAnsi="Arial"/>
                <w:sz w:val="16"/>
                <w:szCs w:val="16"/>
                <w:color w:val="auto"/>
              </w:rPr>
              <w:t>36.35 – 36.76</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36.40 – 36.80</w:t>
            </w:r>
          </w:p>
        </w:tc>
        <w:tc>
          <w:tcPr>
            <w:tcW w:w="1740" w:type="dxa"/>
            <w:vAlign w:val="bottom"/>
            <w:gridSpan w:val="3"/>
          </w:tcPr>
          <w:p>
            <w:pPr>
              <w:jc w:val="right"/>
              <w:ind w:right="360"/>
              <w:spacing w:after="0"/>
              <w:rPr>
                <w:sz w:val="20"/>
                <w:szCs w:val="20"/>
                <w:color w:val="auto"/>
              </w:rPr>
            </w:pPr>
            <w:r>
              <w:rPr>
                <w:rFonts w:ascii="Arial" w:cs="Arial" w:eastAsia="Arial" w:hAnsi="Arial"/>
                <w:sz w:val="16"/>
                <w:szCs w:val="16"/>
                <w:color w:val="auto"/>
              </w:rPr>
              <w:t>34.22 – 34.65</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34.20 – 34.60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Expected option life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(in years)</w:t>
            </w:r>
          </w:p>
        </w:tc>
        <w:tc>
          <w:tcPr>
            <w:tcW w:w="140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Contractual life (in years)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Fair value</w:t>
            </w:r>
          </w:p>
        </w:tc>
        <w:tc>
          <w:tcPr>
            <w:tcW w:w="1400" w:type="dxa"/>
            <w:vAlign w:val="bottom"/>
          </w:tcPr>
          <w:p>
            <w:pPr>
              <w:jc w:val="right"/>
              <w:spacing w:after="0"/>
              <w:rPr>
                <w:sz w:val="20"/>
                <w:szCs w:val="20"/>
                <w:color w:val="auto"/>
              </w:rPr>
            </w:pPr>
            <w:r>
              <w:rPr>
                <w:rFonts w:ascii="Arial" w:cs="Arial" w:eastAsia="Arial" w:hAnsi="Arial"/>
                <w:sz w:val="16"/>
                <w:szCs w:val="16"/>
                <w:color w:val="auto"/>
              </w:rPr>
              <w:t>$15.54 – $41.79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$12.66 – $33.62</w:t>
            </w:r>
          </w:p>
        </w:tc>
        <w:tc>
          <w:tcPr>
            <w:tcW w:w="1800" w:type="dxa"/>
            <w:vAlign w:val="bottom"/>
            <w:gridSpan w:val="3"/>
          </w:tcPr>
          <w:p>
            <w:pPr>
              <w:jc w:val="right"/>
              <w:ind w:right="420"/>
              <w:spacing w:after="0"/>
              <w:rPr>
                <w:sz w:val="20"/>
                <w:szCs w:val="20"/>
                <w:color w:val="auto"/>
              </w:rPr>
            </w:pPr>
            <w:r>
              <w:rPr>
                <w:rFonts w:ascii="Arial" w:cs="Arial" w:eastAsia="Arial" w:hAnsi="Arial"/>
                <w:sz w:val="16"/>
                <w:szCs w:val="16"/>
                <w:color w:val="auto"/>
              </w:rPr>
              <w:t>$31.33 – $49.14</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$16.12 – $41.72</w:t>
            </w:r>
          </w:p>
        </w:tc>
        <w:tc>
          <w:tcPr>
            <w:tcW w:w="1740" w:type="dxa"/>
            <w:vAlign w:val="bottom"/>
            <w:gridSpan w:val="3"/>
          </w:tcPr>
          <w:p>
            <w:pPr>
              <w:jc w:val="right"/>
              <w:ind w:right="360"/>
              <w:spacing w:after="0"/>
              <w:rPr>
                <w:sz w:val="20"/>
                <w:szCs w:val="20"/>
                <w:color w:val="auto"/>
              </w:rPr>
            </w:pPr>
            <w:r>
              <w:rPr>
                <w:rFonts w:ascii="Arial" w:cs="Arial" w:eastAsia="Arial" w:hAnsi="Arial"/>
                <w:sz w:val="16"/>
                <w:szCs w:val="16"/>
                <w:color w:val="auto"/>
              </w:rPr>
              <w:t>$19.25 – $29.80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$9.98 – $22.76</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fair value of stock options granted, the total intrinsic value of stock options exercised and the grant date fair value of stock options vested during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43"/>
        </w:trPr>
        <w:tc>
          <w:tcPr>
            <w:tcW w:w="6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17,598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options vested during the period</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r>
      <w:tr>
        <w:trPr>
          <w:trHeight w:val="27"/>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2014, estimated unrecognized compensation costs related to share-based payments amounted to $3.4 million, which we expect to recognize over a weighted average remaining requisite service period of approximately 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2,589,343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363,293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137,000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(16,001)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73.14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2,601,892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December 31, 2014</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2,279,555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47,430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Options outstanding</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 exercisable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12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Exercise price range</w:t>
            </w: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13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264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w:t>
            </w: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life</w:t>
            </w:r>
          </w:p>
        </w:tc>
        <w:tc>
          <w:tcPr>
            <w:tcW w:w="240" w:type="dxa"/>
            <w:vAlign w:val="bottom"/>
          </w:tcPr>
          <w:p>
            <w:pPr>
              <w:spacing w:after="0"/>
              <w:rPr>
                <w:sz w:val="16"/>
                <w:szCs w:val="16"/>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2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$0.00 — $10.00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1,647,654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1,647,654</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$10.01 — $20.00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97,737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97,737</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$20.01 — $30.00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477,061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443,624</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$30.01 — $40.00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48,309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28,319</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341"/>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$40.01 — $50.00</w:t>
            </w:r>
            <w:r>
              <w:rPr>
                <w:rFonts w:ascii="Arial" w:cs="Arial" w:eastAsia="Arial" w:hAnsi="Arial"/>
                <w:sz w:val="25"/>
                <w:szCs w:val="25"/>
                <w:color w:val="auto"/>
                <w:vertAlign w:val="superscript"/>
              </w:rPr>
              <w:t>(a)</w:t>
            </w:r>
          </w:p>
        </w:tc>
        <w:tc>
          <w:tcPr>
            <w:tcW w:w="13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3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6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$50.01 — $60.00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6,250</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$60.01 — $70.00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122,250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48,001</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341"/>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$70.01 — $80.00</w:t>
            </w:r>
            <w:r>
              <w:rPr>
                <w:rFonts w:ascii="Arial" w:cs="Arial" w:eastAsia="Arial" w:hAnsi="Arial"/>
                <w:sz w:val="25"/>
                <w:szCs w:val="25"/>
                <w:color w:val="auto"/>
                <w:vertAlign w:val="superscript"/>
              </w:rPr>
              <w:t>(a)</w:t>
            </w:r>
          </w:p>
        </w:tc>
        <w:tc>
          <w:tcPr>
            <w:tcW w:w="1380" w:type="dxa"/>
            <w:vAlign w:val="bottom"/>
            <w:vMerge w:val="restart"/>
          </w:tcPr>
          <w:p>
            <w:pPr>
              <w:jc w:val="right"/>
              <w:ind w:right="31"/>
              <w:spacing w:after="0"/>
              <w:rPr>
                <w:sz w:val="20"/>
                <w:szCs w:val="20"/>
                <w:color w:val="auto"/>
              </w:rPr>
            </w:pPr>
            <w:r>
              <w:rPr>
                <w:rFonts w:ascii="Arial" w:cs="Arial" w:eastAsia="Arial" w:hAnsi="Arial"/>
                <w:sz w:val="18"/>
                <w:szCs w:val="18"/>
                <w:color w:val="auto"/>
              </w:rPr>
              <w:t>25,600</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72.78</w:t>
            </w:r>
          </w:p>
        </w:tc>
        <w:tc>
          <w:tcPr>
            <w:tcW w:w="100" w:type="dxa"/>
            <w:vAlign w:val="bottom"/>
          </w:tcPr>
          <w:p>
            <w:pPr>
              <w:spacing w:after="0"/>
              <w:rPr>
                <w:sz w:val="24"/>
                <w:szCs w:val="24"/>
                <w:color w:val="auto"/>
              </w:rPr>
            </w:pPr>
          </w:p>
        </w:tc>
        <w:tc>
          <w:tcPr>
            <w:tcW w:w="13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$80.01 — $90.00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4,688</w:t>
            </w:r>
          </w:p>
        </w:tc>
        <w:tc>
          <w:tcPr>
            <w:tcW w:w="14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$90.01 — $100.00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73,281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94.32</w:t>
            </w:r>
          </w:p>
        </w:tc>
        <w:tc>
          <w:tcPr>
            <w:tcW w:w="10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1,407</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341"/>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$100.01 — $110.00</w:t>
            </w:r>
            <w:r>
              <w:rPr>
                <w:rFonts w:ascii="Arial" w:cs="Arial" w:eastAsia="Arial" w:hAnsi="Arial"/>
                <w:sz w:val="25"/>
                <w:szCs w:val="25"/>
                <w:color w:val="auto"/>
                <w:vertAlign w:val="superscript"/>
              </w:rPr>
              <w:t>(a)</w:t>
            </w:r>
          </w:p>
        </w:tc>
        <w:tc>
          <w:tcPr>
            <w:tcW w:w="13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105.11</w:t>
            </w:r>
          </w:p>
        </w:tc>
        <w:tc>
          <w:tcPr>
            <w:tcW w:w="10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3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60" w:type="dxa"/>
            <w:vAlign w:val="bottom"/>
            <w:tcBorders>
              <w:bottom w:val="single" w:sz="8" w:color="CCEEFF"/>
            </w:tcBorders>
            <w:gridSpan w:val="2"/>
            <w:vMerge w:val="continue"/>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$120.01 — $130.00</w:t>
            </w:r>
            <w:r>
              <w:rPr>
                <w:rFonts w:ascii="Arial" w:cs="Arial" w:eastAsia="Arial" w:hAnsi="Arial"/>
                <w:sz w:val="25"/>
                <w:szCs w:val="25"/>
                <w:color w:val="auto"/>
                <w:vertAlign w:val="superscript"/>
              </w:rPr>
              <w:t>(a)</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30,000</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125.98</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1,875</w:t>
            </w:r>
          </w:p>
        </w:tc>
        <w:tc>
          <w:tcPr>
            <w:tcW w:w="1460" w:type="dxa"/>
            <w:vAlign w:val="bottom"/>
            <w:tcBorders>
              <w:bottom w:val="single" w:sz="8" w:color="CCEEFF"/>
            </w:tcBorders>
            <w:gridSpan w:val="2"/>
          </w:tcPr>
          <w:p>
            <w:pPr>
              <w:jc w:val="right"/>
              <w:ind w:right="22"/>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125.98</w:t>
            </w: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2,601,892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2,279,555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These options contain market-based components as described above. All other options are time-based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 performance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52"/>
        </w:trPr>
        <w:tc>
          <w:tcPr>
            <w:tcW w:w="7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Vesting price</w:t>
            </w:r>
          </w:p>
        </w:tc>
        <w:tc>
          <w:tcPr>
            <w:tcW w:w="300" w:type="dxa"/>
            <w:vAlign w:val="bottom"/>
          </w:tcPr>
          <w:p>
            <w:pPr>
              <w:spacing w:after="0"/>
              <w:rPr>
                <w:sz w:val="13"/>
                <w:szCs w:val="13"/>
                <w:color w:val="auto"/>
              </w:rPr>
            </w:pPr>
          </w:p>
        </w:tc>
        <w:tc>
          <w:tcPr>
            <w:tcW w:w="15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9"/>
              </w:rPr>
              <w:t>Ordinary</w:t>
            </w:r>
          </w:p>
        </w:tc>
        <w:tc>
          <w:tcPr>
            <w:tcW w:w="280" w:type="dxa"/>
            <w:vAlign w:val="bottom"/>
          </w:tcPr>
          <w:p>
            <w:pPr>
              <w:spacing w:after="0"/>
              <w:rPr>
                <w:sz w:val="13"/>
                <w:szCs w:val="13"/>
                <w:color w:val="auto"/>
              </w:rPr>
            </w:pPr>
          </w:p>
        </w:tc>
        <w:tc>
          <w:tcPr>
            <w:tcW w:w="154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92"/>
        </w:trPr>
        <w:tc>
          <w:tcPr>
            <w:tcW w:w="7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performance</w:t>
            </w:r>
          </w:p>
        </w:tc>
        <w:tc>
          <w:tcPr>
            <w:tcW w:w="280" w:type="dxa"/>
            <w:vAlign w:val="bottom"/>
          </w:tcPr>
          <w:p>
            <w:pPr>
              <w:spacing w:after="0"/>
              <w:rPr>
                <w:sz w:val="16"/>
                <w:szCs w:val="16"/>
                <w:color w:val="auto"/>
              </w:rPr>
            </w:pPr>
          </w:p>
        </w:tc>
        <w:tc>
          <w:tcPr>
            <w:tcW w:w="1540" w:type="dxa"/>
            <w:vAlign w:val="bottom"/>
          </w:tcPr>
          <w:p>
            <w:pPr>
              <w:jc w:val="right"/>
              <w:ind w:right="4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43"/>
        </w:trPr>
        <w:tc>
          <w:tcPr>
            <w:tcW w:w="7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$170.01 — $180.00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$180.01 — $190.00</w:t>
            </w:r>
          </w:p>
        </w:tc>
        <w:tc>
          <w:tcPr>
            <w:tcW w:w="300" w:type="dxa"/>
            <w:vAlign w:val="bottom"/>
          </w:tcPr>
          <w:p>
            <w:pPr>
              <w:spacing w:after="0"/>
              <w:rPr>
                <w:sz w:val="21"/>
                <w:szCs w:val="21"/>
                <w:color w:val="auto"/>
              </w:rPr>
            </w:pPr>
          </w:p>
        </w:tc>
        <w:tc>
          <w:tcPr>
            <w:tcW w:w="1400" w:type="dxa"/>
            <w:vAlign w:val="bottom"/>
            <w:vMerge w:val="restart"/>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vMerge w:val="restart"/>
          </w:tcPr>
          <w:p>
            <w:pPr>
              <w:jc w:val="right"/>
              <w:ind w:right="15"/>
              <w:spacing w:after="0"/>
              <w:rPr>
                <w:sz w:val="20"/>
                <w:szCs w:val="20"/>
                <w:color w:val="auto"/>
              </w:rPr>
            </w:pPr>
            <w:r>
              <w:rPr>
                <w:rFonts w:ascii="Arial" w:cs="Arial" w:eastAsia="Arial" w:hAnsi="Arial"/>
                <w:sz w:val="18"/>
                <w:szCs w:val="18"/>
                <w:color w:val="auto"/>
              </w:rPr>
              <w:t>40,875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$190.00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37,650</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78,525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 price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100.37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0"/>
                <w:szCs w:val="20"/>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113,145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243,325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193,233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123,338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96,147</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23,404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10,167</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707,180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492,480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366,201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compliance, human resources, vendor management, risk and operational effectiveness roles. This category also includes occupancy costs, professional fees and depreciation and amortization on non-operating assets. The components of selling, general and administrative expenses were as follows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45,098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8,022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28,176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7,548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24,130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30,417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201,282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113,810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19 — OTHER INCOME (EXPENSE), NET</w:t>
            </w: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2"/>
          </w:tcPr>
          <w:p>
            <w:pPr>
              <w:spacing w:after="0"/>
              <w:rPr>
                <w:sz w:val="20"/>
                <w:szCs w:val="20"/>
                <w:color w:val="auto"/>
              </w:rPr>
            </w:pPr>
            <w:r>
              <w:rPr>
                <w:rFonts w:ascii="Arial" w:cs="Arial" w:eastAsia="Arial" w:hAnsi="Arial"/>
                <w:sz w:val="18"/>
                <w:szCs w:val="18"/>
                <w:color w:val="auto"/>
                <w:w w:val="95"/>
              </w:rPr>
              <w:t>Other income (expense), net consists of the following for the years ended December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 equity affiliate, including impairment loss</w:t>
            </w:r>
          </w:p>
        </w:tc>
        <w:tc>
          <w:tcPr>
            <w:tcW w:w="60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Loss in equity affiliates primarily represents our proportional share of the losses in Correspondent One and impairment loss on the investment (see Note 11).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 ended December 31: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6380" w:type="dxa"/>
            <w:vAlign w:val="bottom"/>
            <w:gridSpan w:val="4"/>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3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Domestic - Luxembourg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20"/>
              <w:spacing w:after="0"/>
              <w:rPr>
                <w:sz w:val="20"/>
                <w:szCs w:val="20"/>
                <w:color w:val="auto"/>
              </w:rPr>
            </w:pPr>
            <w:r>
              <w:rPr>
                <w:rFonts w:ascii="Arial" w:cs="Arial" w:eastAsia="Arial" w:hAnsi="Arial"/>
                <w:sz w:val="18"/>
                <w:szCs w:val="18"/>
                <w:color w:val="auto"/>
              </w:rPr>
              <w:t>Foreign - U.S.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3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Foreign - Non-U.S.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3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142,333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124,649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Arial" w:cs="Arial" w:eastAsia="Arial" w:hAnsi="Arial"/>
                <w:sz w:val="18"/>
                <w:szCs w:val="18"/>
                <w:color w:val="auto"/>
                <w:w w:val="95"/>
              </w:rPr>
              <w:t>The income tax provision consists of the following for the years ended December 31:</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2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420" w:type="dxa"/>
            <w:vAlign w:val="bottom"/>
            <w:gridSpan w:val="5"/>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6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Domestic - Luxembourg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Foreign - U.S. Federal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Foreign - U.S. State</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Foreign - Non-U.S.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Domestic - Luxembourg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Foreign - U.S. Federal</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Foreign - U.S. State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gridSpan w:val="4"/>
          </w:tcPr>
          <w:p>
            <w:pPr>
              <w:ind w:left="140"/>
              <w:spacing w:after="0"/>
              <w:rPr>
                <w:sz w:val="20"/>
                <w:szCs w:val="20"/>
                <w:color w:val="auto"/>
              </w:rPr>
            </w:pPr>
            <w:r>
              <w:rPr>
                <w:rFonts w:ascii="Arial" w:cs="Arial" w:eastAsia="Arial" w:hAnsi="Arial"/>
                <w:sz w:val="18"/>
                <w:szCs w:val="18"/>
                <w:color w:val="auto"/>
              </w:rPr>
              <w:t>Foreign - Non-U.S.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gridSpan w:val="2"/>
          </w:tcPr>
          <w:p>
            <w:pPr>
              <w:spacing w:after="0"/>
              <w:rPr>
                <w:sz w:val="5"/>
                <w:szCs w:val="5"/>
                <w:color w:val="auto"/>
              </w:rPr>
            </w:pPr>
          </w:p>
        </w:tc>
        <w:tc>
          <w:tcPr>
            <w:tcW w:w="12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6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received a tax ruling in June 2010 regarding the treatment of certain intangibles that exist for purposes of determining the Company’s taxable income, which expires in 2019 unless extended or renewed. This ruling does not have a material impact on our deferred tax assets or liabilities. Income tax computed by applying the Luxembourg statutory income tax rate of 29.22% differs from income tax computed at the effective tax rate primarily because of the effect of the tax ruling and differing tax rates in multiple jurisdictions.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tax holidays in certain geographies in India and the Philippines. The India tax holidays are effective through 2020, and may be extended if certain additional requirements are satisfied. The Philippines tax holiday is effective through 2016, and may also be extended. The tax holidays are conditional upon our meeting certain employment and investment thresholds. The impact of these tax holidays decreased foreign taxes by $0.9 million ($0.04 per diluted share), $0.2 million ($0.01 per diluted share) and $1.5 million ($0.06 per diluted share) for the years ended December 31, 2014, 2013 and 2012, respectively.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43"/>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 and other reserves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deferred tax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deferred tax assets,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12,439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federal and state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Non-U.S. deferred tax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assets,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Non-current deferred tax liabilities,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3,459</w:t>
            </w:r>
          </w:p>
        </w:tc>
      </w:tr>
      <w:tr>
        <w:trPr>
          <w:trHeight w:val="230"/>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19,900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14,738</w:t>
            </w:r>
          </w:p>
        </w:tc>
      </w:tr>
      <w:tr>
        <w:trPr>
          <w:trHeight w:val="230"/>
        </w:trPr>
        <w:tc>
          <w:tcPr>
            <w:tcW w:w="8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valuation allowance is provided when it is deemed more likely than not that some portion or all of a deferred tax asset will not be realized. In determining whether a valuation allowance is needed, we considered estimates of future taxable income, future reversals of temporary differences, the tax character of gains and losses, and the impact of tax planning strategies that can be implemented, if warranted. The net decrease in valuation allowance of $0.1 million during 2014 relates to an increase in state and foreign losses generated in the current year and a release of prior year valuation allowance related to certain state losses the Company believes will more likely than not be realized.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we have chosen to indefinitely reinvest these earnings. The earnings reinvested as of December 31, 2014 were approximately $48.0 million, which if distributed would result in additional tax due totaling approximately $9.6 million.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had a deferred tax asset of $13.9 million as of December 31, 2014 relating to the U.S. federal, state and foreign net operating losses compared to $12.4 million as of December 31, 2013. Of this amount, $1.8 million as of December 31, 2014 related to state net operating losses subject to a valuation allowance compared to $1.4 million as of December 31, 2013, and $1.7 million as of December 31, 2014 related to Luxembourg net operating losses subject to a valuation allowance compared to $1.8 million as of December 31, 2013. The Company has not recognized the U.S. federal net operating loss carryforwards of $13.6 million as of December 31, 2014 related to stock options exercised compared to $9.5 million as of December 31, 2013. If realized, the benefit would be an increase to additional paid-in capital. The gross amount of net operating losses available for carryover to future years is approximately $35.7 million as of December 31, 2014 compared to $32.6 million as of December 31, 2013. Of this amount, $12.2 million as of December 31, 2014 compared to $13.5 million as of December 31, 2013 relates to NCI for periods prior to our acquisition of NCI and is subject to Section 382 of the Internal Revenue Code (the “Code”) which limits their use to approximately $1.3 million per year. These losses are scheduled to expire between the years 2022 and 2029.</w:t>
      </w:r>
    </w:p>
    <w:p>
      <w:pPr>
        <w:sectPr>
          <w:pgSz w:w="11900" w:h="16838" w:orient="portrait"/>
          <w:cols w:equalWidth="0" w:num="1">
            <w:col w:w="11420"/>
          </w:cols>
          <w:pgMar w:left="240" w:top="125" w:right="239" w:bottom="1054"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054"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 deferred tax asset of $1.2 million as of December 31, 2014 relating to the U.S. federal and state tax credits (no comparative amount for 2013). The U.S. federal credit carryforward is scheduled to expire between 2032 and 2034. The state tax credit carryforwards are scheduled to expire between 2017 and 2024.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distribution of the Company in connection with the separation from Ocwen during 2009 was intended to be a tax-free transaction under Section 355 of the Code. To the extent Ocwen does recognize tax under Section 355 of the Code, Altisource has agreed to indemnify Ocwen. In addition, we have agreed to indemnify Ocwen should the expected tax treatments not be upheld upon review or audit to the extent related to our operating results. The Company does not anticipate a material obligation under this indemnity.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income tax provision to the Luxembourg statutory income tax rate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2"/>
          </w:tcPr>
          <w:p>
            <w:pPr>
              <w:ind w:left="6880"/>
              <w:spacing w:after="0"/>
              <w:rPr>
                <w:sz w:val="20"/>
                <w:szCs w:val="20"/>
                <w:color w:val="auto"/>
              </w:rPr>
            </w:pPr>
            <w:r>
              <w:rPr>
                <w:rFonts w:ascii="Arial" w:cs="Arial" w:eastAsia="Arial" w:hAnsi="Arial"/>
                <w:sz w:val="14"/>
                <w:szCs w:val="14"/>
                <w:b w:val="1"/>
                <w:bCs w:val="1"/>
                <w:color w:val="auto"/>
                <w:w w:val="83"/>
              </w:rPr>
              <w:t>2014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43"/>
        </w:trPr>
        <w:tc>
          <w:tcPr>
            <w:tcW w:w="61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29.22 %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28.80 %</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Permanent difference related to Luxembourg intangible assets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7"/>
              </w:rPr>
              <w:t>(22.60)</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(21.99)</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0.16</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State tax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0.17</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Uncertain taxes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(0.13)</w:t>
            </w:r>
          </w:p>
        </w:tc>
      </w:tr>
      <w:tr>
        <w:trPr>
          <w:trHeight w:val="237"/>
        </w:trPr>
        <w:tc>
          <w:tcPr>
            <w:tcW w:w="61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64"/>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The Company has open tax years in the United States (2011 through 2013), India (2010 through 2014) and Luxembourg (2010 through 2013).</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amount of unrecognized tax benefits for the year ended December 31, 2014 (no comparative amounts for 2013):</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210"/>
        </w:trPr>
        <w:tc>
          <w:tcPr>
            <w:tcW w:w="6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2014</w:t>
            </w:r>
          </w:p>
        </w:tc>
      </w:tr>
      <w:tr>
        <w:trPr>
          <w:trHeight w:val="33"/>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Increases as a result of tax positions taken in a prior period</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5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Amount of unrecognized tax benefit as of the end of the year</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$1.3 million as of December 31, 2014 (no comparative amount for 2013). The Company recognizes interest, if any, related to unrecognized tax benefits as a component of income tax expense. As of December 31, 2014, the Company had recorded accrued interest and penalties related to unrecognized tax benefits of $0.1 million (no comparative amount for 2013).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an expected settlement within the next twelve months, an estimated $1.3 million of unrecognized tax benefits may be recognized during that twelve 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all dilutive securities using the treasury stock method.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20"/>
                <w:szCs w:val="20"/>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2012</w:t>
            </w:r>
          </w:p>
        </w:tc>
      </w:tr>
      <w:tr>
        <w:trPr>
          <w:trHeight w:val="243"/>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134,484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129,973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110,627</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23,358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1,604</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30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23,634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24,962</w:t>
            </w:r>
          </w:p>
        </w:tc>
      </w:tr>
      <w:tr>
        <w:trPr>
          <w:trHeight w:val="230"/>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4.74</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of the years ended December 31, 2014, 2013 and 2012, less than 0.1 million options that were anti-dilutive have been excluded from the computation of diluted EPS. These options were anti-dilutive because their exercise price was greater than the average market price of our common stock. Also excluded from the computation of diluted EPS are 0.1 million, 0.1 million and 0.3 million options for the years ended December 31, 2014, 2013 and 2012, respectively, granted for shares that are issuable upon the achievement of certain market and performance criteria related to our common stock price and an annualized rate of return to investors that have not yet been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adds Ocwen Financial Corporation as a defendant, and seeks a determination that the action may be maintained as a class action on behalf of purchasers of the Company’s securities between April 25, 2013 and December 21, 2014 and an unspecified amount of damages. Altisource intends to vigorously defend this lawsuit. Altisource is unable to predict the outcome of this lawsuit or reasonably estimate the potential loss, if any, arising from the suit, given that motions to dismiss have not yet been filed or adjudicated, discovery has not commenced and significant legal and factual issues remain to be determined.</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Ocwen is our largest customer and 60% of our 2014 revenue was related party revenue from Ocwen. Additionally, 24% of our 2014 revenue was earned on the portfolios serviced by Ocwen, but is not considered related party revenue because a party other than Ocwen selects Altisource as the service provider. Ocwen has been and is subject to a number of pending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New York Department of Financial Services (“NYDFS”), which is assessing the adequacy and effectiveness of Ocwen’s operations, including information technology systems, (iii) required to perform benchmarking pricing studies for transactions with related parties, which are subject to periodic review by the monitor imposed by the NYDFS and (iv) subject to requirements under an agreement with the Consumer Finance Protection Bureau and various states attorneys general and agencies that imposed specific servicing guidelines and oversight by an independent national monitor, who recently reported they were investigating the reliability of information Ocwen has provided.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these various difficulties faced by Ocwen, its debt and servicer ratings have been downgraded. Further, certain bondholders of Ocwen-serviced residential mortgage-backed securities (“RMBS”) alleged that Ocwen, as servicer of certain mortgage-backed securities trusts, defaulted on these servicing agreements.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Ocwen relies, in part, on HLSS to finance its operations. For a significant portion of Ocwen-serviced non-government-sponsored enterprise (“non-GSE”) loans, HLSS owns (1) the rights to receive the servicing fees that Ocwen is entitled to receive and (2) associated servicing advances. As a result of certain of the foregoing matters, HLSS has received notices of default with respect to certain of its debt financing and has received demands from a shareholder that servicing be transferred away from Ocwen.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services), it may be required to seek changes to its existing pricing structure with related parties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Further, Ocwen’s ability to finance its operations and repay maturing obligations rests in large part on its ability and the ability of HLSS to continue to borrow money, which also may be affected by any or all of the circumstances described above. Any or all of these effects could result in our eventual loss of Ocwen as a customer or a reduction in the volume of services they purchase from us or the loss of other customers.</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following events occurred, Altisource’s revenue would be significantly lower and our results of operations would be materially adversely affected, including from the impairment or write-off of goodwill, intangible assets, property and equipment, other assets and accounts receivable:</w:t>
      </w:r>
    </w:p>
    <w:p>
      <w:pPr>
        <w:spacing w:after="0" w:line="10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Ocwen loses its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allows us to realign our cost structure in line with remaining revenue.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include:</w:t>
      </w:r>
    </w:p>
    <w:p>
      <w:pPr>
        <w:spacing w:after="0" w:line="1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new clients to our comprehensive default related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our origination services and technology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our innovative online real estate marketplaces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Growing our property management and renovation services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our plans, together with current liquidity and cash flows from operations will be sufficient to meet working capital, capital expenditures, debt service and other cash needs for at least the next year. However, there can be no assurance that our plans would be successful or our operations would be profitable.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2014 under non-cancelable operating leases with an original term exceeding one year are as follows:</w:t>
      </w:r>
    </w:p>
    <w:p>
      <w:pPr>
        <w:spacing w:after="0" w:line="312"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5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43"/>
        </w:trPr>
        <w:tc>
          <w:tcPr>
            <w:tcW w:w="5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lease expense, net of sublease income, was $20.1 million, $12.8 million and $10.9 million for the years ended December 31, 2014, 2013 and 2012, respectively. The operating leases generally relate to office locations and reflect customary lease terms which range from 1 to 10 years in duration.</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acquisition of Equator (see Note 5), we executed a standby letter of credit in the amount of $1.5 million related to an office lease, secured by a restricted cash balance. In addition, we executed standby letters of credit totaling $1.8 million for three other office leases.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consolidated balance sheets. Amounts held in escrow and trust accounts were $62.5 million and $71.8 million at December 31, 2014 and 2013,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investors and other sellers of single family</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homes.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segment principally consists of our REALSuite software applications, Equator’s software applications, Mortgage Builder’s software applications and our information 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and foreclosure related activities and purchase related services from vendors. Mortgage Builder provides mortgage origination and servicing software applications. In addition, </w:t>
      </w:r>
      <w:r>
        <w:rPr>
          <w:rFonts w:ascii="Arial" w:cs="Arial" w:eastAsia="Arial" w:hAnsi="Arial"/>
          <w:sz w:val="16"/>
          <w:szCs w:val="16"/>
          <w:i w:val="1"/>
          <w:iCs w:val="1"/>
          <w:color w:val="auto"/>
        </w:rPr>
        <w:t>Corporate Items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Eliminations </w:t>
      </w:r>
      <w:r>
        <w:rPr>
          <w:rFonts w:ascii="Arial" w:cs="Arial" w:eastAsia="Arial" w:hAnsi="Arial"/>
          <w:sz w:val="16"/>
          <w:szCs w:val="16"/>
          <w:color w:val="auto"/>
        </w:rPr>
        <w:t>include eliminations of transactions between the reportable segments, interest expense and costs related to corporate support functions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executive, finance, legal, compliance, human resources, vendor management, risk and operational effectiveness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12"/>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790,076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230,367</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484,512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64,338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194,301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305,564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94,678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18,791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201,282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210,886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211,090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4,085</w:t>
            </w:r>
          </w:p>
        </w:tc>
        <w:tc>
          <w:tcPr>
            <w:tcW w:w="4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(83,342)</w:t>
            </w:r>
          </w:p>
        </w:tc>
        <w:tc>
          <w:tcPr>
            <w:tcW w:w="2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147,265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596,152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103,891</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374,713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55,328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221,439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37,630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46,515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174,924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174,788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22,049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6,918</w:t>
            </w:r>
          </w:p>
        </w:tc>
        <w:tc>
          <w:tcPr>
            <w:tcW w:w="4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(61,422)</w:t>
            </w:r>
          </w:p>
        </w:tc>
        <w:tc>
          <w:tcPr>
            <w:tcW w:w="2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142,333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4"/>
                <w:szCs w:val="14"/>
                <w:b w:val="1"/>
                <w:bCs w:val="1"/>
                <w:color w:val="auto"/>
                <w:w w:val="92"/>
              </w:rPr>
              <w:t>For the year ended December 31, 2012</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74,189</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285,586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54,634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366,201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19,555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8,888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27,310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74,712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 and non-controlling</w:t>
            </w:r>
          </w:p>
        </w:tc>
        <w:tc>
          <w:tcPr>
            <w:tcW w:w="3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140,398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4"/>
              <w:spacing w:after="0"/>
              <w:rPr>
                <w:sz w:val="20"/>
                <w:szCs w:val="20"/>
                <w:color w:val="auto"/>
              </w:rPr>
            </w:pPr>
            <w:r>
              <w:rPr>
                <w:rFonts w:ascii="Arial" w:cs="Arial" w:eastAsia="Arial" w:hAnsi="Arial"/>
                <w:sz w:val="18"/>
                <w:szCs w:val="18"/>
                <w:color w:val="auto"/>
              </w:rPr>
              <w:t>10,642</w:t>
            </w:r>
          </w:p>
        </w:tc>
        <w:tc>
          <w:tcPr>
            <w:tcW w:w="40" w:type="dxa"/>
            <w:vAlign w:val="bottom"/>
          </w:tcPr>
          <w:p>
            <w:pPr>
              <w:spacing w:after="0"/>
              <w:rPr>
                <w:sz w:val="19"/>
                <w:szCs w:val="19"/>
                <w:color w:val="auto"/>
              </w:rPr>
            </w:pPr>
          </w:p>
        </w:tc>
        <w:tc>
          <w:tcPr>
            <w:tcW w:w="30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(30,734)</w:t>
            </w:r>
          </w:p>
        </w:tc>
        <w:tc>
          <w:tcPr>
            <w:tcW w:w="20" w:type="dxa"/>
            <w:vAlign w:val="bottom"/>
          </w:tcPr>
          <w:p>
            <w:pPr>
              <w:spacing w:after="0"/>
              <w:rPr>
                <w:sz w:val="19"/>
                <w:szCs w:val="19"/>
                <w:color w:val="auto"/>
              </w:rPr>
            </w:pPr>
          </w:p>
        </w:tc>
        <w:tc>
          <w:tcPr>
            <w:tcW w:w="3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124,649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40" w:type="dxa"/>
            <w:vAlign w:val="bottom"/>
            <w:gridSpan w:val="3"/>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8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487" w:gutter="0" w:footer="0" w:header="0"/>
          <w:type w:val="continuous"/>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Mortgage</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Technology</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Corporate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5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313,206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56,096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250,403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168,516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788,221</w:t>
            </w:r>
          </w:p>
        </w:tc>
      </w:tr>
      <w:tr>
        <w:trPr>
          <w:trHeight w:val="27"/>
        </w:trPr>
        <w:tc>
          <w:tcPr>
            <w:tcW w:w="2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1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310,253</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55,930</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277,941</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85,928</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730,052</w:t>
            </w:r>
          </w:p>
        </w:tc>
      </w:tr>
      <w:tr>
        <w:trPr>
          <w:trHeight w:val="27"/>
        </w:trPr>
        <w:tc>
          <w:tcPr>
            <w:tcW w:w="28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1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88,274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63,615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127,759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QUARTERLY FINANCIAL DATA (UNAUDITED)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2014 and 2013.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 xml:space="preserve">2014 quarter ended </w:t>
            </w:r>
            <w:r>
              <w:rPr>
                <w:rFonts w:ascii="Arial" w:cs="Arial" w:eastAsia="Arial" w:hAnsi="Arial"/>
                <w:sz w:val="8"/>
                <w:szCs w:val="8"/>
                <w:b w:val="1"/>
                <w:bCs w:val="1"/>
                <w:color w:val="auto"/>
              </w:rPr>
              <w:t>(1)(2)</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255,887</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112,073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98,964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69,235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20,306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20,306</w:t>
            </w:r>
          </w:p>
        </w:tc>
      </w:tr>
      <w:tr>
        <w:trPr>
          <w:trHeight w:val="45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4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 xml:space="preserve">2013 quarter ended </w:t>
            </w:r>
            <w:r>
              <w:rPr>
                <w:rFonts w:ascii="Arial" w:cs="Arial" w:eastAsia="Arial" w:hAnsi="Arial"/>
                <w:sz w:val="8"/>
                <w:szCs w:val="8"/>
                <w:b w:val="1"/>
                <w:bCs w:val="1"/>
                <w:color w:val="auto"/>
              </w:rPr>
              <w:t>(1)(3)</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222,585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69,138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76,574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78,300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36,243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35,516</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22,734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25,005</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w:t>
      </w:r>
    </w:p>
    <w:p>
      <w:pPr>
        <w:spacing w:after="0" w:line="66" w:lineRule="exact"/>
        <w:rPr>
          <w:sz w:val="20"/>
          <w:szCs w:val="20"/>
          <w:color w:val="auto"/>
        </w:rPr>
      </w:pPr>
    </w:p>
    <w:p>
      <w:pPr>
        <w:jc w:val="both"/>
        <w:ind w:left="180" w:right="20" w:hanging="161"/>
        <w:spacing w:after="0" w:line="214"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81"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We acquired Mortgage Builder on September 12, 2014 and acquired Owners.com on November 21, 2014 (see Note 5).</w:t>
      </w:r>
    </w:p>
    <w:p>
      <w:pPr>
        <w:spacing w:after="0" w:line="1" w:lineRule="exact"/>
        <w:rPr>
          <w:sz w:val="20"/>
          <w:szCs w:val="20"/>
          <w:color w:val="auto"/>
        </w:rPr>
      </w:pPr>
    </w:p>
    <w:p>
      <w:pPr>
        <w:jc w:val="both"/>
        <w:ind w:left="180" w:hanging="161"/>
        <w:spacing w:after="0" w:line="21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We acquired the Homeward fee-based businesses on March 29, 2013, completed the ResCap fee-based business transaction on April 12, 2013 and acquired Equator on November 15, 2013 (see Note 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420" w:hanging="647"/>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report. Based on such evaluation, such officers have concluded that our disclosure controls and procedures as of the end of the period covered by this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defined in Rule 13a-15(f) of the Exchange Act. Management has assessed the effectiveness of our internal control over financial reporting as of December 31, 2014 based on criteria established in </w:t>
      </w:r>
      <w:r>
        <w:rPr>
          <w:rFonts w:ascii="Arial" w:cs="Arial" w:eastAsia="Arial" w:hAnsi="Arial"/>
          <w:sz w:val="16"/>
          <w:szCs w:val="16"/>
          <w:i w:val="1"/>
          <w:iCs w:val="1"/>
          <w:color w:val="auto"/>
        </w:rPr>
        <w:t xml:space="preserve">Internal Control-Integrated Framework (2013) </w:t>
      </w:r>
      <w:r>
        <w:rPr>
          <w:rFonts w:ascii="Arial" w:cs="Arial" w:eastAsia="Arial" w:hAnsi="Arial"/>
          <w:sz w:val="16"/>
          <w:szCs w:val="16"/>
          <w:color w:val="auto"/>
        </w:rPr>
        <w:t>issued by the Committee of Sponsoring Organizations of the Treadway Commission.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assessment of the effectiveness of internal control over financial reporting includes all of our businesses except for the businesses and certain assets acquired and certain liabilities assumed of Mortgage Builder Software, Inc. and Owners Advantage, LLC, which were acquired on September 12, 2014 and November 21, 2014, respectively, and whose combined financial statements represent 5% of total assets and less than 1% of revenues and net income attributable to Altisource of the consolidated financial statement amounts as of and for the year ended December 31, 2014. See Note 5 to the accompanying consolidated financial statements for further discussion of these acquisitions. As a result of this assessment, management concluded that, as of December 31, 2014, our internal control over financial reporting was effective in providing reasonable assurance regarding the reliability of financial reporting and the preparation of financial statements for external purposes in accordance with generally accepted accounting principles. Deloitte &amp; Touche LLP has independently assessed the effectiveness of our internal control over financial reporting and its report is included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2014, that have materially affected, or are reasonably likely to materially affect, our internal control over financial reporting.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we determined that disclosures of related party expenses in previously issued financial statements were not complete. In connection with our second quarter of 2014 financial reporting and closing process, we enhanced and implemented our related party disclosure controls to include disclosure reconciliation procedures between us and our related parties and reviews of related party activity reflected in accounts receivable and accounts payable to ensure our disclosures are complete.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Exchange Act.</w:t>
      </w:r>
    </w:p>
    <w:p>
      <w:pPr>
        <w:spacing w:after="0" w:line="166" w:lineRule="exact"/>
        <w:rPr>
          <w:sz w:val="20"/>
          <w:szCs w:val="20"/>
          <w:color w:val="auto"/>
        </w:rPr>
      </w:pPr>
    </w:p>
    <w:p>
      <w:pPr>
        <w:ind w:right="21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2015 annual meeting of shareholders to be filed pursuant to Regulation 14A under the Exchange Act.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ind w:left="1180" w:hanging="1145"/>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00" w:lineRule="exact"/>
        <w:rPr>
          <w:sz w:val="20"/>
          <w:szCs w:val="20"/>
          <w:color w:val="auto"/>
        </w:rPr>
      </w:pPr>
    </w:p>
    <w:p>
      <w:pPr>
        <w:spacing w:after="0" w:line="201" w:lineRule="exact"/>
        <w:rPr>
          <w:sz w:val="20"/>
          <w:szCs w:val="20"/>
          <w:color w:val="auto"/>
        </w:rPr>
      </w:pPr>
    </w:p>
    <w:p>
      <w:pPr>
        <w:ind w:left="1180" w:right="8700" w:hanging="1145"/>
        <w:spacing w:after="0" w:line="510"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180" w:hanging="1145"/>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80" w:hanging="1145"/>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240" w:type="dxa"/>
            <w:vAlign w:val="bottom"/>
          </w:tcPr>
          <w:p>
            <w:pPr>
              <w:spacing w:after="0"/>
              <w:rPr>
                <w:sz w:val="18"/>
                <w:szCs w:val="18"/>
                <w:color w:val="auto"/>
              </w:rPr>
            </w:pPr>
          </w:p>
        </w:tc>
      </w:tr>
      <w:tr>
        <w:trPr>
          <w:trHeight w:val="234"/>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24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40" w:type="dxa"/>
            <w:vAlign w:val="bottom"/>
            <w:tcBorders>
              <w:bottom w:val="single" w:sz="8" w:color="auto"/>
            </w:tcBorders>
          </w:tcPr>
          <w:p>
            <w:pPr>
              <w:spacing w:after="0"/>
              <w:rPr>
                <w:sz w:val="2"/>
                <w:szCs w:val="2"/>
                <w:color w:val="auto"/>
              </w:rPr>
            </w:pPr>
          </w:p>
        </w:tc>
      </w:tr>
      <w:tr>
        <w:trPr>
          <w:trHeight w:val="344"/>
        </w:trPr>
        <w:tc>
          <w:tcPr>
            <w:tcW w:w="820" w:type="dxa"/>
            <w:vAlign w:val="bottom"/>
          </w:tcPr>
          <w:p>
            <w:pPr>
              <w:ind w:lef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Form of Separation Agreement between Altisource Portfolio Solutions S.A. and Ocwen Financial Corporation (incorporated by reference to</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Exhibit 2.1 of the Registrant’s Form 10-12B/A — Amendment No. 1 to Form 10 as filed with the Commission on June 29,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Separation Agreement, dated as of December 21, 2012, between Altisource Residential Corporation and Altisource Portfolio Solutions S.A.</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(incorporated by reference to Exhibit 2.1 to the Company’s Form 8-K filed on December 28, 2012)</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6"/>
              </w:rPr>
              <w:t>Separation Agreement, dated as of December 21, 2012, between Altisource Asset Management Corporation and Altisource Portfolio</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Solutions S.A. (incorporated by reference to Exhibit 2.2 to the Company’s Form 8-K filed on December 28, 2012)</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as of March 29, 2013, by and among Altisource Portfolio Solutions, Inc., Altisource Solutions S.à r.l.,</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3"/>
              </w:rPr>
              <w:t>Ocwen Financial Corporation, Homeward Residential, Inc. and Power Valuation Services, Inc. (incorporated by reference to Exhibit 2.1 to</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the Company’s Form 8-K filed on April 4, 2013)</w:t>
            </w:r>
          </w:p>
        </w:tc>
      </w:tr>
      <w:tr>
        <w:trPr>
          <w:trHeight w:val="593"/>
        </w:trPr>
        <w:tc>
          <w:tcPr>
            <w:tcW w:w="820" w:type="dxa"/>
            <w:vAlign w:val="bottom"/>
          </w:tcPr>
          <w:p>
            <w:pPr>
              <w:ind w:left="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as of August 19, 2013, by and among Altisource Portfolio Solutions S.A., Altisource Solutions S.à r.l.</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4"/>
              </w:rPr>
              <w:t>and the Equity Interestholders of Equator, LLC (incorporated by reference to Exhibit 2.1 to the Company’s Form 8-K filed on August 21,</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2013)</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4"/>
              </w:rPr>
              <w:t>Articles of Incorporation of Altisource Portfolio Solutions S.A. (incorporated by reference to Exhibit 3.1 to the Company’s Form 10-K filed</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on February 13, 2014)</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Separation Agreement, dated as of August 10, 2009, by and between Altisource Portfolio Solutions S.A. and Ocwen Financial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10.1 of the Registrant’s Current Report on Form 8-K as filed with the Commission on August 13,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6"/>
              </w:rPr>
              <w:t>Tax Matters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10.2 of the Registrant’s Current Report on Form 8-K as filed with the Commission on August 13,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Transition Services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10.3 of the Registrant’s Current Report on Form 8-K as filed with the Commission on August 13,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Employee Matters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10.4 of the Registrant’s Current Report on Form 8-K as filed with the Commission on August 13,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2"/>
              </w:rPr>
              <w:t>Technology Products Services Agreement, dated as of August 10, 2009, by and between Altisource Solutions S.à r.l. and Ocwen Financial</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5"/>
              </w:rPr>
              <w:t>Corporation (incorporated by reference to Exhibit 10.5 of the Registrant’s Current Report on Form 8-K as filed with the Commission 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August 13, 2009)</w:t>
            </w:r>
          </w:p>
        </w:tc>
      </w:tr>
      <w:tr>
        <w:trPr>
          <w:trHeight w:val="377"/>
        </w:trPr>
        <w:tc>
          <w:tcPr>
            <w:tcW w:w="820" w:type="dxa"/>
            <w:vAlign w:val="bottom"/>
          </w:tcPr>
          <w:p>
            <w:pPr>
              <w:ind w:left="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9"/>
              </w:rPr>
              <w:t>Services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w w:val="91"/>
              </w:rPr>
              <w:t>(incorporated by reference to Exhibit 10.6 of the Registrant’s Current Report on Form 8-K as filed with the Commission on August 13, 2009)</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Data Center and Disaster Recovery Services Agreement, dated as of August 10, 2009, by and between Altisource Solutions S.à r.l. and</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Ocwen Financial Corporation (incorporated by reference to Exhibit 10.7 of the Registrant’s Current Report on Form 8-K as filed with the</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Commission on August 13, 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Intellectual Property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(incorporated by reference to Exhibit 10.8 of the Registrant’s Current Report on Form 8-K as filed with the Commission on August 13, 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Altisource Portfolio Solutions S.A. 2009 Equity Incentive Plan, dated as of August 7, 2009 (incorporated by reference from Exhibit 10.8 to</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Amendment No. 1 to the Registration Statement on Form 10 of Altisource Portfolio Solutions S.A. filed with the Commission on June 29,</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20"/>
              <w:spacing w:after="0"/>
              <w:rPr>
                <w:sz w:val="20"/>
                <w:szCs w:val="20"/>
                <w:color w:val="auto"/>
              </w:rPr>
            </w:pPr>
            <w:r>
              <w:rPr>
                <w:rFonts w:ascii="Arial" w:cs="Arial" w:eastAsia="Arial" w:hAnsi="Arial"/>
                <w:sz w:val="18"/>
                <w:szCs w:val="18"/>
                <w:color w:val="auto"/>
                <w:w w:val="99"/>
              </w:rPr>
              <w:t>Employment Contract between Altisource Solutions S.à r.l. and William B. Shepro (incorporated by reference from Exhibit 10.9 to</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Amendment No. 1 to the Registration Statement on Form 10 of Altisource Portfolio Solutions S.A. filed with the Commission on June 29,</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20"/>
              <w:spacing w:after="0"/>
              <w:rPr>
                <w:sz w:val="20"/>
                <w:szCs w:val="20"/>
                <w:color w:val="auto"/>
              </w:rPr>
            </w:pPr>
            <w:r>
              <w:rPr>
                <w:rFonts w:ascii="Arial" w:cs="Arial" w:eastAsia="Arial" w:hAnsi="Arial"/>
                <w:sz w:val="18"/>
                <w:szCs w:val="18"/>
                <w:color w:val="auto"/>
                <w:w w:val="99"/>
              </w:rPr>
              <w:t>Employment Contract between Altisource Solutions S.à r.l. and Robert D. Stiles (incorporated by reference from Exhibit 10.10 to</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Amendment No. 1 to the Registration Statement on Form 10 of Altisource Portfolio Solutions S.A. filed with the Commission on June 29,</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20"/>
              <w:spacing w:after="0"/>
              <w:rPr>
                <w:sz w:val="20"/>
                <w:szCs w:val="20"/>
                <w:color w:val="auto"/>
              </w:rPr>
            </w:pPr>
            <w:r>
              <w:rPr>
                <w:rFonts w:ascii="Arial" w:cs="Arial" w:eastAsia="Arial" w:hAnsi="Arial"/>
                <w:sz w:val="18"/>
                <w:szCs w:val="18"/>
                <w:color w:val="auto"/>
              </w:rPr>
              <w:t>Employment Contract between Altisource Solutions S.à r.l. and Kevin J. Wilcox (incorporated by reference from Exhibit 10.11 to</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Amendment No. 1 to the Registration Statement on Form 10 of Altisource Portfolio Solutions S.A. as filed with the Commission on June 29,</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2009)</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Purchase and Sale Agreement, dated as of February 12, 2010, by and among Altisource Portfolio Solutions S.A., and the Equity Interest</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Holders of The Mortgage Partnership of America, L.L.C. and the Management Owners (incorporated by reference to Exhibit 10.12 of the</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Company’s 10-K as filed with the Commission on March 17, 2010)</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Form of Put Option Agreements (incorporated by reference to Exhibit 10.13 of the Company’s 10-K as filed with the Commission on March</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17, 2010)</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Form of Non-qualified Stock Option Agreement, pursuant to the 2009 Equity Incentive Plan (incorporated by reference to Exhibit 10.14 of</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the Company’s 10-K as filed with the Commission on February 18, 2011)</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First Amendment to the Transition Services Agreement, dated as of August 10, 2011, by and between Ocwen Financial Corporation and</w:t>
            </w:r>
          </w:p>
        </w:tc>
      </w:tr>
      <w:tr>
        <w:trPr>
          <w:trHeight w:val="216"/>
        </w:trPr>
        <w:tc>
          <w:tcPr>
            <w:tcW w:w="8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Altisource Solutions S.à r.l. (incorporated by reference to Exhibit 10.1 of the Company’s 8-K as filed with the Commission on August 16,</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2011)</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20"/>
              <w:spacing w:after="0"/>
              <w:rPr>
                <w:sz w:val="20"/>
                <w:szCs w:val="20"/>
                <w:color w:val="auto"/>
              </w:rPr>
            </w:pPr>
            <w:r>
              <w:rPr>
                <w:rFonts w:ascii="Arial" w:cs="Arial" w:eastAsia="Arial" w:hAnsi="Arial"/>
                <w:sz w:val="18"/>
                <w:szCs w:val="18"/>
                <w:color w:val="auto"/>
                <w:w w:val="95"/>
              </w:rPr>
              <w:t>Separation Agreement dated February 22, 2012 between Altisource Solutions S.à r.l., Altisource Portfolio Solutions S.A. and Robert D.</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Stiles (incorporated by reference to Exhibit 10.1 to the Company’s 8-K as filed with the Commission on February 23,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Employment Agreement dated March 13, 2012 between Altisource Solutions S.à r.l. and Michelle D. Esterman (incorporated by reference to</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Exhibit 10.1 to the Company’s 8-K as filed with the Commission on March 16,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Support Services Agreement, dated as of August 10, 2012, by and between Ocwen Mortgage Servicing, Inc. and Altisource Solutions S.à r.l.</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the Company’s Form 8-K filed on August 16,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20"/>
              <w:spacing w:after="0"/>
              <w:rPr>
                <w:sz w:val="20"/>
                <w:szCs w:val="20"/>
                <w:color w:val="auto"/>
              </w:rPr>
            </w:pPr>
            <w:r>
              <w:rPr>
                <w:rFonts w:ascii="Arial" w:cs="Arial" w:eastAsia="Arial" w:hAnsi="Arial"/>
                <w:sz w:val="18"/>
                <w:szCs w:val="18"/>
                <w:color w:val="auto"/>
                <w:w w:val="95"/>
              </w:rPr>
              <w:t>First Amendment to the Employment Contract dated as of August 15, 2012 between Altisource Solutions S.à r.l. and William B. Shepro</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the Company’s Form 8-K filed on August 20,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20"/>
              <w:spacing w:after="0"/>
              <w:rPr>
                <w:sz w:val="20"/>
                <w:szCs w:val="20"/>
                <w:color w:val="auto"/>
              </w:rPr>
            </w:pPr>
            <w:r>
              <w:rPr>
                <w:rFonts w:ascii="Arial" w:cs="Arial" w:eastAsia="Arial" w:hAnsi="Arial"/>
                <w:sz w:val="18"/>
                <w:szCs w:val="18"/>
                <w:color w:val="auto"/>
                <w:w w:val="96"/>
              </w:rPr>
              <w:t>First Amendment to the Employment Contract dated as of August 15, 2012 between Altisource Solutions S.à r.l. and Kevin J. Wilcox</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 to the Company’s Form 8-K filed on August 20,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20"/>
              <w:spacing w:after="0"/>
              <w:rPr>
                <w:sz w:val="20"/>
                <w:szCs w:val="20"/>
                <w:color w:val="auto"/>
              </w:rPr>
            </w:pPr>
            <w:r>
              <w:rPr>
                <w:rFonts w:ascii="Arial" w:cs="Arial" w:eastAsia="Arial" w:hAnsi="Arial"/>
                <w:sz w:val="18"/>
                <w:szCs w:val="18"/>
                <w:color w:val="auto"/>
                <w:w w:val="97"/>
              </w:rPr>
              <w:t>Services Agreement, dated as of October 1, 2012, by and between Ocwen Mortgage Servicing, Inc. and Altisource Solutions S.à r.l.</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the Company’s Form 8-K filed on October 5,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 Altisource</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10.2 to the Company’s Form 8-K filed on October 5,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20"/>
              <w:spacing w:after="0"/>
              <w:rPr>
                <w:sz w:val="20"/>
                <w:szCs w:val="20"/>
                <w:color w:val="auto"/>
              </w:rPr>
            </w:pPr>
            <w:r>
              <w:rPr>
                <w:rFonts w:ascii="Arial" w:cs="Arial" w:eastAsia="Arial" w:hAnsi="Arial"/>
                <w:sz w:val="18"/>
                <w:szCs w:val="18"/>
                <w:color w:val="auto"/>
                <w:w w:val="90"/>
              </w:rPr>
              <w:t>Data Center and Disaster Recovery Agreement, dated as of October 1, 2012, by and between Ocwen Mortgage Servicing, Inc. and Altisource</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10.3 to the Company’s Form 8-K filed on October 5, 2012)</w:t>
            </w:r>
          </w:p>
        </w:tc>
      </w:tr>
      <w:tr>
        <w:trPr>
          <w:trHeight w:val="377"/>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Intellectual Property Agreement, dated as of October 1, 2012, by and between Ocwen Mortgage Servicing, Inc. and Altisource Solutions S.à</w:t>
            </w:r>
          </w:p>
        </w:tc>
      </w:tr>
      <w:tr>
        <w:trPr>
          <w:trHeight w:val="230"/>
        </w:trPr>
        <w:tc>
          <w:tcPr>
            <w:tcW w:w="82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r.l. (incorporated by reference to Exhibit 10.4 to the Company’s Form 8-K filed on October 5, 2012)</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125" w:right="27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280"/>
              <w:spacing w:after="0"/>
              <w:rPr>
                <w:sz w:val="20"/>
                <w:szCs w:val="20"/>
                <w:color w:val="auto"/>
              </w:rPr>
            </w:pPr>
            <w:r>
              <w:rPr>
                <w:rFonts w:ascii="Arial" w:cs="Arial" w:eastAsia="Arial" w:hAnsi="Arial"/>
                <w:sz w:val="18"/>
                <w:szCs w:val="18"/>
                <w:color w:val="auto"/>
                <w:w w:val="96"/>
              </w:rPr>
              <w:t>First Amendment to Support Services Agreement, dated as of October 1, 2012, by and between Ocwen Mortgage Servicing, Inc. and</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Altisource Solutions S.à r.l. (incorporated by reference to Exhibit 10.5 to the Company’s Form 8-K filed on October 5,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280"/>
              <w:spacing w:after="0"/>
              <w:rPr>
                <w:sz w:val="20"/>
                <w:szCs w:val="20"/>
                <w:color w:val="auto"/>
              </w:rPr>
            </w:pPr>
            <w:r>
              <w:rPr>
                <w:rFonts w:ascii="Arial" w:cs="Arial" w:eastAsia="Arial" w:hAnsi="Arial"/>
                <w:sz w:val="18"/>
                <w:szCs w:val="18"/>
                <w:color w:val="auto"/>
                <w:w w:val="96"/>
              </w:rPr>
              <w:t>First Amendment to Services Agreement, dated as of October 1, 2012, by and between Ocwen Financial Corporation and Altisource</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Solutions S.à r.l. (incorporated by reference to Exhibit 10.6 to the Company’s Form 8-K filed on October 5,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280"/>
              <w:spacing w:after="0"/>
              <w:rPr>
                <w:sz w:val="20"/>
                <w:szCs w:val="20"/>
                <w:color w:val="auto"/>
              </w:rPr>
            </w:pPr>
            <w:r>
              <w:rPr>
                <w:rFonts w:ascii="Arial" w:cs="Arial" w:eastAsia="Arial" w:hAnsi="Arial"/>
                <w:sz w:val="18"/>
                <w:szCs w:val="18"/>
                <w:color w:val="auto"/>
                <w:w w:val="97"/>
              </w:rPr>
              <w:t>First Amendment to Technology Products and Services Agreement, dated as of October 1, 2012, by and between Ocwen Financial</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Corporation and Altisource Solutions S.à r.l. (incorporated by reference to Exhibit 10.7 to the Company’s Form 8-K filed on October 5,</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280"/>
              <w:spacing w:after="0"/>
              <w:rPr>
                <w:sz w:val="20"/>
                <w:szCs w:val="20"/>
                <w:color w:val="auto"/>
              </w:rPr>
            </w:pPr>
            <w:r>
              <w:rPr>
                <w:rFonts w:ascii="Arial" w:cs="Arial" w:eastAsia="Arial" w:hAnsi="Arial"/>
                <w:sz w:val="18"/>
                <w:szCs w:val="18"/>
                <w:color w:val="auto"/>
                <w:w w:val="97"/>
              </w:rPr>
              <w:t>First Amendment to Data Center and Disaster Recovery Agreement, dated as of October 1, 2012, by and between Ocwen Financial</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Corporation and Altisource Solutions S.à r.l. (incorporated by reference to Exhibit 10.8 to the Company’s Form 8-K filed on October 5,</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280"/>
              <w:spacing w:after="0"/>
              <w:rPr>
                <w:sz w:val="20"/>
                <w:szCs w:val="20"/>
                <w:color w:val="auto"/>
              </w:rPr>
            </w:pPr>
            <w:r>
              <w:rPr>
                <w:rFonts w:ascii="Arial" w:cs="Arial" w:eastAsia="Arial" w:hAnsi="Arial"/>
                <w:sz w:val="18"/>
                <w:szCs w:val="18"/>
                <w:color w:val="auto"/>
                <w:w w:val="96"/>
              </w:rPr>
              <w:t>First Amendment to Intellectual Property Agreement, dated as of October 1, 2012, by and between Ocwen Financial Corporation and</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Altisource Solutions S.à r.l. (incorporated by reference to Exhibit 10.9 to the Company’s Form 8-K filed on October 5,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10.31</w:t>
            </w:r>
          </w:p>
        </w:tc>
        <w:tc>
          <w:tcPr>
            <w:tcW w:w="10480" w:type="dxa"/>
            <w:vAlign w:val="bottom"/>
          </w:tcPr>
          <w:p>
            <w:pPr>
              <w:ind w:left="280"/>
              <w:spacing w:after="0"/>
              <w:rPr>
                <w:sz w:val="20"/>
                <w:szCs w:val="20"/>
                <w:color w:val="auto"/>
              </w:rPr>
            </w:pPr>
            <w:r>
              <w:rPr>
                <w:rFonts w:ascii="Arial" w:cs="Arial" w:eastAsia="Arial" w:hAnsi="Arial"/>
                <w:sz w:val="18"/>
                <w:szCs w:val="18"/>
                <w:color w:val="auto"/>
                <w:w w:val="96"/>
              </w:rPr>
              <w:t>Credit Agreement, dated as of November 27, 2012, among Altisource Solutions S.à r.l., as borrower, the Company and certain of the</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7"/>
              </w:rPr>
              <w:t>Company’s wholly-owned subsidiaries, as guarantors, Bank of America, N.A, as Administrative Agent and Collateral Agent, Bank of</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America, N.A., Barclays Bank PLC and Citigroup Global Markets Inc., as Lead Arrangers and Barclays Bank PLC and Citigroup Global</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Markets Inc., as Co-Syndication Agents, and certain lenders party thereto from time to time (incorporated by reference to Exhibit 10.1 to the</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Company’s Form 8-K filed on December 3,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280"/>
              <w:spacing w:after="0"/>
              <w:rPr>
                <w:sz w:val="20"/>
                <w:szCs w:val="20"/>
                <w:color w:val="auto"/>
              </w:rPr>
            </w:pPr>
            <w:r>
              <w:rPr>
                <w:rFonts w:ascii="Arial" w:cs="Arial" w:eastAsia="Arial" w:hAnsi="Arial"/>
                <w:sz w:val="18"/>
                <w:szCs w:val="18"/>
                <w:color w:val="auto"/>
                <w:w w:val="92"/>
              </w:rPr>
              <w:t>Support Services Agreement, dated as of December 21, 2012, between Altisource Residential Corporation and Altisource Solutions S.à r.l.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10.1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Support Services Agreement, dated as of December 21, 2012, between Altisource Asset Management Corporation and Altisource Solutions</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S.à r.l. (incorporated by reference to Exhibit 10.2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Tax Matters Agreement, dated as of December 21, 2012, between Altisource Residential Corporation and Altisource Solutions S.à r.l.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10.3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Tax Matters Agreement, dated as of December 21, 2012, between Altisource Asset Management Corporation and Altisource Solutions S.à r.l.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10.4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280"/>
              <w:spacing w:after="0"/>
              <w:rPr>
                <w:sz w:val="20"/>
                <w:szCs w:val="20"/>
                <w:color w:val="auto"/>
              </w:rPr>
            </w:pPr>
            <w:r>
              <w:rPr>
                <w:rFonts w:ascii="Arial" w:cs="Arial" w:eastAsia="Arial" w:hAnsi="Arial"/>
                <w:sz w:val="18"/>
                <w:szCs w:val="18"/>
                <w:color w:val="auto"/>
                <w:w w:val="93"/>
              </w:rPr>
              <w:t>Master Services Agreement, dated as of December 21, 2012, between Altisource Residential Corporation and Altisource Solutions S.à r.l.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10.5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Trademark License Agreement, dated as of December 21, 2012, between Altisource Residential Corporation and Altisource Solutions S.à r.l.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10.6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280"/>
              <w:spacing w:after="0"/>
              <w:rPr>
                <w:sz w:val="20"/>
                <w:szCs w:val="20"/>
                <w:color w:val="auto"/>
              </w:rPr>
            </w:pPr>
            <w:r>
              <w:rPr>
                <w:rFonts w:ascii="Arial" w:cs="Arial" w:eastAsia="Arial" w:hAnsi="Arial"/>
                <w:sz w:val="18"/>
                <w:szCs w:val="18"/>
                <w:color w:val="auto"/>
                <w:w w:val="96"/>
              </w:rPr>
              <w:t>Trademark License Agreement, dated as of December 21, 2012, between Altisource Asset Management Corporation and Altisource</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Solutions S.à r.l. (incorporated by reference to Exhibit 10.7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Technology Products Services Agreement, between Altisource Asset Management Corporation and Altisource Solutions S.à r.l. (incorporated</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by reference to Exhibit 10.8 to the Company’s Form 8-K filed on December 28,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10.40</w:t>
            </w: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Senior Unsecured Term Loan Agreement, dated as of December 27, 2012, among Altisource Solutions S.à r.l., as Lender, Ocwen Financial</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1"/>
              </w:rPr>
              <w:t>Corporation, as Borrower, and certain subsidiaries of Ocwen Financial Corporation, as Guarantors (incorporated by reference to Exhibit 10.1</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to the Company’s Form 8-K filed on December 31,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10.41</w:t>
            </w:r>
          </w:p>
        </w:tc>
        <w:tc>
          <w:tcPr>
            <w:tcW w:w="10480" w:type="dxa"/>
            <w:vAlign w:val="bottom"/>
          </w:tcPr>
          <w:p>
            <w:pPr>
              <w:ind w:left="280"/>
              <w:spacing w:after="0"/>
              <w:rPr>
                <w:sz w:val="20"/>
                <w:szCs w:val="20"/>
                <w:color w:val="auto"/>
              </w:rPr>
            </w:pPr>
            <w:r>
              <w:rPr>
                <w:rFonts w:ascii="Arial" w:cs="Arial" w:eastAsia="Arial" w:hAnsi="Arial"/>
                <w:sz w:val="18"/>
                <w:szCs w:val="18"/>
                <w:color w:val="auto"/>
                <w:w w:val="94"/>
              </w:rPr>
              <w:t>Second Amendment to Services Agreement, dated as of March 29, 2013, by and between Ocwen Financial Corporation and Altisource</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Solutions S.à r.l. (incorporated by reference to Exhibit 10.1 to the Company’s Form 8-K filed on April 4, 2013)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10.42</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Second Amendment to Technology Products Services Agreement, dated as of March 29, 2013, by and between Ocwen Financial Corporation</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and Altisource Solutions S.à r.l. (incorporated by reference to Exhibit 10.2 to the Company’s Form 8-K filed on April 4, 2013)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280"/>
              <w:spacing w:after="0"/>
              <w:rPr>
                <w:sz w:val="20"/>
                <w:szCs w:val="20"/>
                <w:color w:val="auto"/>
              </w:rPr>
            </w:pPr>
            <w:r>
              <w:rPr>
                <w:rFonts w:ascii="Arial" w:cs="Arial" w:eastAsia="Arial" w:hAnsi="Arial"/>
                <w:sz w:val="18"/>
                <w:szCs w:val="18"/>
                <w:color w:val="auto"/>
                <w:w w:val="95"/>
              </w:rPr>
              <w:t>Second Amendment to Data Center and Disaster Recovery Services Agreement, dated as of March 29, 2013, by and between Ocwen</w:t>
            </w:r>
          </w:p>
        </w:tc>
      </w:tr>
      <w:tr>
        <w:trPr>
          <w:trHeight w:val="216"/>
        </w:trPr>
        <w:tc>
          <w:tcPr>
            <w:tcW w:w="86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3"/>
              </w:rPr>
              <w:t>Financial Corporation and Altisource Solutions S.à r.l. (incorporated by reference to Exhibit 10.3 to the Company’s Form 8-K filed on April</w:t>
            </w:r>
          </w:p>
        </w:tc>
      </w:tr>
      <w:tr>
        <w:trPr>
          <w:trHeight w:val="230"/>
        </w:trPr>
        <w:tc>
          <w:tcPr>
            <w:tcW w:w="860" w:type="dxa"/>
            <w:vAlign w:val="bottom"/>
          </w:tcPr>
          <w:p>
            <w:pPr>
              <w:spacing w:after="0"/>
              <w:rPr>
                <w:sz w:val="20"/>
                <w:szCs w:val="20"/>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4, 2013)</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80"/>
          </w:cols>
          <w:pgMar w:left="240" w:top="125" w:right="27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10.44</w:t>
            </w: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Second Amendment to Intellectual Property Agreement, dated as of March 29, 2013, by and between Ocwen Financial Corporation and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Altisource Solutions S.à r.l. (incorporated by reference to Exhibit 10.4 to the Company’s Form 8-K filed on April 4,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10.45</w:t>
            </w:r>
          </w:p>
        </w:tc>
        <w:tc>
          <w:tcPr>
            <w:tcW w:w="10560" w:type="dxa"/>
            <w:vAlign w:val="bottom"/>
          </w:tcPr>
          <w:p>
            <w:pPr>
              <w:ind w:left="360"/>
              <w:spacing w:after="0"/>
              <w:rPr>
                <w:sz w:val="20"/>
                <w:szCs w:val="20"/>
                <w:color w:val="auto"/>
              </w:rPr>
            </w:pPr>
            <w:r>
              <w:rPr>
                <w:rFonts w:ascii="Arial" w:cs="Arial" w:eastAsia="Arial" w:hAnsi="Arial"/>
                <w:sz w:val="18"/>
                <w:szCs w:val="18"/>
                <w:color w:val="auto"/>
              </w:rPr>
              <w:t>First Amendment to Services Agreement, dated as of March 29, 2013, by and between Ocwen Mortgage Servicing, Inc.</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Altisource Solutions S.à r.l. (incorporated by reference to Exhibit 10.5 to the Company’s Form 8-K filed on April 4,</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10.46</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First Amendment to Technology Products Services Agreement, dated as of March 29, 2013, by and between Ocwen Mortgage Servicing, Inc.</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and Altisource Solutions S.à r.l. (incorporated by reference to Exhibit 10.6 to the Company’s Form 8-K filed on April 4,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10.47</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 Mortgage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Servicing, Inc. and Altisource Solutions S.à r.l. (incorporated by reference to Exhibit 10.7 to the Company’s Form 8-K filed on April 4,</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First Amendment to Intellectual Property Agreement, dated as of March 29, 2013, by and between Ocwen Mortgage Servicing, Inc. and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Altisource Solutions S.à r.l. (incorporated by reference to Exhibit 10.8 to the Company’s Form 8-K filed on April 4,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10.49</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Agreement, dated as of April 12, 2013, by and among Altisource Solutions S.à r.l., Ocwen Financial Corporation and Ocwen Mortgage</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Servicing, Inc. (incorporated by reference to Exhibit 10.1 to the Company’s Form 8-K filed on April 18,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10.50</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Amendment No. 1 to Credit Agreement, dated as of May 7, 2013, among Altisource Solutions S.à r.l., as borrower, Altisource Portfolio</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Solutions S.A., Bank of America, N.A., as administrative agent and incremental term lender and the other lenders party thereto (incorporated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by reference to Exhibit 10.1 to the Company’s Form 8-K filed on May 13,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10560" w:type="dxa"/>
            <w:vAlign w:val="bottom"/>
          </w:tcPr>
          <w:p>
            <w:pPr>
              <w:ind w:left="360"/>
              <w:spacing w:after="0"/>
              <w:rPr>
                <w:sz w:val="20"/>
                <w:szCs w:val="20"/>
                <w:color w:val="auto"/>
              </w:rPr>
            </w:pPr>
            <w:r>
              <w:rPr>
                <w:rFonts w:ascii="Arial" w:cs="Arial" w:eastAsia="Arial" w:hAnsi="Arial"/>
                <w:sz w:val="18"/>
                <w:szCs w:val="18"/>
                <w:color w:val="auto"/>
              </w:rPr>
              <w:t>Amendment No. 2 to Credit Agreement, dated as of December 9, 2013, among Altisource Solutions S.à r.l., as borrower,</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Altisource Portfolio Solutions S.A., Bank of America, N.A., as Administrative Agent and the Lenders party thereto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Form 8-K filed on December 11, 2013)</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Amendment No. 3 to Credit Agreement, dated as of August 1, 2014, among Altisource Solutions S.à r.l., as borrower, Altisource Portfolio</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Solutions S.A., Bank of America, N.A., as Administrative Agent and incremental term lender, and the other lenders party thereto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to the Company’s Form 8-K filed on August 6, 2014)</w:t>
            </w:r>
          </w:p>
        </w:tc>
      </w:tr>
      <w:tr>
        <w:trPr>
          <w:trHeight w:val="608"/>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360"/>
              <w:spacing w:after="0"/>
              <w:rPr>
                <w:sz w:val="20"/>
                <w:szCs w:val="20"/>
                <w:color w:val="auto"/>
              </w:rPr>
            </w:pPr>
            <w:r>
              <w:rPr>
                <w:rFonts w:ascii="Arial" w:cs="Arial" w:eastAsia="Arial" w:hAnsi="Arial"/>
                <w:sz w:val="18"/>
                <w:szCs w:val="18"/>
                <w:color w:val="auto"/>
              </w:rPr>
              <w:t>Subsidiaries of the Registrant.</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60"/>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60"/>
              <w:spacing w:after="0"/>
              <w:rPr>
                <w:sz w:val="20"/>
                <w:szCs w:val="20"/>
                <w:color w:val="auto"/>
              </w:rPr>
            </w:pPr>
            <w:r>
              <w:rPr>
                <w:rFonts w:ascii="Arial" w:cs="Arial" w:eastAsia="Arial" w:hAnsi="Arial"/>
                <w:sz w:val="18"/>
                <w:szCs w:val="18"/>
                <w:color w:val="auto"/>
                <w:w w:val="98"/>
              </w:rPr>
              <w:t>Certification of the Chief Executive Officer and Chief Financial Officer pursuant to Section 906 of the Sarbanes-Oxley Act of 2002.</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Pursuant to Rule 405 of Regulation S-T, the following financial information from the Company’s Annual Report on Form 10-K for the year</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ended December 31, 2014 is formatted in XBRL interactive data files: (i) Consolidated Balance Sheets at December 31, 2014 and December</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8"/>
              </w:rPr>
              <w:t>31, 2013; (ii) Consolidated Statements of Operations for each of the years in the three-year period ended December 31, 2014; (iii)</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Consolidated Statements of Equity for each of the years in the three-year period ended December 31, 2014; (iv) Consolidated Statements of</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Cash Flows for each of the years in the three-year period ended December 31, 2014; (v) Notes to Consolidated Financial Statements; and (vi)</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Financial Statement Schedule.</w:t>
            </w:r>
          </w:p>
        </w:tc>
      </w:tr>
    </w:tbl>
    <w:p>
      <w:pPr>
        <w:spacing w:after="0" w:line="364" w:lineRule="exact"/>
        <w:rPr>
          <w:sz w:val="20"/>
          <w:szCs w:val="20"/>
          <w:color w:val="auto"/>
        </w:rPr>
      </w:pPr>
    </w:p>
    <w:p>
      <w:pPr>
        <w:ind w:left="620" w:hanging="585"/>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620" w:hanging="585"/>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620" w:hanging="585"/>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125"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2014, 2013 and 2012:</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88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Charged to</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5"/>
        </w:trPr>
        <w:tc>
          <w:tcPr>
            <w:tcW w:w="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Beginning of</w:t>
            </w: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Other Accounts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Deductions</w:t>
            </w:r>
          </w:p>
        </w:tc>
        <w:tc>
          <w:tcPr>
            <w:tcW w:w="16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Arial" w:cs="Arial" w:eastAsia="Arial" w:hAnsi="Arial"/>
                <w:sz w:val="16"/>
                <w:szCs w:val="16"/>
                <w:b w:val="1"/>
                <w:bCs w:val="1"/>
                <w:color w:val="auto"/>
              </w:rPr>
              <w:t>Balance at</w:t>
            </w:r>
          </w:p>
        </w:tc>
      </w:tr>
      <w:tr>
        <w:trPr>
          <w:trHeight w:val="245"/>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Period</w:t>
            </w:r>
          </w:p>
        </w:tc>
        <w:tc>
          <w:tcPr>
            <w:tcW w:w="18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Note (a)(b)</w:t>
            </w:r>
          </w:p>
        </w:tc>
        <w:tc>
          <w:tcPr>
            <w:tcW w:w="18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Note (c)(d)</w:t>
            </w:r>
          </w:p>
        </w:tc>
        <w:tc>
          <w:tcPr>
            <w:tcW w:w="16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End of Period</w:t>
            </w:r>
          </w:p>
        </w:tc>
      </w:tr>
      <w:tr>
        <w:trPr>
          <w:trHeight w:val="33"/>
        </w:trPr>
        <w:tc>
          <w:tcPr>
            <w:tcW w:w="6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80"/>
        </w:trPr>
        <w:tc>
          <w:tcPr>
            <w:tcW w:w="6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2014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5,631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b w:val="1"/>
                <w:bCs w:val="1"/>
                <w:color w:val="auto"/>
              </w:rPr>
              <w:t>16,257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1,399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612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22,675</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5,631</w:t>
            </w: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Year 2012</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3,274</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2014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3,189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3,115</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3,189</w:t>
            </w: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Year 2012</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2,413</w:t>
            </w:r>
          </w:p>
        </w:tc>
      </w:tr>
      <w:tr>
        <w:trPr>
          <w:trHeight w:val="243"/>
        </w:trPr>
        <w:tc>
          <w:tcPr>
            <w:tcW w:w="4040" w:type="dxa"/>
            <w:vAlign w:val="bottom"/>
            <w:gridSpan w:val="2"/>
          </w:tcPr>
          <w:p>
            <w:pPr>
              <w:jc w:val="right"/>
              <w:ind w:right="531"/>
              <w:spacing w:after="0"/>
              <w:rPr>
                <w:sz w:val="20"/>
                <w:szCs w:val="20"/>
                <w:color w:val="auto"/>
              </w:rPr>
            </w:pPr>
            <w:r>
              <w:rPr>
                <w:rFonts w:ascii="Arial" w:cs="Arial" w:eastAsia="Arial" w:hAnsi="Arial"/>
                <w:sz w:val="18"/>
                <w:szCs w:val="18"/>
                <w:color w:val="auto"/>
                <w:w w:val="89"/>
              </w:rPr>
              <w:t>______________________________________</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2" w:lineRule="exact"/>
        <w:rPr>
          <w:sz w:val="20"/>
          <w:szCs w:val="20"/>
          <w:color w:val="auto"/>
        </w:rPr>
      </w:pPr>
    </w:p>
    <w:p>
      <w:pPr>
        <w:ind w:firstLine="8"/>
        <w:spacing w:after="0" w:line="291" w:lineRule="auto"/>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Allowance for doubtful accounts primarily includes amounts previously written off which were credited directly to this account when recovered. (b)Valuation allowance for deferred tax assets includes current year increase to valuation allowance charged to equity and reclassifications from other balance</w:t>
      </w:r>
    </w:p>
    <w:p>
      <w:pPr>
        <w:ind w:left="260"/>
        <w:spacing w:after="0"/>
        <w:rPr>
          <w:rFonts w:ascii="Arial" w:cs="Arial" w:eastAsia="Arial" w:hAnsi="Arial"/>
          <w:sz w:val="16"/>
          <w:szCs w:val="16"/>
          <w:color w:val="auto"/>
        </w:rPr>
      </w:pPr>
      <w:r>
        <w:rPr>
          <w:rFonts w:ascii="Arial" w:cs="Arial" w:eastAsia="Arial" w:hAnsi="Arial"/>
          <w:sz w:val="18"/>
          <w:szCs w:val="18"/>
          <w:color w:val="auto"/>
        </w:rPr>
        <w:t>sheet accounts.</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written off as uncollectible or transferred to other accounts or utilized.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Reductions to valuation allowances related to deferred tax assets.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38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/s/ William B. Shepro</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3700" w:type="dxa"/>
            <w:vAlign w:val="bottom"/>
          </w:tcPr>
          <w:p>
            <w:pPr>
              <w:ind w:left="120"/>
              <w:spacing w:after="0"/>
              <w:rPr>
                <w:sz w:val="20"/>
                <w:szCs w:val="20"/>
                <w:color w:val="auto"/>
              </w:rPr>
            </w:pPr>
            <w:r>
              <w:rPr>
                <w:rFonts w:ascii="Arial" w:cs="Arial" w:eastAsia="Arial" w:hAnsi="Arial"/>
                <w:sz w:val="18"/>
                <w:szCs w:val="18"/>
                <w:color w:val="auto"/>
              </w:rPr>
              <w:t>William B. Shepro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3700" w:type="dxa"/>
            <w:vAlign w:val="bottom"/>
          </w:tcPr>
          <w:p>
            <w:pPr>
              <w:ind w:left="120"/>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/s/ Michelle D. Esterman</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Name:</w:t>
            </w:r>
          </w:p>
        </w:tc>
        <w:tc>
          <w:tcPr>
            <w:tcW w:w="3700" w:type="dxa"/>
            <w:vAlign w:val="bottom"/>
          </w:tcPr>
          <w:p>
            <w:pPr>
              <w:ind w:left="120"/>
              <w:spacing w:after="0"/>
              <w:rPr>
                <w:sz w:val="20"/>
                <w:szCs w:val="20"/>
                <w:color w:val="auto"/>
              </w:rPr>
            </w:pPr>
            <w:r>
              <w:rPr>
                <w:rFonts w:ascii="Arial" w:cs="Arial" w:eastAsia="Arial" w:hAnsi="Arial"/>
                <w:sz w:val="18"/>
                <w:szCs w:val="18"/>
                <w:color w:val="auto"/>
              </w:rPr>
              <w:t>Michelle D. Esterman</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7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(Principal Financial Officer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67"/>
        </w:trPr>
        <w:tc>
          <w:tcPr>
            <w:tcW w:w="2560" w:type="dxa"/>
            <w:vAlign w:val="bottom"/>
          </w:tcPr>
          <w:p>
            <w:pPr>
              <w:ind w:left="20"/>
              <w:spacing w:after="0"/>
              <w:rPr>
                <w:sz w:val="20"/>
                <w:szCs w:val="20"/>
                <w:color w:val="auto"/>
              </w:rPr>
            </w:pPr>
            <w:r>
              <w:rPr>
                <w:rFonts w:ascii="Arial" w:cs="Arial" w:eastAsia="Arial" w:hAnsi="Arial"/>
                <w:sz w:val="18"/>
                <w:szCs w:val="18"/>
                <w:color w:val="auto"/>
              </w:rPr>
              <w:t>/s/ Timo Vättö</w:t>
            </w:r>
          </w:p>
        </w:tc>
        <w:tc>
          <w:tcPr>
            <w:tcW w:w="100" w:type="dxa"/>
            <w:vAlign w:val="bottom"/>
          </w:tcPr>
          <w:p>
            <w:pPr>
              <w:spacing w:after="0"/>
              <w:rPr>
                <w:sz w:val="24"/>
                <w:szCs w:val="24"/>
                <w:color w:val="auto"/>
              </w:rPr>
            </w:pPr>
          </w:p>
        </w:tc>
        <w:tc>
          <w:tcPr>
            <w:tcW w:w="57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2015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Timo Vättö</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56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Director and Chief Executive Officer</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2015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 w:type="dxa"/>
            <w:vAlign w:val="bottom"/>
          </w:tcPr>
          <w:p>
            <w:pPr>
              <w:spacing w:after="0"/>
              <w:rPr>
                <w:sz w:val="20"/>
                <w:szCs w:val="20"/>
                <w:color w:val="auto"/>
              </w:rPr>
            </w:pPr>
          </w:p>
        </w:tc>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W. Michael Linn</w:t>
            </w:r>
          </w:p>
        </w:tc>
        <w:tc>
          <w:tcPr>
            <w:tcW w:w="100" w:type="dxa"/>
            <w:vAlign w:val="bottom"/>
          </w:tcPr>
          <w:p>
            <w:pPr>
              <w:spacing w:after="0"/>
              <w:rPr>
                <w:sz w:val="24"/>
                <w:szCs w:val="24"/>
                <w:color w:val="auto"/>
              </w:rPr>
            </w:pPr>
          </w:p>
        </w:tc>
        <w:tc>
          <w:tcPr>
            <w:tcW w:w="57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2015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W. Michael Linn</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560" w:type="dxa"/>
            <w:vAlign w:val="bottom"/>
          </w:tcPr>
          <w:p>
            <w:pPr>
              <w:ind w:left="20"/>
              <w:spacing w:after="0"/>
              <w:rPr>
                <w:sz w:val="20"/>
                <w:szCs w:val="20"/>
                <w:color w:val="auto"/>
              </w:rPr>
            </w:pPr>
            <w:r>
              <w:rPr>
                <w:rFonts w:ascii="Arial" w:cs="Arial" w:eastAsia="Arial" w:hAnsi="Arial"/>
                <w:sz w:val="18"/>
                <w:szCs w:val="18"/>
                <w:color w:val="auto"/>
              </w:rPr>
              <w:t>/s/ Roland Müller-Ineichen</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March 2, 2015</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Roland Müller-Ineichen</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Michelle D. Esterman</w:t>
            </w:r>
          </w:p>
        </w:tc>
        <w:tc>
          <w:tcPr>
            <w:tcW w:w="100" w:type="dxa"/>
            <w:vAlign w:val="bottom"/>
          </w:tcPr>
          <w:p>
            <w:pPr>
              <w:spacing w:after="0"/>
              <w:rPr>
                <w:sz w:val="24"/>
                <w:szCs w:val="24"/>
                <w:color w:val="auto"/>
              </w:rPr>
            </w:pPr>
          </w:p>
        </w:tc>
        <w:tc>
          <w:tcPr>
            <w:tcW w:w="57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2015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Michelle D. Esterman</w:t>
            </w:r>
          </w:p>
        </w:tc>
        <w:tc>
          <w:tcPr>
            <w:tcW w:w="100" w:type="dxa"/>
            <w:vAlign w:val="bottom"/>
          </w:tcPr>
          <w:p>
            <w:pPr>
              <w:spacing w:after="0"/>
              <w:rPr>
                <w:sz w:val="20"/>
                <w:szCs w:val="20"/>
                <w:color w:val="auto"/>
              </w:rPr>
            </w:pPr>
          </w:p>
        </w:tc>
        <w:tc>
          <w:tcPr>
            <w:tcW w:w="57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39"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839"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subsidiaries of Altisource Portfolio Solutions S.A. as of December 31, 2014 and the jurisdictions in which they are organized.</w:t>
      </w: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w w:val="95"/>
              </w:rPr>
              <w:t>Jurisdiction of incorporation or</w:t>
            </w:r>
          </w:p>
        </w:tc>
        <w:tc>
          <w:tcPr>
            <w:tcW w:w="0" w:type="dxa"/>
            <w:vAlign w:val="bottom"/>
          </w:tcPr>
          <w:p>
            <w:pPr>
              <w:spacing w:after="0"/>
              <w:rPr>
                <w:sz w:val="1"/>
                <w:szCs w:val="1"/>
                <w:color w:val="auto"/>
              </w:rPr>
            </w:pPr>
          </w:p>
        </w:tc>
      </w:tr>
      <w:tr>
        <w:trPr>
          <w:trHeight w:val="192"/>
        </w:trPr>
        <w:tc>
          <w:tcPr>
            <w:tcW w:w="878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43"/>
        </w:trPr>
        <w:tc>
          <w:tcPr>
            <w:tcW w:w="8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Holdings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US Data,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Springhouse, LLC</w:t>
            </w:r>
          </w:p>
        </w:tc>
        <w:tc>
          <w:tcPr>
            <w:tcW w:w="2060" w:type="dxa"/>
            <w:vAlign w:val="bottom"/>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Premium Title Services, Inc.</w:t>
            </w:r>
          </w:p>
        </w:tc>
        <w:tc>
          <w:tcPr>
            <w:tcW w:w="206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Agency,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PTS – Texas Title,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Nationwide Credit,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Power Default Services,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Owners Realty, Inc.</w:t>
            </w:r>
          </w:p>
        </w:tc>
        <w:tc>
          <w:tcPr>
            <w:tcW w:w="20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Hubzu USA,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Hubzu Notes,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noteXchange,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Portfolio Management Outsourcing Solutions, LLC</w:t>
            </w:r>
          </w:p>
        </w:tc>
        <w:tc>
          <w:tcPr>
            <w:tcW w:w="206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Pr>
          <w:p>
            <w:pPr>
              <w:ind w:left="2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Holdings,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Single Family,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Solutions B.V.</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Equator, LLC</w:t>
            </w:r>
          </w:p>
        </w:tc>
        <w:tc>
          <w:tcPr>
            <w:tcW w:w="20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 333-161175 on Form S-8 of our reports dated March 2, 2015, relating to the consolidated financial statements and financial statement schedule of Altisource Portfolio Solutions S.A. and subsidiaries (the “Company”) (which report expresses an unqualified opinion on the consolidated financial statements and includes an explanatory paragraph related to the significant transactions with Ocwen Financial Corporation (“Ocwen”), a related party and an emphasis of a matter related to Ocwen uncertainty), and the effectiveness of the Company’s internal control over financial reporting appearing in this Annual Report on Form 10-K of the Company for the year ended December 31, 2014.</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and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2015</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2014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2014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840" w:val="left"/>
          <w:tab w:leader="none" w:pos="6520" w:val="left"/>
        </w:tabs>
        <w:rPr>
          <w:sz w:val="20"/>
          <w:szCs w:val="20"/>
          <w:color w:val="auto"/>
        </w:rPr>
      </w:pPr>
      <w:r>
        <w:rPr>
          <w:rFonts w:ascii="Arial" w:cs="Arial" w:eastAsia="Arial" w:hAnsi="Arial"/>
          <w:sz w:val="18"/>
          <w:szCs w:val="18"/>
          <w:color w:val="auto"/>
        </w:rPr>
        <w:t>Date: March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2014</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2014,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March 2, 2015</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March 2, 2015</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lowerRoman"/>
      <w:start w:val="5"/>
    </w:lvl>
  </w:abstractNum>
  <w:abstractNum w:abstractNumId="22">
    <w:nsid w:val="3A95F874"/>
    <w:multiLevelType w:val="hybridMultilevel"/>
    <w:lvl w:ilvl="0">
      <w:lvlJc w:val="left"/>
      <w:lvlText w:val="(%1)"/>
      <w:numFmt w:val="lowerRoman"/>
      <w:start w:val="9"/>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3"/>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2019-12-29T17:37:41Z</dcterms:created>
  <dcterms:modified xsi:type="dcterms:W3CDTF">2019-12-29T17:37:41Z</dcterms:modified>
</cp:coreProperties>
</file>