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ALTISOURCE PORTFOLIO SOLUTIONS S.A.</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sz w:val="24"/>
          <w:szCs w:val="24"/>
          <w:color w:val="auto"/>
        </w:rPr>
      </w:pPr>
    </w:p>
    <w:p>
      <w:pPr>
        <w:spacing w:after="0" w:line="21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sz w:val="24"/>
          <w:szCs w:val="24"/>
          <w:color w:val="auto"/>
        </w:rPr>
      </w:pPr>
    </w:p>
    <w:p>
      <w:pPr>
        <w:spacing w:after="0" w:line="21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line="26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sz w:val="24"/>
          <w:szCs w:val="24"/>
          <w:color w:val="auto"/>
        </w:rPr>
      </w:pPr>
    </w:p>
    <w:p>
      <w:pPr>
        <w:spacing w:after="0" w:line="21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20" w:hanging="472"/>
        <w:spacing w:after="0" w:line="332" w:lineRule="auto"/>
        <w:tabs>
          <w:tab w:leader="none" w:pos="48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-1171575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9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sz w:val="24"/>
          <w:szCs w:val="24"/>
          <w:color w:val="auto"/>
        </w:rPr>
      </w:pPr>
    </w:p>
    <w:p>
      <w:pPr>
        <w:spacing w:after="0" w:line="21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ectPr>
          <w:pgSz w:w="11900" w:h="16880" w:orient="portrait"/>
          <w:cols w:equalWidth="0" w:num="1">
            <w:col w:w="11360"/>
          </w:cols>
          <w:pgMar w:left="240" w:top="206" w:right="299" w:bottom="0" w:gutter="0" w:footer="0" w:header="0"/>
        </w:sectPr>
      </w:pPr>
    </w:p>
    <w:bookmarkStart w:id="1" w:name="page2"/>
    <w:bookmarkEnd w:id="1"/>
    <w:p>
      <w:pPr>
        <w:ind w:left="440" w:hanging="439"/>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sz w:val="20"/>
          <w:szCs w:val="20"/>
          <w:color w:val="auto"/>
        </w:rPr>
      </w:pPr>
    </w:p>
    <w:p>
      <w:pPr>
        <w:spacing w:after="0" w:line="214"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19685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0"/>
          <w:szCs w:val="20"/>
          <w:color w:val="auto"/>
        </w:rPr>
      </w:pPr>
    </w:p>
    <w:p>
      <w:pPr>
        <w:ind w:left="440" w:hanging="439"/>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sz w:val="20"/>
          <w:szCs w:val="20"/>
          <w:color w:val="auto"/>
        </w:rPr>
      </w:pPr>
    </w:p>
    <w:p>
      <w:pPr>
        <w:spacing w:after="0" w:line="214"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19685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9739"/>
          </w:cols>
          <w:pgMar w:left="720" w:top="158"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5200015</wp:posOffset>
            </wp:positionH>
            <wp:positionV relativeFrom="page">
              <wp:posOffset>543560</wp:posOffset>
            </wp:positionV>
            <wp:extent cx="2204085" cy="660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204085" cy="6604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___,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behalf of the Board of Directors, we cordially invite you to attend the Annual Meeting of Shareholders of Altisource Portfolio Solutions S.A. which will be held at the offices of the Company located at 291, route d’Arlon, L-1150 Luxembourg City, Grand Duchy of Luxembourg on Wednesday, May 16, 2012, at 9:00 a.m., Central European Time. The matters to be considered by shareholders at the Annual Meeting of Shareholders are described in detail in the accompanying materials.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is very important that you be represented at the Annual Meeting of Shareholders regardless of the number of shares you own or whether you are able to attend the Annual Meeting of Shareholders in person. We urge you to complete your proxy card in one of the manners described in the accompanying materials even if you plan to attend the Annual Meeting of Shareholders. This will not prevent you from voting in person but will ensure that your vote is counted if you are unable to attend.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Your support of and interest in Altisource Portfolio Solutions S.A. is sincerely appreciated.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1835"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3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149225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22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William B. Shepro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238760</wp:posOffset>
            </wp:positionV>
            <wp:extent cx="235839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83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291 Route d’Arlon, L-1150 Luxembourg </w:t>
      </w:r>
      <w:r>
        <w:rPr>
          <w:rFonts w:ascii="Arial" w:cs="Arial" w:eastAsia="Arial" w:hAnsi="Arial"/>
          <w:sz w:val="18"/>
          <w:szCs w:val="18"/>
          <w:b w:val="1"/>
          <w:bCs w:val="1"/>
          <w:color w:val="auto"/>
        </w:rPr>
        <w:t>|</w:t>
      </w:r>
      <w:r>
        <w:rPr>
          <w:rFonts w:ascii="Arial" w:cs="Arial" w:eastAsia="Arial" w:hAnsi="Arial"/>
          <w:sz w:val="18"/>
          <w:szCs w:val="18"/>
          <w:color w:val="auto"/>
        </w:rPr>
        <w:t xml:space="preserve"> +352 246 7900</w:t>
      </w:r>
    </w:p>
    <w:p>
      <w:pPr>
        <w:sectPr>
          <w:pgSz w:w="11900" w:h="16838" w:orient="portrait"/>
          <w:cols w:equalWidth="0" w:num="1">
            <w:col w:w="11400"/>
          </w:cols>
          <w:pgMar w:left="240" w:top="1440"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ALTISOURCE PORTFOLIO SOLUTIONS S.A.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291, route d’Arlon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L-1150 Luxembourg City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R.C.S. Luxembourg B. 72.391</w:t>
      </w:r>
    </w:p>
    <w:p>
      <w:pPr>
        <w:spacing w:after="0" w:line="159" w:lineRule="exact"/>
        <w:rPr>
          <w:sz w:val="20"/>
          <w:szCs w:val="20"/>
          <w:color w:val="auto"/>
        </w:rPr>
      </w:pPr>
    </w:p>
    <w:p>
      <w:pPr>
        <w:jc w:val="center"/>
        <w:ind w:left="300" w:right="2260"/>
        <w:spacing w:after="0" w:line="262"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ANNUAL MEETING OF SHAREHOLDERS TO BE HELD ON MAY 16,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165"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16, 2012</w:t>
      </w:r>
    </w:p>
    <w:p>
      <w:pPr>
        <w:spacing w:after="0" w:line="171"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171"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Grand Duchy of Luxembourg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9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five (5) Directors for a one (1) year term and/or until their successors are elected and qualified;</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the appointment by the Audit Committee of our Board of Directors of Deloitte &amp; Touche LLP to be our independent registered certified public accounting firm for the year ending December 31, 2012 and Deloitte Audit S.à r.l. to be our certified auditor for all statutory accounts as required by Luxembourg law for the same period;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a share repurchase program whereby Altisource Portfolio Solutions S.A. may repurchase outstanding shares of its common stock within certain limits;</w:t>
      </w:r>
    </w:p>
    <w:p>
      <w:pPr>
        <w:spacing w:after="0" w:line="50" w:lineRule="exact"/>
        <w:rPr>
          <w:rFonts w:ascii="Arial" w:cs="Arial" w:eastAsia="Arial" w:hAnsi="Arial"/>
          <w:sz w:val="18"/>
          <w:szCs w:val="18"/>
          <w:color w:val="auto"/>
        </w:rPr>
      </w:pPr>
    </w:p>
    <w:p>
      <w:pPr>
        <w:ind w:left="900" w:right="2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Altisource Portfolio Solutions S.A.’s annual accounts prepared in accordance with Luxembourg GAAP (the “Luxembourg Annual Accounts”) and its consolidated financial statements prepared in accordance with U.S. GAAP including a footnote reconciliation of equity and net income to IFRS (the “Consolidated Accounts”), in each case for the year ended December 31, 2011 (together the “Luxembourg Statutory Accounts”);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receive and approve the Directors’ reports on the Luxembourg Statutory Accounts for the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allocate the results of the year ended December 31, 2011;</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discharge each of the current and past Directors of Altisource Portfolio Solutions S.A. for the performance of their mandate during the year ended December 31, 2011;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w:t>
      </w:r>
    </w:p>
    <w:p>
      <w:pPr>
        <w:sectPr>
          <w:pgSz w:w="11900" w:h="16838" w:orient="portrait"/>
          <w:cols w:equalWidth="0" w:num="1">
            <w:col w:w="11380"/>
          </w:cols>
          <w:pgMar w:left="240" w:top="27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PROCEDURES</w:t>
      </w:r>
    </w:p>
    <w:p>
      <w:pPr>
        <w:spacing w:after="0" w:line="96" w:lineRule="exact"/>
        <w:rPr>
          <w:sz w:val="20"/>
          <w:szCs w:val="20"/>
          <w:color w:val="auto"/>
        </w:rPr>
      </w:pPr>
    </w:p>
    <w:p>
      <w:pPr>
        <w:ind w:left="900" w:right="4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has fixed March 15, 2012 as the record date for the determination of shareholders entitled to notice of and to vote at the Annual Meeting of Shareholders.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 of Shareholders.</w:t>
      </w:r>
    </w:p>
    <w:p>
      <w:pPr>
        <w:spacing w:after="0" w:line="9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proxy statement for our 2012 Annual Meeting of Shareholders and our annual report to shareholders on Form 10-K for the year ended December 31, 2011 are available on our website at www.altisource.com under Investor Relations. Additionally, and in accordance with Securities and Exchange Commission (“SEC”) rules, you may access our proxy statement at http://www.proxyvote.com, a website that does not identify or track visitors of the site, by entering the 12 digit Control Number found on your Beneficial Notice Card or on your Proxy Card in the space provided.</w:t>
      </w:r>
    </w:p>
    <w:p>
      <w:pPr>
        <w:spacing w:after="0" w:line="31"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Luxembourg Statutory Accounts, the Directors’ reports on the Luxembourg Statutory Accounts and the statutory auditor’s report on the Consolidated Accounts will be available for inspection from April 15, 2012 at Altisource Portfolio Solutions S.A.’s registered office.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397635"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63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March ___,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Luxembourg City, Grand Duchy of Luxembourg</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ALTISOURCE PORTFOLIO SOLUTIONS S.A.</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made this proxy statement available to you on or about March ___, 2012 as a holder of common stock of Altisource Portfolio Solutions S.A. because our Board of Directors is soliciting your proxy to be used at our Annual Meeting of Shareholders and at any adjournment of this meeting. The Annual Meeting of Shareholders will be held at our offices located at 291, route d’Arlon, L-1150 Luxembourg City, Grand Duchy of Luxembourg on Wednesday, May 16, 2012, at 9:00 a.m., Central European Time for the purposes listed in the Notice of Annual Meeting of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If you properly complete, sign and return your proxy to Altisource Portfolio Solutions S.A. (“Altisource” or the “Company”) and do not revoke it prior to its use,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it will be voted in accordance with your instructions. If no contrary instructions are given, other than as discussed below with respect to broker “non-votes”,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proxy received will be voted for each of the nominees for Director; for approval of the appointment of Deloitte &amp; Touche LLP to be our independent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certified public accounting firm for 2012 and Deloitte Audit S.à r.l. to be our certified auditor for all statutory accounts as required by Luxembourg law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period; for approval of a share repurchase program whereby Altisource may repurchase outstanding shares of its common stock within certain limits;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Company’s annual accounts prepared in accordance with Luxembourg GAAP (the “Luxembourg Annual Accounts”) and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prepared in accordance with U.S. GAAP including a footnote reconciliation of equity and net income to IFRS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Accounts”), in each case for the year ended December 31, 2011 (together the “Luxembourg Statutory Accounts”); for receipt and approval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reports on the Luxembourg Statutory Accounts for the year ended December 31, 2011; for allocation of the results of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for approval of the discharge of each of the current and past Directors of Altisource for the performance of their mandate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and with regard to any other business that properly comes before the meeting in accordance with the best judgment of the persons appointed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proxies.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Your proxy may be used only at the Annual Meeting of Shareholders and any adjournment of this meeting and will not be used for any other meeting. You have the power to revoke your proxy at any time before it is exercised by:</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filing written notice with our Corporate Secretary at the following address:</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Kevin J. Wilcox, Corporate Secretary</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Altisource Portfolio Solutions S.A.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Grand Duchy of Luxembourg</w:t>
      </w:r>
    </w:p>
    <w:p>
      <w:pPr>
        <w:spacing w:after="0" w:line="8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appearing at the Annual Meeting of Shareholders and giving the Corporate Secretary notice of your intention to vote in person.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You are entitled to vote at the Annual Meeting of Shareholders or any adjournment of the Annual Meeting of Shareholders if you are a holder of record of our common stock at the close of business on March 15, 2012. At the close of business on March 15, 2012, there were 23,320,637 shares of common stock issued, outstanding and able to be voted and no other class of equity securities outstanding. Each share of our common stock is entitled to one (1) vote at the Annual Meeting of Shareholders on all matters properly presented. Abstentions and broker “non-votes” will be treated as present for purposes of a quorum.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Quorum and Voting Information</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presence at the Annual Meeting of Shareholders of a majority of the votes of our common stock entitled to be cast, represented in person or by proxy, will constitute a quorum for the transaction of business at the Annual Meeting of Shareholders.</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Assuming a quorum, the five (5) nominees for Director will be elected as Directors of Altisource so long as the votes cast in favor of each such person exceed the votes cast to withhold authority for such person. You may vote in favor of or withhold authority to vote for one (1) or more nominees for Director.</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following proposals will be approved if the votes cast in favor of the action exceed the votes cast opposing the action: the proposal to approve the appointment of Deloitte &amp; Touche LLP to be our independent registered certified public accounting firm for 2012 and Deloitte Audit S.à r.l. to be our certified auditor for all statutory accounts as required by Luxembourg law for the same period; the proposal to approve a share repurchase program whereby Altisource may repurchase outstanding shares of its common stock within certain limits; the proposal to approve the Company’s annual accounts prepared in accordance with Luxembourg GAAP and the Company’s consolidated financial statements prepared in accordance with U.S. GAAP including a footnote reconciliation of equity and net income to IFRS, in each case for the year ended December 31, 2011; the proposal to receive and approve the Directors’ reports on the Luxembourg Statutory Accounts for the year ended December 31, 2011; the proposal to allocate the results of the year ended December 31, 2011; the proposal to approve the discharge of each of the current and past Directors of Altisource for the performance of their mandate during the year ended December 31, 2011; and any other matter properly submitted for your consideration at the Annual Meeting of Shareholders (other than the election of Directors).</w:t>
      </w:r>
    </w:p>
    <w:p>
      <w:pPr>
        <w:spacing w:after="0" w:line="12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Abstentions will not be counted in determining the votes cast in connection with the foregoing matters. A broker “non-vote” occurs when a shareholder has not provided voting instructions to the broker on a non-routine item. Other than with respect to the approval of our independent registered accounting firm, in the event of a broker non-vote, brokers may not vote on behalf of their clients on the above proposals.</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 Please contact your bank or brokerage firm for further information.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OF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One)</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Articles of Association provide that our Board of Directors shall consist of no less than three (3) and no more than seven (7) members with the exact number to be fixed by our Board of Directors.</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proposing the five (5) nominees listed below for election as Directors at the Annual Meeting of Shareholders for a one-year term or until their successors are elected and qualified. All nominees currently serve as our Directors. There are no arrangements or understandings between any nominee and any other person for selection as a nominee.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nominee is unable or unwilling to stand for election at the time of the Annual Meeting of Shareholders,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nominees for Director: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w w:val="86"/>
              </w:rPr>
              <w:t>Nomination/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60" w:type="dxa"/>
            <w:vAlign w:val="bottom"/>
            <w:vMerge w:val="restart"/>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74"/>
              </w:rPr>
              <w:t xml:space="preserve">Age </w:t>
            </w:r>
            <w:r>
              <w:rPr>
                <w:rFonts w:ascii="Arial" w:cs="Arial" w:eastAsia="Arial" w:hAnsi="Arial"/>
                <w:sz w:val="22"/>
                <w:szCs w:val="22"/>
                <w:b w:val="1"/>
                <w:bCs w:val="1"/>
                <w:color w:val="auto"/>
                <w:w w:val="74"/>
                <w:vertAlign w:val="superscript"/>
              </w:rPr>
              <w:t>(1)</w:t>
            </w: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Director</w:t>
            </w:r>
          </w:p>
        </w:tc>
        <w:tc>
          <w:tcPr>
            <w:tcW w:w="1200" w:type="dxa"/>
            <w:vAlign w:val="bottom"/>
            <w:gridSpan w:val="2"/>
          </w:tcPr>
          <w:p>
            <w:pPr>
              <w:jc w:val="right"/>
              <w:ind w:right="524"/>
              <w:spacing w:after="0" w:line="149" w:lineRule="exact"/>
              <w:rPr>
                <w:sz w:val="20"/>
                <w:szCs w:val="20"/>
                <w:color w:val="auto"/>
              </w:rPr>
            </w:pPr>
            <w:r>
              <w:rPr>
                <w:rFonts w:ascii="Arial" w:cs="Arial" w:eastAsia="Arial" w:hAnsi="Arial"/>
                <w:sz w:val="14"/>
                <w:szCs w:val="14"/>
                <w:b w:val="1"/>
                <w:bCs w:val="1"/>
                <w:color w:val="auto"/>
                <w:w w:val="91"/>
              </w:rPr>
              <w:t>Executive</w:t>
            </w:r>
          </w:p>
        </w:tc>
        <w:tc>
          <w:tcPr>
            <w:tcW w:w="12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Audit</w:t>
            </w:r>
          </w:p>
        </w:tc>
        <w:tc>
          <w:tcPr>
            <w:tcW w:w="14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00" w:type="dxa"/>
            <w:vAlign w:val="bottom"/>
            <w:gridSpan w:val="2"/>
          </w:tcPr>
          <w:p>
            <w:pPr>
              <w:jc w:val="right"/>
              <w:ind w:right="224"/>
              <w:spacing w:after="0" w:line="149" w:lineRule="exact"/>
              <w:rPr>
                <w:sz w:val="20"/>
                <w:szCs w:val="20"/>
                <w:color w:val="auto"/>
              </w:rPr>
            </w:pPr>
            <w:r>
              <w:rPr>
                <w:rFonts w:ascii="Arial" w:cs="Arial" w:eastAsia="Arial" w:hAnsi="Arial"/>
                <w:sz w:val="14"/>
                <w:szCs w:val="14"/>
                <w:b w:val="1"/>
                <w:bCs w:val="1"/>
                <w:color w:val="auto"/>
                <w:w w:val="86"/>
              </w:rPr>
              <w:t>Governance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Since</w:t>
            </w:r>
          </w:p>
        </w:tc>
        <w:tc>
          <w:tcPr>
            <w:tcW w:w="1200" w:type="dxa"/>
            <w:vAlign w:val="bottom"/>
            <w:gridSpan w:val="2"/>
          </w:tcPr>
          <w:p>
            <w:pPr>
              <w:jc w:val="right"/>
              <w:ind w:right="504"/>
              <w:spacing w:after="0" w:line="148" w:lineRule="exact"/>
              <w:rPr>
                <w:sz w:val="20"/>
                <w:szCs w:val="20"/>
                <w:color w:val="auto"/>
              </w:rPr>
            </w:pPr>
            <w:r>
              <w:rPr>
                <w:rFonts w:ascii="Arial" w:cs="Arial" w:eastAsia="Arial" w:hAnsi="Arial"/>
                <w:sz w:val="14"/>
                <w:szCs w:val="14"/>
                <w:b w:val="1"/>
                <w:bCs w:val="1"/>
                <w:color w:val="auto"/>
                <w:w w:val="85"/>
              </w:rPr>
              <w:t>Committee</w:t>
            </w:r>
          </w:p>
        </w:tc>
        <w:tc>
          <w:tcPr>
            <w:tcW w:w="120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0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99"/>
              </w:rPr>
              <w:t>Committee</w:t>
            </w:r>
          </w:p>
        </w:tc>
        <w:tc>
          <w:tcPr>
            <w:tcW w:w="1000" w:type="dxa"/>
            <w:vAlign w:val="bottom"/>
            <w:gridSpan w:val="2"/>
          </w:tcPr>
          <w:p>
            <w:pPr>
              <w:jc w:val="right"/>
              <w:ind w:right="264"/>
              <w:spacing w:after="0" w:line="148" w:lineRule="exact"/>
              <w:rPr>
                <w:sz w:val="20"/>
                <w:szCs w:val="20"/>
                <w:color w:val="auto"/>
              </w:rPr>
            </w:pPr>
            <w:r>
              <w:rPr>
                <w:rFonts w:ascii="Arial" w:cs="Arial" w:eastAsia="Arial" w:hAnsi="Arial"/>
                <w:sz w:val="14"/>
                <w:szCs w:val="14"/>
                <w:b w:val="1"/>
                <w:bCs w:val="1"/>
                <w:color w:val="auto"/>
                <w:w w:val="91"/>
              </w:rPr>
              <w:t>Committee</w:t>
            </w:r>
          </w:p>
        </w:tc>
        <w:tc>
          <w:tcPr>
            <w:tcW w:w="0" w:type="dxa"/>
            <w:vAlign w:val="bottom"/>
          </w:tcPr>
          <w:p>
            <w:pPr>
              <w:spacing w:after="0"/>
              <w:rPr>
                <w:sz w:val="1"/>
                <w:szCs w:val="1"/>
                <w:color w:val="auto"/>
              </w:rPr>
            </w:pPr>
          </w:p>
        </w:tc>
      </w:tr>
      <w:tr>
        <w:trPr>
          <w:trHeight w:val="195"/>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William C. Erbey</w:t>
            </w: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w:t>
            </w:r>
          </w:p>
        </w:tc>
        <w:tc>
          <w:tcPr>
            <w:tcW w:w="50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2009</w:t>
            </w:r>
          </w:p>
        </w:tc>
        <w:tc>
          <w:tcPr>
            <w:tcW w:w="48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X</w:t>
            </w:r>
          </w:p>
        </w:tc>
        <w:tc>
          <w:tcPr>
            <w:tcW w:w="540" w:type="dxa"/>
            <w:vAlign w:val="bottom"/>
          </w:tcPr>
          <w:p>
            <w:pPr>
              <w:jc w:val="right"/>
              <w:ind w:right="364"/>
              <w:spacing w:after="0"/>
              <w:rPr>
                <w:sz w:val="20"/>
                <w:szCs w:val="20"/>
                <w:color w:val="auto"/>
              </w:rPr>
            </w:pPr>
            <w:r>
              <w:rPr>
                <w:rFonts w:ascii="Arial" w:cs="Arial" w:eastAsia="Arial" w:hAnsi="Arial"/>
                <w:sz w:val="11"/>
                <w:szCs w:val="11"/>
                <w:color w:val="auto"/>
                <w:w w:val="74"/>
              </w:rPr>
              <w:t>(2)</w:t>
            </w:r>
          </w:p>
        </w:tc>
        <w:tc>
          <w:tcPr>
            <w:tcW w:w="6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X</w:t>
            </w:r>
          </w:p>
        </w:tc>
        <w:tc>
          <w:tcPr>
            <w:tcW w:w="280" w:type="dxa"/>
            <w:vAlign w:val="bottom"/>
          </w:tcPr>
          <w:p>
            <w:pPr>
              <w:jc w:val="right"/>
              <w:spacing w:after="0"/>
              <w:rPr>
                <w:sz w:val="20"/>
                <w:szCs w:val="20"/>
                <w:color w:val="auto"/>
              </w:rPr>
            </w:pPr>
            <w:r>
              <w:rPr>
                <w:rFonts w:ascii="Arial" w:cs="Arial" w:eastAsia="Arial" w:hAnsi="Arial"/>
                <w:sz w:val="11"/>
                <w:szCs w:val="11"/>
                <w:color w:val="auto"/>
                <w:w w:val="96"/>
              </w:rPr>
              <w:t>(2)(3)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William B. Shepro</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480" w:type="dxa"/>
            <w:vAlign w:val="bottom"/>
          </w:tcPr>
          <w:p>
            <w:pPr>
              <w:spacing w:after="0"/>
              <w:rPr>
                <w:sz w:val="18"/>
                <w:szCs w:val="18"/>
                <w:color w:val="auto"/>
              </w:rPr>
            </w:pPr>
          </w:p>
        </w:tc>
        <w:tc>
          <w:tcPr>
            <w:tcW w:w="1200" w:type="dxa"/>
            <w:vAlign w:val="bottom"/>
            <w:gridSpan w:val="2"/>
          </w:tcPr>
          <w:p>
            <w:pPr>
              <w:jc w:val="right"/>
              <w:ind w:right="484"/>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Roland Müller-Ineichen</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X</w:t>
            </w:r>
            <w:r>
              <w:rPr>
                <w:rFonts w:ascii="Arial" w:cs="Arial" w:eastAsia="Arial" w:hAnsi="Arial"/>
                <w:sz w:val="11"/>
                <w:szCs w:val="11"/>
                <w:color w:val="auto"/>
              </w:rPr>
              <w:t>(2)</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X</w:t>
            </w:r>
          </w:p>
        </w:tc>
        <w:tc>
          <w:tcPr>
            <w:tcW w:w="1000" w:type="dxa"/>
            <w:vAlign w:val="bottom"/>
            <w:gridSpan w:val="2"/>
          </w:tcPr>
          <w:p>
            <w:pPr>
              <w:jc w:val="right"/>
              <w:ind w:right="22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Timo Vättö</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47</w:t>
            </w: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X</w:t>
            </w:r>
            <w:r>
              <w:rPr>
                <w:rFonts w:ascii="Arial" w:cs="Arial" w:eastAsia="Arial" w:hAnsi="Arial"/>
                <w:sz w:val="11"/>
                <w:szCs w:val="11"/>
                <w:color w:val="auto"/>
              </w:rPr>
              <w:t>(2)</w:t>
            </w:r>
          </w:p>
        </w:tc>
        <w:tc>
          <w:tcPr>
            <w:tcW w:w="1000" w:type="dxa"/>
            <w:vAlign w:val="bottom"/>
            <w:gridSpan w:val="2"/>
          </w:tcPr>
          <w:p>
            <w:pPr>
              <w:jc w:val="right"/>
              <w:ind w:right="22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W. Michael Linn</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2011</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X</w:t>
            </w:r>
          </w:p>
        </w:tc>
        <w:tc>
          <w:tcPr>
            <w:tcW w:w="1000" w:type="dxa"/>
            <w:vAlign w:val="bottom"/>
            <w:gridSpan w:val="2"/>
          </w:tcPr>
          <w:p>
            <w:pPr>
              <w:jc w:val="right"/>
              <w:ind w:right="84"/>
              <w:spacing w:after="0"/>
              <w:rPr>
                <w:sz w:val="20"/>
                <w:szCs w:val="20"/>
                <w:color w:val="auto"/>
              </w:rPr>
            </w:pPr>
            <w:r>
              <w:rPr>
                <w:rFonts w:ascii="Arial" w:cs="Arial" w:eastAsia="Arial" w:hAnsi="Arial"/>
                <w:sz w:val="18"/>
                <w:szCs w:val="18"/>
                <w:color w:val="auto"/>
              </w:rPr>
              <w:t>X</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As of March 15, 2012</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Committee Chairman for 2011</w:t>
      </w:r>
    </w:p>
    <w:p>
      <w:pPr>
        <w:spacing w:after="0" w:line="8" w:lineRule="exact"/>
        <w:rPr>
          <w:rFonts w:ascii="Arial" w:cs="Arial" w:eastAsia="Arial" w:hAnsi="Arial"/>
          <w:sz w:val="22"/>
          <w:szCs w:val="22"/>
          <w:color w:val="auto"/>
          <w:vertAlign w:val="superscript"/>
        </w:rPr>
      </w:pPr>
    </w:p>
    <w:p>
      <w:pPr>
        <w:ind w:left="460" w:right="260" w:hanging="452"/>
        <w:spacing w:after="0" w:line="221"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Mr. Erbey served as Committee Chairman in 2011. In 2012, Mr. Linn replaced Mr. Erbey on the Nomination/Governance Committee and now serves as Chairman.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for the last five (5) years and additional biographical information of each Director of Altisource is set forth below.</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All our Directors bring to Altisource’s Board of Directors a wealth of executive leadership experience derived from their service as executives of large corporations.</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William C. Erbey. </w:t>
      </w:r>
      <w:r>
        <w:rPr>
          <w:rFonts w:ascii="Arial" w:cs="Arial" w:eastAsia="Arial" w:hAnsi="Arial"/>
          <w:sz w:val="16"/>
          <w:szCs w:val="16"/>
          <w:color w:val="auto"/>
        </w:rPr>
        <w:t>Mr. Erbey was appointed as the Chairman of the Board of Directors of Altisource in July 2009. He has served as the Chairman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Ocwen Financial Corporation (“Ocwen”), Altisource’s former parent company, since September 1996 and as the Chief Executive Officer of Ocwen from January 1988 to October 2010. He served as the President of Ocwen from January 1988 to May 1998. From 1983 to 1985, Mr. Erbey served as a Managing General Partner of The Oxford Financial Group, a private investment partnership that was the predecessor of Ocwen. He is also the founder and Chairman of Home Loan Servicing Solutions, Ltd., formed in December 2010 to acquire mortgage servicing assets. From 1975 to 1983, Mr. Erbey served at General Electric Capital Corporation in various capacities, including as President and Chief Operating Officer of General Electric Mortgage Insurance Corporation, Program and General Manager of the Commercial Financial Services Department and President of Acquisition Funding Corporation. He holds a Bachelor of Arts in Economics from Allegheny College and a Master of Business Administration from Harvard University.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 w:name="page9"/>
    <w:bookmarkEnd w:id="8"/>
    <w:p>
      <w:pPr>
        <w:ind w:right="5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Erbey’s extensive experience as the Chairman and Chief Executive Officer of Ocwen demonstrates his leadership capability and business acumen. His experience in the mortgage services industry brings valuable financial, operational and strategic expertise to our Board of Directors.</w:t>
      </w:r>
    </w:p>
    <w:p>
      <w:pPr>
        <w:spacing w:after="0" w:line="8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William B. Shepro</w:t>
      </w:r>
      <w:r>
        <w:rPr>
          <w:rFonts w:ascii="Arial" w:cs="Arial" w:eastAsia="Arial" w:hAnsi="Arial"/>
          <w:sz w:val="16"/>
          <w:szCs w:val="16"/>
          <w:color w:val="auto"/>
        </w:rPr>
        <w:t>. Mr. Shepro was appointed Chief Executive Officer and to the Board of Directors of Altisource in July 2009. Mr. Shepro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President and Chief Operating Officer of Ocwen Solutions at Ocwen. He previously served as President of Global Servicing Solutions, LLC, a joint venture between Ocwen and Merrill Lynch, from 2003 until 2009.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and operational insights.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Directors of Altisource in July 2009. He also serves on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 Arner S.A., a provider of private banking services based in Lugano, Switzerland and on the Board of Directors of SWA Swiss Auditors AG, a private company based in Freienbach, Switzerland that provides auditing and consulting services for financial institutions in Switzerland. Mr. Müller-Ineichen most recently served as a Partner with KPMG Switzerland and KPMG Europe LLP where he served as lead partner on the audits of national and international Banks, Security Dealers and Fund Management Companies. Mr. Müller-Ineichen began working in the Zurich office of KPMG in June 1995 as a Senior Manager in the audit department banking and financial services and served as a Partner from January 1999 until his retirement in December 2008. Prior to KPMG, Mr. Müller-Ineichen progressed through various audit and managerial roles with Switzerland-based financial institutions. In addition, from May 2010 until September 2011, Mr. Müller-Ineichen served as a member of the Board of Directors of Absolute Private Equity AG, a Switzerland-based investment company. Mr. Müller-Ineichen is a Swiss Certified Public Accountant. He completed a commercial and banking business apprenticeship with UBS in 1980. Mr. Müller-Ineichen holds a Business Commerce degree.</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SEC rules and The NASDAQ Stock Market (“NASDAQ”) listing standards.</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Timo Vättö. </w:t>
      </w:r>
      <w:r>
        <w:rPr>
          <w:rFonts w:ascii="Arial" w:cs="Arial" w:eastAsia="Arial" w:hAnsi="Arial"/>
          <w:sz w:val="18"/>
          <w:szCs w:val="18"/>
          <w:color w:val="auto"/>
        </w:rPr>
        <w:t>Mr. Vättö was appointed to the Board of Directors of Altisource in August 2009. He is the founder and owner of Vättö Management Services AG,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 of independent corporate advisory services to corporations, institutional investors and private families, which was founded in November 2008. Previously, Mr. Vättö was employed by Citigroup in Switzerland and the U.S. for almost twenty years in senior client coverage and business head roles within the client franchise management and business origination functions for Corporate and Investment Banking, most recently as Head of Swiss Investment Banking. In addition from 2004 to 2009, Mr. Vättö served as a member of the Board of Directors, including as a member of the Audit Committee of Citibank (Switzerland) AG, part of Citigroup’ s Wealth Management Business. Mr. Vättö holds a Master of Science, Economics and Business Administration from the University of Tampere (Finland).</w:t>
      </w:r>
    </w:p>
    <w:p>
      <w:pPr>
        <w:spacing w:after="0" w:line="1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Mr. Vättö’s experience with Vättö Management Services AG and Citigroup makes him financially literate as required pursuant to NASDAQ listing standards and his knowledge of the financial services industry provides the Board of Directors with subject matter expertise.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 w:name="page10"/>
    <w:bookmarkEnd w:id="9"/>
    <w:p>
      <w:pPr>
        <w:spacing w:after="0" w:line="28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 Michael Linn. </w:t>
      </w:r>
      <w:r>
        <w:rPr>
          <w:rFonts w:ascii="Arial" w:cs="Arial" w:eastAsia="Arial" w:hAnsi="Arial"/>
          <w:sz w:val="16"/>
          <w:szCs w:val="16"/>
          <w:color w:val="auto"/>
        </w:rPr>
        <w:t>Mr. Linn was appointed to the Board of Directors of Altisource in May 2011. Mr. Linn also serves on the Board of Directors and as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Executive Officer of Greensleeves LLC since July 2007 where he focuses on increasing the use of alternative energy to power buildings. In addition, he serves on the Board of Directors of National Lime &amp; Stone and is a private investor in energy-related industries. Mr. Linn previously served on the Board of Directors of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graduated from Harvard College in 1970 with a Bachelor of Arts and earned a Master of Business Administration from Harvard Business School in 1973.</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Mr. Linn’s experience evaluating and designing management information and control systems for Fortune 500 Corporations and for the U.S. Government and his service as a senior officer and member of the Board of Directors of a leading provider of accounting and management control software makes him financially literate as required pursuant to NASDAQ listing standards. His extensive management and prior Board of Directors experience as well as his expertise with emerging technologies and in the development of strategic relationships bring valuable operational sales and strategic expertise to our Board of Directors.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meetings of the Board of Directors, the meetings of committees on which they serve and the Annual Meeting of Shareholders. Directors are also consulted for advice and counsel between formal meetings.</w:t>
      </w:r>
    </w:p>
    <w:p>
      <w:pPr>
        <w:spacing w:after="0" w:line="14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Our Board of Directors held six (6) meetings in 2011. Each incumbent Director attended at least 75% of these meetings as well as the meetings held by all committees of our Board of Directors on which they served during the period. Although we do not have a formal policy regarding Director attendance at the Annual Meeting of Shareholders, our Directors are expected to attend. All of the incumbent members of our Board of Directors attended our 2011 Annual Meeting of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the NASDAQ listing standards and applicable law.</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such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Müller-Ineichen, Vättö and Linn are independent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As our Chief Executive Officer, Mr. Shepro is responsible for our day-to-day operations and for formulating and executing our long-term strategies in collaboration with the Board of Directors. As Chairman of the Board of Directors, Mr. Erbey leads the Board and oversees meetings of the Board of Directors and the delivery of information necessary for the Board’s informed decision-making.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Board of Directors has established an Audit Committee, a Compensation Committee, a Nomination/Governance Committee and an Executive Committee. A brief description of these committees is provided below.</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oversees the relationship with our independent registered certified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accounting, internal controls, auditing and federal securities law matters and the review of the scope and results of the annual audit conducted by the independent registered certified public accounting firm.</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1" w:name="page12"/>
    <w:bookmarkEnd w:id="1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members of the Audit Committee for 2011 were Ms. Andresen-Kienz</w:t>
      </w:r>
      <w:r>
        <w:rPr>
          <w:rFonts w:ascii="Arial" w:cs="Arial" w:eastAsia="Arial" w:hAnsi="Arial"/>
          <w:sz w:val="10"/>
          <w:szCs w:val="10"/>
          <w:color w:val="auto"/>
        </w:rPr>
        <w:t>(1)</w:t>
      </w:r>
      <w:r>
        <w:rPr>
          <w:rFonts w:ascii="Arial" w:cs="Arial" w:eastAsia="Arial" w:hAnsi="Arial"/>
          <w:sz w:val="16"/>
          <w:szCs w:val="16"/>
          <w:color w:val="auto"/>
        </w:rPr>
        <w:t xml:space="preserve"> and Messrs. Linn</w:t>
      </w:r>
      <w:r>
        <w:rPr>
          <w:rFonts w:ascii="Arial" w:cs="Arial" w:eastAsia="Arial" w:hAnsi="Arial"/>
          <w:sz w:val="10"/>
          <w:szCs w:val="10"/>
          <w:color w:val="auto"/>
        </w:rPr>
        <w:t>(2)</w:t>
      </w:r>
      <w:r>
        <w:rPr>
          <w:rFonts w:ascii="Arial" w:cs="Arial" w:eastAsia="Arial" w:hAnsi="Arial"/>
          <w:sz w:val="16"/>
          <w:szCs w:val="16"/>
          <w:color w:val="auto"/>
        </w:rPr>
        <w:t xml:space="preserve">, Müller-Ineichen and Vättö. Each member of our Audit Committee is independent as defined in regulations adopted by the SEC and NASDAQ listing standards. Our Board of Directors has determined that all members of our Audit Committee are financially literate. Furthermore, our Board of Directors has determined that Mr. Müller -Ineichen possesses accounting or related financial management expertise within the meaning of the NASDAQ listing standards and qualifies as an audit committee financial expert as that term is defined in SEC rules. 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Annually, the Audit Committee reviews and approves its charter. The charter was last reviewed and approved by the Audit Committee in March 2012. This Committee met seven (7) times in 2011.</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human resource and compensation matters relating to our named executive officers. The Compensation Committee reviews with the Chief Executive Officer and Chief Administration Officer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has authority for the administration of awards under the 2009 Equity Incentive Plan. The Compensation Committee has the authority to retain independent counsel or other advisers as it deems necessary in connection with its responsibilities at our expense. The Compensation Committee may request that any of our Directors, officers or employees, or other persons attend its meetings to provide advice, counsel or pertinent information as the Committee requests.</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members of the Compensation Committee for 2011 were Ms. Andresen-Kienz</w:t>
      </w:r>
      <w:r>
        <w:rPr>
          <w:rFonts w:ascii="Arial" w:cs="Arial" w:eastAsia="Arial" w:hAnsi="Arial"/>
          <w:sz w:val="10"/>
          <w:szCs w:val="10"/>
          <w:color w:val="auto"/>
        </w:rPr>
        <w:t>(1)</w:t>
      </w:r>
      <w:r>
        <w:rPr>
          <w:rFonts w:ascii="Arial" w:cs="Arial" w:eastAsia="Arial" w:hAnsi="Arial"/>
          <w:sz w:val="16"/>
          <w:szCs w:val="16"/>
          <w:color w:val="auto"/>
        </w:rPr>
        <w:t xml:space="preserve"> and Messrs. Linn</w:t>
      </w:r>
      <w:r>
        <w:rPr>
          <w:rFonts w:ascii="Arial" w:cs="Arial" w:eastAsia="Arial" w:hAnsi="Arial"/>
          <w:sz w:val="10"/>
          <w:szCs w:val="10"/>
          <w:color w:val="auto"/>
        </w:rPr>
        <w:t>(2)</w:t>
      </w:r>
      <w:r>
        <w:rPr>
          <w:rFonts w:ascii="Arial" w:cs="Arial" w:eastAsia="Arial" w:hAnsi="Arial"/>
          <w:sz w:val="16"/>
          <w:szCs w:val="16"/>
          <w:color w:val="auto"/>
        </w:rPr>
        <w:t>, Müller-Ineichen and Vättö. Each member of the Compensation Committee is independent as defined by NASDAQ listing standards.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Chairman. The Compensation Committee generally meets in executive session at each scheduled meeting.</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This Committee met five (5) times in 2011. On an annual basis, the Compensation Committee evaluates its performance under its charter to ensure that it appropriately addresses the matters that are within the scope of Committee responsibility. When necessary, the Compensation Committee recommends amendments to its charter to the Board of Directors for approval. The charter was last reviewed by the Compensation Committee in March 2012, and an immaterial amendment which deletes a reference to the 2010 Annual Meeting of Shareholders was recommended to the Board of Directors for approval and subsequently approved by the Board of Directors.</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Chief Administration Officer, who may be present at Compensation Committee meetings. These executives annually review the performance of each executive officer (other than the Chief Executive Officer whose performance is reviewed by the Compensation Committee with consultation of the Chairman)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Ms. Andresen-Kienz was a member of this Committee through May 18, 2011.</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Mr. Linn was a member of this Committee from May 18, 2011.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2" w:name="page13"/>
    <w:bookmarkEnd w:id="12"/>
    <w:p>
      <w:pPr>
        <w:ind w:right="60"/>
        <w:spacing w:after="0" w:line="30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member of the Compensation Committee was at any time during the 2011 fiscal year 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other time an officer or employee of the Company, and no member had any relationship with us requiring disclosure under Item 404 of SEC Regulation S-K. None of our named executive officers has served on the Board of Directors or compensation committee of any other entity that has or had one (1) or more named executive officers who served as a member of our Board of Directors or our Compensation Committee during the 2011 fiscal year.</w:t>
      </w:r>
    </w:p>
    <w:p>
      <w:pPr>
        <w:spacing w:after="0" w:line="10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w:t>
      </w:r>
    </w:p>
    <w:p>
      <w:pPr>
        <w:spacing w:after="0" w:line="143"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color w:val="auto"/>
        </w:rPr>
        <w:t>The members of the Nomination/Governance Committee for 2011 were Messrs. Erbey, Müller-Ineichen and Vättö. In 2012, Mr. Linn replaced Mr. Erbey on the Committee and now serves as Chairman. Each member of our Nomination/Governance Committee is independent as defined in the NASDAQ listing standards.</w:t>
      </w:r>
    </w:p>
    <w:p>
      <w:pPr>
        <w:spacing w:after="0" w:line="62"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Annually, the Nomination/Governance Committee reviews and approves its charter. The charter was last reviewed and approved by the Nomination/Governance Committee in March 2012. This Committee met four (4) times in 2011.</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NASDAQ listing standards. In addition, our Nomination/Governance Committee takes into account our best interests as well as such factors as knowledge, experience, skills, expertise, diversity and the interplay of the candidate’s experience with the background of other members of our Board of Directors.</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periodically reviews the skills and attributes of Board members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or national origin.</w:t>
      </w:r>
    </w:p>
    <w:p>
      <w:pPr>
        <w:spacing w:after="0" w:line="12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 of other prospective nominees.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 w:name="page14"/>
    <w:bookmarkEnd w:id="13"/>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you want to recommend persons for consideration by our Nomination/Governance Committee as nominees for election to our Board of Directors, you can do so by writing to our Corporate Secretary at Altisource Portfolio Solutions S.A., 291, route d’Arlon, L-1150 Luxembourg City,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2013 Annual Meeting of Shareholders, we must receive your recommendations by November 30, 2012.</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Our Board of Directors has authorized the Committee to approve and/or to designate in writing certain individuals to approve ordinary course of business actions that are required to be documented by counterparties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13"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our Board of Directors.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them by writing to our Corporate Secretary at Altisource Portfolio Solutions S.A., 291, route d’Arlon, L-1150 Luxembourg City, Grand Duchy of Luxembourg.</w:t>
      </w:r>
    </w:p>
    <w:p>
      <w:pPr>
        <w:spacing w:after="0" w:line="163" w:lineRule="exact"/>
        <w:rPr>
          <w:sz w:val="20"/>
          <w:szCs w:val="20"/>
          <w:color w:val="auto"/>
        </w:rPr>
      </w:pPr>
    </w:p>
    <w:p>
      <w:pPr>
        <w:ind w:right="4560"/>
        <w:spacing w:after="0" w:line="369" w:lineRule="auto"/>
        <w:rPr>
          <w:sz w:val="20"/>
          <w:szCs w:val="20"/>
          <w:color w:val="auto"/>
        </w:rPr>
      </w:pPr>
      <w:r>
        <w:rPr>
          <w:rFonts w:ascii="Arial" w:cs="Arial" w:eastAsia="Arial" w:hAnsi="Arial"/>
          <w:sz w:val="18"/>
          <w:szCs w:val="18"/>
          <w:b w:val="1"/>
          <w:bCs w:val="1"/>
          <w:color w:val="auto"/>
        </w:rPr>
        <w:t xml:space="preserve">Executive Sessions of Non-Management Directors </w:t>
      </w:r>
      <w:r>
        <w:rPr>
          <w:rFonts w:ascii="Arial" w:cs="Arial" w:eastAsia="Arial" w:hAnsi="Arial"/>
          <w:sz w:val="18"/>
          <w:szCs w:val="18"/>
          <w:color w:val="auto"/>
        </w:rPr>
        <w:t>Non-management Directors met in executive session without management five (5) times in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If you desire to contact our Board of Directors or any individual Director regarding Altisource, you may do so by mail addressed to our Corporate Secretary at Altisource Portfolio Solutions S.A., 291, route d’Arlon, L-1150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Ethics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the NASDAQ rules. Any waivers from the Code of Business Conduct and Ethics for Directors or named executive officers must be approved by our Board of Directors or a Board committee and must be promptly disclosed to you. We have also adopted a Code of Ethics for Senior Financial Officers that applies to our Chief Executive Officer and our Chief Financial Officer. The Code of Business Conduct and Ethics and the Code of Ethics for Senior Financial Officers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a copy by writing to our Corporate Secretary at 291, route d’Arlon, L-1150 Luxembourg City, Grand Duchy of Luxembourg. Any amendments to the Code of Business Conduct and Ethics or the Code of Ethics for Senior Financial Officers, as well as any waivers that are required to be disclosed under the rules of the SEC or NASDAQ, will be posted on our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Board of Directors and each of its committees are involved in overseeing risk associated with the Company. The Board of Directors and the Audit Committee monitor Altisource’s credit risk, liquidity risk, regulatory risk, operational risk and enterprise risk by regular reviews with management and internal and external auditors. In its periodic meetings with internal and external auditors, the Audit Committee discusses the scope and plan for the internal audit and includes management in its review of accounting and financial controls, assessment of business risks and legal and ethical compliance programs. 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The Board of Directors and the Nomination/Governance Committee monitor the Company’s governance and succession risks by regular reviews with management. The Board of Directors and the Compensation Committee monitor the Company’s compensation policies and related risks by regular reviews with management. The Board of Directors’ role in risk oversight is consistent with the Company’s leadership structure, with the Chief Executive Officer and other members of senior management having responsibility for assessing and managing the Company’s risk exposure, and the Chairman, the Board of Directors and its committees providing oversight in connection with these efforts.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cash compensation to our non-management Directors in quarterly installments:</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retainer of $49,000;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$50,000 to the Chairman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$5,000 to all Audit Committee members.</w:t>
      </w:r>
    </w:p>
    <w:p>
      <w:pPr>
        <w:spacing w:after="0" w:line="9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following table discloses compensation received by each non-management member of our Board of Directors who served as a Director during fiscal year 2011. Our management Directors do not receive an annual retainer or any other compensation for their service on the Board of Directors.</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Fees Earned</w:t>
            </w:r>
          </w:p>
        </w:tc>
        <w:tc>
          <w:tcPr>
            <w:tcW w:w="640" w:type="dxa"/>
            <w:vAlign w:val="bottom"/>
          </w:tcPr>
          <w:p>
            <w:pPr>
              <w:spacing w:after="0"/>
              <w:rPr>
                <w:sz w:val="14"/>
                <w:szCs w:val="14"/>
                <w:color w:val="auto"/>
              </w:rPr>
            </w:pPr>
          </w:p>
        </w:tc>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color w:val="auto"/>
                <w:vertAlign w:val="superscript"/>
              </w:rPr>
              <w:t>(2)(3)</w:t>
            </w: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4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2480" w:type="dxa"/>
            <w:vAlign w:val="bottom"/>
          </w:tcPr>
          <w:p>
            <w:pPr>
              <w:spacing w:after="0"/>
              <w:rPr>
                <w:sz w:val="15"/>
                <w:szCs w:val="15"/>
                <w:color w:val="auto"/>
              </w:rPr>
            </w:pPr>
          </w:p>
        </w:tc>
        <w:tc>
          <w:tcPr>
            <w:tcW w:w="1120" w:type="dxa"/>
            <w:vAlign w:val="bottom"/>
            <w:gridSpan w:val="2"/>
          </w:tcPr>
          <w:p>
            <w:pPr>
              <w:ind w:left="20"/>
              <w:spacing w:after="0" w:line="162" w:lineRule="exact"/>
              <w:rPr>
                <w:sz w:val="20"/>
                <w:szCs w:val="20"/>
                <w:color w:val="auto"/>
              </w:rPr>
            </w:pPr>
            <w:r>
              <w:rPr>
                <w:rFonts w:ascii="Arial" w:cs="Arial" w:eastAsia="Arial" w:hAnsi="Arial"/>
                <w:sz w:val="12"/>
                <w:szCs w:val="12"/>
                <w:b w:val="1"/>
                <w:bCs w:val="1"/>
                <w:color w:val="auto"/>
              </w:rPr>
              <w:t>Or Paid in Cash</w:t>
            </w:r>
            <w:r>
              <w:rPr>
                <w:rFonts w:ascii="Arial" w:cs="Arial" w:eastAsia="Arial" w:hAnsi="Arial"/>
                <w:sz w:val="18"/>
                <w:szCs w:val="18"/>
                <w:color w:val="auto"/>
                <w:vertAlign w:val="superscript"/>
              </w:rPr>
              <w:t>(1)</w:t>
            </w:r>
          </w:p>
        </w:tc>
        <w:tc>
          <w:tcPr>
            <w:tcW w:w="6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84"/>
              </w:rPr>
              <w:t>Compensation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Roland Müller-Ineichen</w:t>
            </w:r>
          </w:p>
        </w:tc>
        <w:tc>
          <w:tcPr>
            <w:tcW w:w="2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58,500</w:t>
            </w: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61,990</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120,490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Timo Vättö</w:t>
            </w:r>
          </w:p>
        </w:tc>
        <w:tc>
          <w:tcPr>
            <w:tcW w:w="26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56,000</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61,990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Silke Andresen-Kienz</w:t>
            </w:r>
            <w:r>
              <w:rPr>
                <w:rFonts w:ascii="Arial" w:cs="Arial" w:eastAsia="Arial" w:hAnsi="Arial"/>
                <w:sz w:val="11"/>
                <w:szCs w:val="11"/>
                <w:color w:val="auto"/>
              </w:rPr>
              <w:t>(4)</w:t>
            </w:r>
          </w:p>
        </w:tc>
        <w:tc>
          <w:tcPr>
            <w:tcW w:w="26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45,000</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William C. Erbey</w:t>
            </w:r>
          </w:p>
        </w:tc>
        <w:tc>
          <w:tcPr>
            <w:tcW w:w="26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101,000</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61,990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Michael Linn</w:t>
            </w:r>
            <w:r>
              <w:rPr>
                <w:rFonts w:ascii="Arial" w:cs="Arial" w:eastAsia="Arial" w:hAnsi="Arial"/>
                <w:sz w:val="11"/>
                <w:szCs w:val="11"/>
                <w:color w:val="auto"/>
              </w:rPr>
              <w:t>(5)</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0" w:hanging="452"/>
        <w:spacing w:after="0" w:line="269" w:lineRule="auto"/>
        <w:tabs>
          <w:tab w:leader="none" w:pos="46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The cash portion of Directors’ compensation increased by $9,000 at the Annual Meeting of Shareholders on May 18, 2011. Compensation for service for January through April is calculated based upon the original retainer of $40,000 annually and May through December is calculated at $49,000 annually.</w:t>
      </w:r>
    </w:p>
    <w:p>
      <w:pPr>
        <w:ind w:left="460" w:right="220" w:hanging="452"/>
        <w:spacing w:after="0" w:line="246" w:lineRule="auto"/>
        <w:tabs>
          <w:tab w:leader="none" w:pos="460"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color w:val="auto"/>
        </w:rPr>
        <w:t>Non-management Directors who attend an aggregate of at least 75% of all meetings of the Board of Directors and Committees, on which they serve, annually receive an award of Altisource common stock with an aggregate fair market value of $45,000 as determined by the average of the high and low prices of the common stock as reported on NASDAQ on the first day of the service year.</w:t>
      </w:r>
    </w:p>
    <w:p>
      <w:pPr>
        <w:ind w:left="460" w:hanging="452"/>
        <w:spacing w:after="0" w:line="237"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Beginning at the Annual Meeting of Shareholders in 2011, each new non-management Director elected to our Board of Directors receives a one-time award of 500 shares of common stock. These shares vest 25% a year on each anniversary of the award date. At the Annual Meeting of Shareholders in 2011, this one-time award, with an aggregate fair market value of $16,990, was awarded to each non-management Director newly elected or re-elected to our Board of Directors.</w:t>
      </w:r>
    </w:p>
    <w:p>
      <w:pPr>
        <w:spacing w:after="0" w:line="1" w:lineRule="exact"/>
        <w:rPr>
          <w:rFonts w:ascii="Arial" w:cs="Arial" w:eastAsia="Arial" w:hAnsi="Arial"/>
          <w:sz w:val="22"/>
          <w:szCs w:val="22"/>
          <w:color w:val="auto"/>
          <w:vertAlign w:val="superscript"/>
        </w:rPr>
      </w:pPr>
    </w:p>
    <w:p>
      <w:pPr>
        <w:ind w:left="460" w:hanging="452"/>
        <w:spacing w:after="0" w:line="214" w:lineRule="auto"/>
        <w:tabs>
          <w:tab w:leader="none" w:pos="460"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color w:val="auto"/>
        </w:rPr>
        <w:t>Silke Andresen-Kienz did not seek re-election to our Board of Directors in May 2011. As such, she did not serve as a Director after May 2011.</w:t>
      </w:r>
    </w:p>
    <w:p>
      <w:pPr>
        <w:spacing w:after="0" w:line="8"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W. Michael Linn was elected to our Board of Directors in May 2011.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Any Director compensation may be prorated for a Director serving less than a full one-year term as in the case of a Director joining the Board of Directors after an Annual Meeting of Shareholders. Directors are reimbursed for reasonable travel and other expenses incurred in connection with attending meetings of the Board of Directors and its committees. Under Luxembourg law and our Articles of Association, Directors’ compensation is subject to review and adjustment by the shareholders from time to time.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6" w:name="page17"/>
    <w:bookmarkEnd w:id="16"/>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part of Director compensation, non-management Directors receive shares of common stock of Altisource with a fair market value of $45,000. “Fair Market Value” is defined as the average of the high and low prices of the common stock as reported on NASDAQ on the first day of the service year. Equity compensation is paid for the prior year of service after the annual organizational meeting of the Board of Directors which immediately follows the Annual Meeting of Shareholders. Shares will be awarded if the Director attends an aggregate of at least 75% of all meetings of the Board of Directors and committees thereof of which the Director is a member during the service year. New non-management directors elected at the Annual Meeting of Shareholders are granted a one-time award of 500 shares of common stock. These shares vest 25% a year on each anniversary of the award date.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NAMED EXECUTIVE OFFICERS WHO ARE NOT DIRECTORS</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named executive officers but does not serve on our Board of Directors. Our named executive officers are elected annually by our Board of Directors and generally serve at the discretion of our Board of Directors. There are no arrangements or understandings between us and any person for election as our named executive officer. None of our Directors and/or named executive officers are related to any other Director and/or named executive officer of Altisource or any of its subsidiaries by blood, marriage or adoption.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Name</w:t>
            </w:r>
            <w:r>
              <w:rPr>
                <w:rFonts w:ascii="Arial" w:cs="Arial" w:eastAsia="Arial" w:hAnsi="Arial"/>
                <w:sz w:val="22"/>
                <w:szCs w:val="22"/>
                <w:color w:val="auto"/>
                <w:w w:val="81"/>
                <w:vertAlign w:val="superscript"/>
              </w:rPr>
              <w:t>(1)</w:t>
            </w:r>
          </w:p>
        </w:tc>
        <w:tc>
          <w:tcPr>
            <w:tcW w:w="3360" w:type="dxa"/>
            <w:vAlign w:val="bottom"/>
          </w:tcPr>
          <w:p>
            <w:pPr>
              <w:spacing w:after="0"/>
              <w:rPr>
                <w:sz w:val="23"/>
                <w:szCs w:val="23"/>
                <w:color w:val="auto"/>
              </w:rPr>
            </w:pPr>
          </w:p>
        </w:tc>
        <w:tc>
          <w:tcPr>
            <w:tcW w:w="1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c>
          <w:tcPr>
            <w:tcW w:w="3080" w:type="dxa"/>
            <w:vAlign w:val="bottom"/>
          </w:tcPr>
          <w:p>
            <w:pPr>
              <w:spacing w:after="0"/>
              <w:rPr>
                <w:sz w:val="23"/>
                <w:szCs w:val="23"/>
                <w:color w:val="auto"/>
              </w:rPr>
            </w:pPr>
          </w:p>
        </w:tc>
      </w:tr>
      <w:tr>
        <w:trPr>
          <w:trHeight w:val="195"/>
        </w:trPr>
        <w:tc>
          <w:tcPr>
            <w:tcW w:w="480" w:type="dxa"/>
            <w:vAlign w:val="bottom"/>
          </w:tcPr>
          <w:p>
            <w:pPr>
              <w:spacing w:after="0"/>
              <w:rPr>
                <w:sz w:val="20"/>
                <w:szCs w:val="20"/>
                <w:color w:val="auto"/>
              </w:rPr>
            </w:pPr>
            <w:r>
              <w:rPr>
                <w:rFonts w:ascii="Arial" w:cs="Arial" w:eastAsia="Arial" w:hAnsi="Arial"/>
                <w:sz w:val="16"/>
                <w:szCs w:val="16"/>
                <w:color w:val="auto"/>
                <w:w w:val="78"/>
              </w:rPr>
              <w:t>Michelle</w:t>
            </w:r>
          </w:p>
        </w:tc>
        <w:tc>
          <w:tcPr>
            <w:tcW w:w="3360" w:type="dxa"/>
            <w:vAlign w:val="bottom"/>
          </w:tcPr>
          <w:p>
            <w:pPr>
              <w:ind w:left="200"/>
              <w:spacing w:after="0" w:line="188" w:lineRule="exact"/>
              <w:rPr>
                <w:sz w:val="20"/>
                <w:szCs w:val="20"/>
                <w:color w:val="auto"/>
              </w:rPr>
            </w:pPr>
            <w:r>
              <w:rPr>
                <w:rFonts w:ascii="Arial" w:cs="Arial" w:eastAsia="Arial" w:hAnsi="Arial"/>
                <w:sz w:val="18"/>
                <w:szCs w:val="18"/>
                <w:color w:val="auto"/>
              </w:rPr>
              <w:t>D. Esterman</w:t>
            </w: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39</w:t>
            </w:r>
          </w:p>
        </w:tc>
        <w:tc>
          <w:tcPr>
            <w:tcW w:w="780" w:type="dxa"/>
            <w:vAlign w:val="bottom"/>
          </w:tcPr>
          <w:p>
            <w:pPr>
              <w:spacing w:after="0"/>
              <w:rPr>
                <w:sz w:val="16"/>
                <w:szCs w:val="16"/>
                <w:color w:val="auto"/>
              </w:rPr>
            </w:pPr>
          </w:p>
        </w:tc>
        <w:tc>
          <w:tcPr>
            <w:tcW w:w="35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Chief Financial Officer</w:t>
            </w: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78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w w:val="89"/>
              </w:rPr>
              <w:t>Chief Administration Officer and General Counsel</w:t>
            </w:r>
          </w:p>
        </w:tc>
      </w:tr>
    </w:tbl>
    <w:p>
      <w:pPr>
        <w:spacing w:after="0" w:line="16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All information set forth herein is as of March 15, 2012.</w:t>
      </w:r>
    </w:p>
    <w:p>
      <w:pPr>
        <w:spacing w:after="0" w:line="15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named executive officers that is not a Director is set forth below.</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Michelle D. Esterman. </w:t>
      </w:r>
      <w:r>
        <w:rPr>
          <w:rFonts w:ascii="Arial" w:cs="Arial" w:eastAsia="Arial" w:hAnsi="Arial"/>
          <w:sz w:val="18"/>
          <w:szCs w:val="18"/>
          <w:color w:val="auto"/>
        </w:rPr>
        <w:t>Ms. Esterman serves as Chief Financial Officer of Altisource. Before joining Altisource in March 2012, she served as Senior Manager,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&amp; Enterprise Risk Services, for Deloitte &amp; Touche LLP since 2003 and in various positions within Deloitte &amp; Touche LLP from 1996 to 2003, including a two year rotation with Deloitte Touche Tohmatsu.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Prior to hiring Ms. Esterman, the Company determined that her employment with Deloitte &amp; Touche LLP presented no independence issues which could prevent her from assuming the position of Chief Financial Officer of the Company.</w:t>
      </w:r>
    </w:p>
    <w:p>
      <w:pPr>
        <w:spacing w:after="0" w:line="13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Kevin J. Wilcox</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Wilcox serves as Chief Administration Officer and General Counsel of Altisource. Before joining Altisource in August of 2009, he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Executive Vice President, Chief Administration Officer and Corporate Secretary for Ocwen since May 2008. Mr. Wilcox previously served as the Senior Vice President of Human Resources and Corporate Services.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RELATED SHAREHOLDER MATTERS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90"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Directors and named executive officers of Altisource as a group;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persons known by Altisource to own beneficially 5% or more of the outstanding common stock.</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Securities Exchange Act of 1934, as amended. Unless otherwise indicated, the address of all persons below is: 291, Route d’Arlon, L-1150 Luxembourg City, Grand Duchy of Luxembourg.</w:t>
      </w:r>
    </w:p>
    <w:p>
      <w:pPr>
        <w:spacing w:after="0" w:line="103" w:lineRule="exact"/>
        <w:rPr>
          <w:sz w:val="20"/>
          <w:szCs w:val="20"/>
          <w:color w:val="auto"/>
        </w:rPr>
      </w:pPr>
    </w:p>
    <w:tbl>
      <w:tblPr>
        <w:tblLayout w:type="fixed"/>
        <w:tblInd w:w="1380" w:type="dxa"/>
        <w:tblCellMar>
          <w:top w:w="0" w:type="dxa"/>
          <w:left w:w="0" w:type="dxa"/>
          <w:bottom w:w="0" w:type="dxa"/>
          <w:right w:w="0" w:type="dxa"/>
        </w:tblCellMar>
      </w:tblPr>
      <w:tr>
        <w:trPr>
          <w:trHeight w:val="275"/>
        </w:trPr>
        <w:tc>
          <w:tcPr>
            <w:tcW w:w="1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60" w:type="dxa"/>
            <w:vAlign w:val="bottom"/>
          </w:tcPr>
          <w:p>
            <w:pPr>
              <w:ind w:left="260"/>
              <w:spacing w:after="0"/>
              <w:rPr>
                <w:sz w:val="20"/>
                <w:szCs w:val="20"/>
                <w:color w:val="auto"/>
              </w:rPr>
            </w:pPr>
            <w:r>
              <w:rPr>
                <w:rFonts w:ascii="Arial" w:cs="Arial" w:eastAsia="Arial" w:hAnsi="Arial"/>
                <w:sz w:val="14"/>
                <w:szCs w:val="14"/>
                <w:b w:val="1"/>
                <w:bCs w:val="1"/>
                <w:color w:val="auto"/>
              </w:rPr>
              <w:t>Shares Beneficially Owned as of March 15, 2012</w:t>
            </w:r>
            <w:r>
              <w:rPr>
                <w:rFonts w:ascii="Arial" w:cs="Arial" w:eastAsia="Arial" w:hAnsi="Arial"/>
                <w:sz w:val="22"/>
                <w:szCs w:val="22"/>
                <w:b w:val="1"/>
                <w:bCs w:val="1"/>
                <w:color w:val="auto"/>
                <w:vertAlign w:val="superscript"/>
              </w:rPr>
              <w:t>(1)</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5120" w:type="dxa"/>
            <w:vAlign w:val="bottom"/>
            <w:gridSpan w:val="2"/>
          </w:tcPr>
          <w:p>
            <w:pPr>
              <w:spacing w:after="0"/>
              <w:rPr>
                <w:sz w:val="14"/>
                <w:szCs w:val="14"/>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20"/>
        </w:trPr>
        <w:tc>
          <w:tcPr>
            <w:tcW w:w="67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Leon G. Cooperman</w:t>
            </w:r>
            <w:r>
              <w:rPr>
                <w:rFonts w:ascii="Arial" w:cs="Arial" w:eastAsia="Arial" w:hAnsi="Arial"/>
                <w:sz w:val="11"/>
                <w:szCs w:val="11"/>
                <w:color w:val="auto"/>
              </w:rPr>
              <w:t>(2)</w:t>
            </w: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gridSpan w:val="3"/>
            <w:vMerge w:val="continue"/>
            <w:shd w:val="clear" w:color="auto" w:fill="CCEEFF"/>
          </w:tcPr>
          <w:p>
            <w:pPr>
              <w:spacing w:after="0"/>
              <w:rPr>
                <w:sz w:val="17"/>
                <w:szCs w:val="17"/>
                <w:color w:val="auto"/>
              </w:rPr>
            </w:pPr>
          </w:p>
        </w:tc>
        <w:tc>
          <w:tcPr>
            <w:tcW w:w="740" w:type="dxa"/>
            <w:vAlign w:val="bottom"/>
            <w:tcBorders>
              <w:lef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1,745,700</w:t>
            </w:r>
          </w:p>
        </w:tc>
        <w:tc>
          <w:tcPr>
            <w:tcW w:w="8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66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color w:val="auto"/>
              </w:rPr>
              <w:t>Barry N. Wish</w:t>
            </w:r>
            <w:r>
              <w:rPr>
                <w:rFonts w:ascii="Arial" w:cs="Arial" w:eastAsia="Arial" w:hAnsi="Arial"/>
                <w:sz w:val="11"/>
                <w:szCs w:val="11"/>
                <w:color w:val="auto"/>
              </w:rPr>
              <w:t>(3)</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1,373,794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Wellington Management Company, LLP</w:t>
            </w:r>
            <w:r>
              <w:rPr>
                <w:rFonts w:ascii="Arial" w:cs="Arial" w:eastAsia="Arial" w:hAnsi="Arial"/>
                <w:sz w:val="11"/>
                <w:szCs w:val="11"/>
                <w:color w:val="auto"/>
              </w:rPr>
              <w:t>(4)</w:t>
            </w:r>
          </w:p>
        </w:tc>
        <w:tc>
          <w:tcPr>
            <w:tcW w:w="7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1,461,595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35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Directors and Named Executive Officers:</w:t>
            </w:r>
          </w:p>
        </w:tc>
        <w:tc>
          <w:tcPr>
            <w:tcW w:w="426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20"/>
        </w:trPr>
        <w:tc>
          <w:tcPr>
            <w:tcW w:w="67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William C. Erbey</w:t>
            </w:r>
            <w:r>
              <w:rPr>
                <w:rFonts w:ascii="Arial" w:cs="Arial" w:eastAsia="Arial" w:hAnsi="Arial"/>
                <w:sz w:val="11"/>
                <w:szCs w:val="11"/>
                <w:color w:val="auto"/>
              </w:rPr>
              <w:t>(5)</w:t>
            </w:r>
          </w:p>
        </w:tc>
        <w:tc>
          <w:tcPr>
            <w:tcW w:w="820" w:type="dxa"/>
            <w:vAlign w:val="bottom"/>
            <w:tcBorders>
              <w:left w:val="single" w:sz="8" w:color="CCEEFF"/>
            </w:tcBorders>
            <w:gridSpan w:val="2"/>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gridSpan w:val="3"/>
            <w:vMerge w:val="continue"/>
            <w:shd w:val="clear" w:color="auto" w:fill="CCEEFF"/>
          </w:tcPr>
          <w:p>
            <w:pPr>
              <w:spacing w:after="0"/>
              <w:rPr>
                <w:sz w:val="17"/>
                <w:szCs w:val="17"/>
                <w:color w:val="auto"/>
              </w:rPr>
            </w:pPr>
          </w:p>
        </w:tc>
        <w:tc>
          <w:tcPr>
            <w:tcW w:w="820" w:type="dxa"/>
            <w:vAlign w:val="bottom"/>
            <w:tcBorders>
              <w:left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7"/>
              </w:rPr>
              <w:t>6,608,793</w:t>
            </w:r>
          </w:p>
        </w:tc>
        <w:tc>
          <w:tcPr>
            <w:tcW w:w="420" w:type="dxa"/>
            <w:vAlign w:val="bottom"/>
            <w:vMerge w:val="continue"/>
            <w:shd w:val="clear" w:color="auto" w:fill="CCEEFF"/>
          </w:tcPr>
          <w:p>
            <w:pPr>
              <w:spacing w:after="0"/>
              <w:rPr>
                <w:sz w:val="17"/>
                <w:szCs w:val="17"/>
                <w:color w:val="auto"/>
              </w:rPr>
            </w:pPr>
          </w:p>
        </w:tc>
        <w:tc>
          <w:tcPr>
            <w:tcW w:w="66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4"/>
              </w:rPr>
              <w:t>26.43%</w:t>
            </w: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color w:val="auto"/>
              </w:rPr>
              <w:t>William B. Shepro</w:t>
            </w:r>
            <w:r>
              <w:rPr>
                <w:rFonts w:ascii="Arial" w:cs="Arial" w:eastAsia="Arial" w:hAnsi="Arial"/>
                <w:sz w:val="11"/>
                <w:szCs w:val="11"/>
                <w:color w:val="auto"/>
              </w:rPr>
              <w:t>(6)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311,327</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Michelle D. Esterman</w:t>
            </w:r>
          </w:p>
        </w:tc>
        <w:tc>
          <w:tcPr>
            <w:tcW w:w="1240" w:type="dxa"/>
            <w:vAlign w:val="bottom"/>
            <w:tcBorders>
              <w:lef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color w:val="auto"/>
              </w:rPr>
              <w:t>Roland Müller-Ineichen</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7,179</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Timo Vättö</w:t>
            </w:r>
          </w:p>
        </w:tc>
        <w:tc>
          <w:tcPr>
            <w:tcW w:w="8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6,179</w:t>
            </w:r>
          </w:p>
        </w:tc>
        <w:tc>
          <w:tcPr>
            <w:tcW w:w="4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color w:val="auto"/>
              </w:rPr>
              <w:t>W. Michael Linn</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6,500</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J. Wilcox</w:t>
            </w:r>
            <w:r>
              <w:rPr>
                <w:rFonts w:ascii="Arial" w:cs="Arial" w:eastAsia="Arial" w:hAnsi="Arial"/>
                <w:sz w:val="11"/>
                <w:szCs w:val="11"/>
                <w:color w:val="auto"/>
              </w:rPr>
              <w:t>(7)</w:t>
            </w:r>
          </w:p>
        </w:tc>
        <w:tc>
          <w:tcPr>
            <w:tcW w:w="8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187,939</w:t>
            </w:r>
          </w:p>
        </w:tc>
        <w:tc>
          <w:tcPr>
            <w:tcW w:w="4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3"/>
          </w:tcPr>
          <w:p>
            <w:pPr>
              <w:spacing w:after="0"/>
              <w:rPr>
                <w:sz w:val="20"/>
                <w:szCs w:val="20"/>
                <w:color w:val="auto"/>
              </w:rPr>
            </w:pPr>
            <w:r>
              <w:rPr>
                <w:rFonts w:ascii="Arial" w:cs="Arial" w:eastAsia="Arial" w:hAnsi="Arial"/>
                <w:sz w:val="18"/>
                <w:szCs w:val="18"/>
                <w:color w:val="auto"/>
              </w:rPr>
              <w:t>All Directors and Named Executive Officers as a Group (7 persons)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7,127,917</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28.50%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 w:lineRule="exact"/>
        <w:rPr>
          <w:sz w:val="20"/>
          <w:szCs w:val="20"/>
          <w:color w:val="auto"/>
        </w:rPr>
      </w:pPr>
    </w:p>
    <w:p>
      <w:pPr>
        <w:ind w:left="460" w:hanging="452"/>
        <w:spacing w:after="0" w:line="239"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or Directors.</w:t>
      </w:r>
    </w:p>
    <w:p>
      <w:pPr>
        <w:ind w:left="460" w:right="180" w:hanging="452"/>
        <w:spacing w:after="0" w:line="233"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Based on information contained in a Schedule 13G/A filed with the SEC on February 1, 2012 by Leon G. Cooperman. Includes 1,038,900 shares as to which sole voting power is claimed and 1,038,900 shares as to which sole dispositive power is claimed. Mr. Cooperman’s address is 2700 North Military Trail, Suite 230, Boca Raton, FL 33431.</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8" w:name="page19"/>
    <w:bookmarkEnd w:id="18"/>
    <w:p>
      <w:pPr>
        <w:ind w:left="460" w:right="520" w:hanging="452"/>
        <w:spacing w:after="0" w:line="254" w:lineRule="auto"/>
        <w:tabs>
          <w:tab w:leader="none" w:pos="460"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information contained in corporate records and in a Schedule 13D/A filed jointly by Barry N. Wish, Wishco, Inc., a Delaware corporation (“Wishco”), and Barry Wish Family Foundation, Inc., a Florida non-profit corporation (“Foundation”), with the SEC on February 14, 2012. Includes</w:t>
      </w:r>
    </w:p>
    <w:p>
      <w:pPr>
        <w:ind w:left="460" w:right="320"/>
        <w:spacing w:after="0" w:line="250" w:lineRule="auto"/>
        <w:rPr>
          <w:rFonts w:ascii="Arial" w:cs="Arial" w:eastAsia="Arial" w:hAnsi="Arial"/>
          <w:sz w:val="20"/>
          <w:szCs w:val="20"/>
          <w:color w:val="auto"/>
          <w:vertAlign w:val="superscript"/>
        </w:rPr>
      </w:pPr>
      <w:r>
        <w:rPr>
          <w:rFonts w:ascii="Arial" w:cs="Arial" w:eastAsia="Arial" w:hAnsi="Arial"/>
          <w:sz w:val="18"/>
          <w:szCs w:val="18"/>
          <w:color w:val="auto"/>
        </w:rPr>
        <w:t>(i) 141,255 shares owned by Barry N. Wish directly, (ii) 4,000 shares owned by Foundation, which is controlled by Mr. Wish, and (iii) 1,221,921 shares owned by Wishco, which is controlled by Mr. Wish pursuant to his ownership of 93.0% of the common stock thereto. Mr. Wish’s address is 1661 Worthington Road, Suite 100, West Palm Beach, FL 33409.</w:t>
      </w:r>
    </w:p>
    <w:p>
      <w:pPr>
        <w:spacing w:after="0" w:line="1" w:lineRule="exact"/>
        <w:rPr>
          <w:rFonts w:ascii="Arial" w:cs="Arial" w:eastAsia="Arial" w:hAnsi="Arial"/>
          <w:sz w:val="20"/>
          <w:szCs w:val="20"/>
          <w:color w:val="auto"/>
          <w:vertAlign w:val="superscript"/>
        </w:rPr>
      </w:pPr>
    </w:p>
    <w:p>
      <w:pPr>
        <w:jc w:val="both"/>
        <w:ind w:left="460" w:right="380" w:hanging="452"/>
        <w:spacing w:after="0" w:line="276" w:lineRule="auto"/>
        <w:tabs>
          <w:tab w:leader="none" w:pos="4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Based on information contained in a Schedule 13G filed with the SEC on February 14, 2012 by Wellington Management Company, LLP (“Wellington Management”). Includes 1,461,595 shares which are held of record by clients of Wellington Management and of which Wellington Management, in its capacity as an investment adviser, may be deemed to beneficially own. Wellington Management’s address is 280 Congress Street, Boston, MA 02210.</w:t>
      </w:r>
    </w:p>
    <w:p>
      <w:pPr>
        <w:ind w:left="460" w:right="160" w:hanging="452"/>
        <w:spacing w:after="0" w:line="239"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Includes 4,114,560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and to 17,541 shares held jointly. Also includes 1,803,234 shares held by Erbey Holding Corporation, a corporation wholly-owned by William C. Erbey and includes options to acquire 672,958 shares which are exercisable on or within 60 days after March 15, 2012 and 500 unvested restricted stock units.</w:t>
      </w:r>
    </w:p>
    <w:p>
      <w:pPr>
        <w:spacing w:after="0" w:line="4" w:lineRule="exact"/>
        <w:rPr>
          <w:rFonts w:ascii="Arial" w:cs="Arial" w:eastAsia="Arial" w:hAnsi="Arial"/>
          <w:sz w:val="22"/>
          <w:szCs w:val="22"/>
          <w:color w:val="auto"/>
          <w:vertAlign w:val="superscript"/>
        </w:rPr>
      </w:pPr>
    </w:p>
    <w:p>
      <w:pPr>
        <w:ind w:left="460" w:right="60" w:hanging="452"/>
        <w:spacing w:after="0" w:line="237" w:lineRule="auto"/>
        <w:tabs>
          <w:tab w:leader="none" w:pos="460"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Includes options to acquire 286,464 shares which are exercisable on or within 60 days after March 15, 2012. Includes 24,863 shares held by the William B. Shepro Revocable Trust. Mr. and Mrs. William B. Shepro share voting and dispositive power with respect to these shares.</w:t>
      </w:r>
    </w:p>
    <w:p>
      <w:pPr>
        <w:ind w:left="460" w:hanging="452"/>
        <w:spacing w:after="0" w:line="205"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Includes options to acquire 187,207 shares which are exercisable on or within 60 days after March 15,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Number of securities to be</w:t>
            </w: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r>
      <w:tr>
        <w:trPr>
          <w:trHeight w:val="181"/>
        </w:trPr>
        <w:tc>
          <w:tcPr>
            <w:tcW w:w="820" w:type="dxa"/>
            <w:vAlign w:val="bottom"/>
          </w:tcPr>
          <w:p>
            <w:pPr>
              <w:spacing w:after="0"/>
              <w:rPr>
                <w:sz w:val="15"/>
                <w:szCs w:val="15"/>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Plan Category</w:t>
            </w:r>
          </w:p>
        </w:tc>
        <w:tc>
          <w:tcPr>
            <w:tcW w:w="1100" w:type="dxa"/>
            <w:vAlign w:val="bottom"/>
          </w:tcPr>
          <w:p>
            <w:pPr>
              <w:spacing w:after="0"/>
              <w:rPr>
                <w:sz w:val="15"/>
                <w:szCs w:val="15"/>
                <w:color w:val="auto"/>
              </w:rPr>
            </w:pPr>
          </w:p>
        </w:tc>
        <w:tc>
          <w:tcPr>
            <w:tcW w:w="2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warrants and rights</w:t>
            </w:r>
          </w:p>
        </w:tc>
        <w:tc>
          <w:tcPr>
            <w:tcW w:w="2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warrants and rights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 plans</w:t>
            </w:r>
          </w:p>
        </w:tc>
      </w:tr>
      <w:tr>
        <w:trPr>
          <w:trHeight w:val="181"/>
        </w:trPr>
        <w:tc>
          <w:tcPr>
            <w:tcW w:w="280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w:t>
            </w:r>
          </w:p>
        </w:tc>
        <w:tc>
          <w:tcPr>
            <w:tcW w:w="2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r>
      <w:tr>
        <w:trPr>
          <w:trHeight w:val="238"/>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approved by security holders</w:t>
            </w:r>
          </w:p>
        </w:tc>
        <w:tc>
          <w:tcPr>
            <w:tcW w:w="2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3,243,958</w:t>
            </w:r>
            <w:r>
              <w:rPr>
                <w:rFonts w:ascii="Arial" w:cs="Arial" w:eastAsia="Arial" w:hAnsi="Arial"/>
                <w:sz w:val="11"/>
                <w:szCs w:val="11"/>
                <w:color w:val="auto"/>
              </w:rPr>
              <w:t>(1)</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2,687,146</w:t>
            </w:r>
          </w:p>
        </w:tc>
      </w:tr>
    </w:tbl>
    <w:p>
      <w:pPr>
        <w:spacing w:after="0" w:line="194" w:lineRule="exact"/>
        <w:rPr>
          <w:sz w:val="20"/>
          <w:szCs w:val="20"/>
          <w:color w:val="auto"/>
        </w:rPr>
      </w:pPr>
    </w:p>
    <w:p>
      <w:pPr>
        <w:ind w:left="460" w:hanging="452"/>
        <w:spacing w:after="0" w:line="228"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Includes options to acquire 48,750 shares owned by Robert D. Stiles, who resigned as Chief Financial Officer effective March 1, 2012 and is no longer with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16(a) of the Securities Exchange Act of 1934, as amended, requires our named executive officers, Directors and persons who own more than 10% of our common stock to file reports of ownership and changes in ownership with the SEC. Named executive officers, Directors and greater than 10% shareholders are required by SEC regulations to furnish us with copies of all Section 16(a) forms they file.</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upon the Company’s review of Section 16(a) reports, the Company believes that all Section 16(a) filing requirements applicable to such reporting persons were complied with in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9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believe an effective executive compensation program aligns executives’ interests with shareholders by rewarding performance that achieves or exceeds specific financial targets and strategic goals designed to improve shareholder value. We seek to promote individual service longevity and to provide our executives with long-term incentive opportunities that promote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compensation programs for our Chief Executive Officer, Chief Financial Officer and Chief Administration Officer and General Counsel;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these individuals.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2011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6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080" w:type="dxa"/>
            <w:vAlign w:val="bottom"/>
          </w:tcPr>
          <w:p>
            <w:pPr>
              <w:spacing w:after="0"/>
              <w:rPr>
                <w:sz w:val="14"/>
                <w:szCs w:val="14"/>
                <w:color w:val="auto"/>
              </w:rPr>
            </w:pPr>
          </w:p>
        </w:tc>
      </w:tr>
      <w:tr>
        <w:trPr>
          <w:trHeight w:val="201"/>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William B. Shepro</w:t>
            </w:r>
          </w:p>
        </w:tc>
        <w:tc>
          <w:tcPr>
            <w:tcW w:w="480" w:type="dxa"/>
            <w:vAlign w:val="bottom"/>
          </w:tcPr>
          <w:p>
            <w:pPr>
              <w:spacing w:after="0" w:line="201" w:lineRule="exact"/>
              <w:rPr>
                <w:sz w:val="20"/>
                <w:szCs w:val="20"/>
                <w:color w:val="auto"/>
              </w:rPr>
            </w:pPr>
            <w:r>
              <w:rPr>
                <w:rFonts w:ascii="Arial" w:cs="Arial" w:eastAsia="Arial" w:hAnsi="Arial"/>
                <w:sz w:val="18"/>
                <w:szCs w:val="18"/>
                <w:color w:val="auto"/>
              </w:rPr>
              <w:t>Chief</w:t>
            </w: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Executive Officer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11"/>
                <w:szCs w:val="11"/>
                <w:color w:val="auto"/>
              </w:rPr>
              <w:t>(1)</w:t>
            </w:r>
          </w:p>
        </w:tc>
        <w:tc>
          <w:tcPr>
            <w:tcW w:w="3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3560" w:type="dxa"/>
            <w:vAlign w:val="bottom"/>
            <w:gridSpan w:val="2"/>
          </w:tcPr>
          <w:p>
            <w:pPr>
              <w:spacing w:after="0"/>
              <w:rPr>
                <w:sz w:val="20"/>
                <w:szCs w:val="20"/>
                <w:color w:val="auto"/>
              </w:rPr>
            </w:pPr>
            <w:r>
              <w:rPr>
                <w:rFonts w:ascii="Arial" w:cs="Arial" w:eastAsia="Arial" w:hAnsi="Arial"/>
                <w:sz w:val="18"/>
                <w:szCs w:val="18"/>
                <w:color w:val="auto"/>
                <w:w w:val="89"/>
              </w:rPr>
              <w:t>Chief Administration Officer and General Counsel</w:t>
            </w:r>
          </w:p>
        </w:tc>
      </w:tr>
    </w:tbl>
    <w:p>
      <w:pPr>
        <w:spacing w:after="0" w:line="16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Mr. Stiles resigned as Chief Financial Officer effective March 1, 2012 and is no longer with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required by Luxembourg law, Altisource has entered into employment agreements with William B. Shepro, our Chief Executive Officer, Kevin J. Wilcox, our Chief Administration Officer and General Counsel, Robert D. Stiles, our Chief Financial Officer during fiscal year 2011 and Michelle D. Esterman, our current Chief Financial Officer. The employment terms continue indefinitely until the executive’s separation from the Company. The contracts provide for a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or her employment with the Company including, without limitation, reimbursement of relocation expenses and the provision of certain allowances as described in the Executive Compensation section below.</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4" w:right="339" w:bottom="144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terminate the contract, each party must provide notice in accordance with the time periods set forth in article L.124-1 of the Luxembourg Labour Code. In the event of the executive’s termination by the Company for “cause”, no notice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Labour Code upon certain terminations.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contracts also provide for a covenant to maintain our confidential information and to enter into an intellectual property agreement. In addition, the executive is bound by a non-solicitation covenant for a period of one (1) year following the termination of the contract. The agreements are governed in accordance with the laws of the Grand Duchy of Luxembourg.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current compensation package for our named executive officers consists of base salary and annual incentive compensation. This compensation structure was developed in order to provide each named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salaries for our named executive officers are established based on individual qualifications and job responsibilities while taking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levels at similarly situated companies for similar positions.</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Base salaries of the named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and Chief Administration Officer.</w:t>
      </w:r>
    </w:p>
    <w:p>
      <w:pPr>
        <w:spacing w:after="0" w:line="14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Additionally, under Luxembourg law, all salaries are required to be adapted based upon the cost of living index in the Grand Duchy of Luxembourg. On July 1, 2010 and on October 1, 2011 there was a required 2.5% increase in all salaries pursuant to this law. Our Chief Executive Officer and named executive officers’ salaries were adjusted accordingly.</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annual incentive plan, a participant can earn cash, restricted stock and stock option awards as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The plan provides the Compensation Committee and our management with the authority to establish incentive award guidelines which are further discussed below.</w:t>
      </w:r>
    </w:p>
    <w:p>
      <w:pPr>
        <w:spacing w:after="0" w:line="140"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Each named executive officer has a targeted annual cash incentive award that is expressed as a percentage of his or her annual cash total target compensation. In 2011, 40-60% of total annual cash target compensation was payable only upon achievement of certain minimum Company and individual performance levels. The appropriate targeted percentage varies based upon the nature and scope of each named executive officer’s responsibilities. The table below reflects the percentage of each named executive officer’s target total annual cash compensation that was allocated to each of base salary and incentive compensation in 2011 and each named executive officer’s actual total annual cash compensation that was allocated to each of base salary and incentive compensation in 2011: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1" w:name="page22"/>
    <w:bookmarkEnd w:id="21"/>
    <w:tbl>
      <w:tblPr>
        <w:tblLayout w:type="fixed"/>
        <w:tblInd w:w="4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3"/>
              </w:rPr>
              <w:t>Base Salary</w:t>
            </w:r>
          </w:p>
        </w:tc>
        <w:tc>
          <w:tcPr>
            <w:tcW w:w="22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8"/>
              </w:rPr>
              <w:t>Incentive</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1"/>
              </w:rPr>
              <w:t>% of Target</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9"/>
              </w:rPr>
              <w:t>Compensation %</w:t>
            </w:r>
          </w:p>
        </w:tc>
        <w:tc>
          <w:tcPr>
            <w:tcW w:w="21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Base Salary % of</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Compensation %</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Total Annual</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8"/>
              </w:rPr>
              <w:t>of Target Total</w:t>
            </w:r>
          </w:p>
        </w:tc>
        <w:tc>
          <w:tcPr>
            <w:tcW w:w="21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Actual Total</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of Actual Total</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Cash</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Annual Cash</w:t>
            </w:r>
          </w:p>
        </w:tc>
        <w:tc>
          <w:tcPr>
            <w:tcW w:w="21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Annual Cash</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Annual Cash</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1780" w:type="dxa"/>
            <w:vAlign w:val="bottom"/>
            <w:vMerge w:val="restart"/>
          </w:tcPr>
          <w:p>
            <w:pPr>
              <w:spacing w:after="0"/>
              <w:rPr>
                <w:sz w:val="12"/>
                <w:szCs w:val="12"/>
                <w:color w:val="auto"/>
              </w:rPr>
            </w:pPr>
          </w:p>
        </w:tc>
        <w:tc>
          <w:tcPr>
            <w:tcW w:w="20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Compensation in</w:t>
            </w:r>
          </w:p>
        </w:tc>
        <w:tc>
          <w:tcPr>
            <w:tcW w:w="21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Compensation in</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Compensation in</w:t>
            </w:r>
          </w:p>
        </w:tc>
        <w:tc>
          <w:tcPr>
            <w:tcW w:w="0" w:type="dxa"/>
            <w:vAlign w:val="bottom"/>
          </w:tcPr>
          <w:p>
            <w:pPr>
              <w:spacing w:after="0"/>
              <w:rPr>
                <w:sz w:val="1"/>
                <w:szCs w:val="1"/>
                <w:color w:val="auto"/>
              </w:rPr>
            </w:pPr>
          </w:p>
        </w:tc>
      </w:tr>
      <w:tr>
        <w:trPr>
          <w:trHeight w:val="153"/>
        </w:trPr>
        <w:tc>
          <w:tcPr>
            <w:tcW w:w="80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2000" w:type="dxa"/>
            <w:vAlign w:val="bottom"/>
            <w:gridSpan w:val="2"/>
          </w:tcPr>
          <w:p>
            <w:pPr>
              <w:jc w:val="center"/>
              <w:ind w:right="1180"/>
              <w:spacing w:after="0" w:line="148" w:lineRule="exact"/>
              <w:rPr>
                <w:sz w:val="20"/>
                <w:szCs w:val="20"/>
                <w:color w:val="auto"/>
              </w:rPr>
            </w:pPr>
            <w:r>
              <w:rPr>
                <w:rFonts w:ascii="Arial" w:cs="Arial" w:eastAsia="Arial" w:hAnsi="Arial"/>
                <w:sz w:val="14"/>
                <w:szCs w:val="14"/>
                <w:b w:val="1"/>
                <w:bCs w:val="1"/>
                <w:color w:val="auto"/>
                <w:w w:val="88"/>
              </w:rPr>
              <w:t>in 2011</w:t>
            </w: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118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116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3"/>
            <w:vMerge w:val="continue"/>
            <w:shd w:val="clear" w:color="auto" w:fill="CCEEFF"/>
          </w:tcPr>
          <w:p>
            <w:pPr>
              <w:spacing w:after="0"/>
              <w:rPr>
                <w:sz w:val="17"/>
                <w:szCs w:val="17"/>
                <w:color w:val="auto"/>
              </w:rPr>
            </w:pPr>
          </w:p>
        </w:tc>
        <w:tc>
          <w:tcPr>
            <w:tcW w:w="2000" w:type="dxa"/>
            <w:vAlign w:val="bottom"/>
            <w:gridSpan w:val="2"/>
            <w:shd w:val="clear" w:color="auto" w:fill="CCEEFF"/>
          </w:tcPr>
          <w:p>
            <w:pPr>
              <w:jc w:val="right"/>
              <w:ind w:right="1020"/>
              <w:spacing w:after="0" w:line="203" w:lineRule="exact"/>
              <w:rPr>
                <w:sz w:val="20"/>
                <w:szCs w:val="20"/>
                <w:color w:val="auto"/>
              </w:rPr>
            </w:pPr>
            <w:r>
              <w:rPr>
                <w:rFonts w:ascii="Arial" w:cs="Arial" w:eastAsia="Arial" w:hAnsi="Arial"/>
                <w:sz w:val="18"/>
                <w:szCs w:val="18"/>
                <w:color w:val="auto"/>
              </w:rPr>
              <w:t>40%</w:t>
            </w:r>
          </w:p>
        </w:tc>
        <w:tc>
          <w:tcPr>
            <w:tcW w:w="2200" w:type="dxa"/>
            <w:vAlign w:val="bottom"/>
            <w:gridSpan w:val="2"/>
            <w:shd w:val="clear" w:color="auto" w:fill="CCEEFF"/>
          </w:tcPr>
          <w:p>
            <w:pPr>
              <w:jc w:val="right"/>
              <w:ind w:right="1040"/>
              <w:spacing w:after="0" w:line="203" w:lineRule="exact"/>
              <w:rPr>
                <w:sz w:val="20"/>
                <w:szCs w:val="20"/>
                <w:color w:val="auto"/>
              </w:rPr>
            </w:pPr>
            <w:r>
              <w:rPr>
                <w:rFonts w:ascii="Arial" w:cs="Arial" w:eastAsia="Arial" w:hAnsi="Arial"/>
                <w:sz w:val="18"/>
                <w:szCs w:val="18"/>
                <w:color w:val="auto"/>
              </w:rPr>
              <w:t>60%</w:t>
            </w:r>
          </w:p>
        </w:tc>
        <w:tc>
          <w:tcPr>
            <w:tcW w:w="2160" w:type="dxa"/>
            <w:vAlign w:val="bottom"/>
            <w:gridSpan w:val="2"/>
            <w:shd w:val="clear" w:color="auto" w:fill="CCEEFF"/>
          </w:tcPr>
          <w:p>
            <w:pPr>
              <w:jc w:val="right"/>
              <w:ind w:right="1020"/>
              <w:spacing w:after="0" w:line="203" w:lineRule="exact"/>
              <w:rPr>
                <w:sz w:val="20"/>
                <w:szCs w:val="20"/>
                <w:color w:val="auto"/>
              </w:rPr>
            </w:pPr>
            <w:r>
              <w:rPr>
                <w:rFonts w:ascii="Arial" w:cs="Arial" w:eastAsia="Arial" w:hAnsi="Arial"/>
                <w:sz w:val="18"/>
                <w:szCs w:val="18"/>
                <w:color w:val="auto"/>
              </w:rPr>
              <w:t>35%</w:t>
            </w:r>
          </w:p>
        </w:tc>
        <w:tc>
          <w:tcPr>
            <w:tcW w:w="12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11"/>
                <w:szCs w:val="11"/>
                <w:color w:val="auto"/>
              </w:rPr>
              <w:t>(1)</w:t>
            </w: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60%</w:t>
            </w:r>
          </w:p>
        </w:tc>
        <w:tc>
          <w:tcPr>
            <w:tcW w:w="2200" w:type="dxa"/>
            <w:vAlign w:val="bottom"/>
            <w:gridSpan w:val="2"/>
          </w:tcPr>
          <w:p>
            <w:pPr>
              <w:jc w:val="right"/>
              <w:ind w:right="1040"/>
              <w:spacing w:after="0"/>
              <w:rPr>
                <w:sz w:val="20"/>
                <w:szCs w:val="20"/>
                <w:color w:val="auto"/>
              </w:rPr>
            </w:pPr>
            <w:r>
              <w:rPr>
                <w:rFonts w:ascii="Arial" w:cs="Arial" w:eastAsia="Arial" w:hAnsi="Arial"/>
                <w:sz w:val="18"/>
                <w:szCs w:val="18"/>
                <w:color w:val="auto"/>
              </w:rPr>
              <w:t>40%</w:t>
            </w: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50%</w:t>
            </w:r>
          </w:p>
        </w:tc>
        <w:tc>
          <w:tcPr>
            <w:tcW w:w="22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50%</w:t>
            </w:r>
          </w:p>
        </w:tc>
        <w:tc>
          <w:tcPr>
            <w:tcW w:w="21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00" w:hanging="452"/>
        <w:spacing w:after="0" w:line="228" w:lineRule="auto"/>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Mr. Stiles resigned as Chief Financial Officer of the Company effective March 1, 2012 and did not receive any incentive compensation for the 2011 fiscal year.</w:t>
      </w:r>
    </w:p>
    <w:p>
      <w:pPr>
        <w:spacing w:after="0" w:line="1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2011, our corporate scorecard was approved by our Board of Directors at our meeting on January 25,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corporate scorecard for 2011 and corresponding achievement levels are detailed below:</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2011 Corporate Scorecard Elements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Achievement Levels</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1280" w:type="dxa"/>
            <w:vAlign w:val="bottom"/>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Element</w:t>
            </w:r>
          </w:p>
        </w:tc>
        <w:tc>
          <w:tcPr>
            <w:tcW w:w="1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Threshold</w:t>
            </w: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Outstanding</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Level Achieved</w:t>
            </w:r>
          </w:p>
        </w:tc>
        <w:tc>
          <w:tcPr>
            <w:tcW w:w="300" w:type="dxa"/>
            <w:vAlign w:val="bottom"/>
          </w:tcPr>
          <w:p>
            <w:pPr>
              <w:spacing w:after="0"/>
              <w:rPr>
                <w:sz w:val="12"/>
                <w:szCs w:val="12"/>
                <w:color w:val="auto"/>
              </w:rPr>
            </w:pPr>
          </w:p>
        </w:tc>
      </w:tr>
      <w:tr>
        <w:trPr>
          <w:trHeight w:val="210"/>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Achieve Service Revenue Target</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$285.0 million</w:t>
            </w:r>
          </w:p>
        </w:tc>
        <w:tc>
          <w:tcPr>
            <w:tcW w:w="200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93"/>
              </w:rPr>
              <w:t>$335.0 million</w:t>
            </w:r>
          </w:p>
        </w:tc>
        <w:tc>
          <w:tcPr>
            <w:tcW w:w="17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3"/>
              </w:rPr>
              <w:t>$385.0 million</w:t>
            </w:r>
          </w:p>
        </w:tc>
        <w:tc>
          <w:tcPr>
            <w:tcW w:w="176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3"/>
              </w:rPr>
              <w:t>$334.8 million</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Achieve EPS Target</w:t>
            </w:r>
          </w:p>
        </w:tc>
        <w:tc>
          <w:tcPr>
            <w:tcW w:w="1680" w:type="dxa"/>
            <w:vAlign w:val="bottom"/>
            <w:gridSpan w:val="3"/>
          </w:tcPr>
          <w:p>
            <w:pPr>
              <w:jc w:val="center"/>
              <w:spacing w:after="0"/>
              <w:rPr>
                <w:sz w:val="20"/>
                <w:szCs w:val="20"/>
                <w:color w:val="auto"/>
              </w:rPr>
            </w:pPr>
            <w:r>
              <w:rPr>
                <w:rFonts w:ascii="Arial" w:cs="Arial" w:eastAsia="Arial" w:hAnsi="Arial"/>
                <w:sz w:val="18"/>
                <w:szCs w:val="18"/>
                <w:color w:val="auto"/>
                <w:w w:val="88"/>
              </w:rPr>
              <w:t>$2.15 diluted EPS</w:t>
            </w:r>
          </w:p>
        </w:tc>
        <w:tc>
          <w:tcPr>
            <w:tcW w:w="2000" w:type="dxa"/>
            <w:vAlign w:val="bottom"/>
            <w:gridSpan w:val="3"/>
          </w:tcPr>
          <w:p>
            <w:pPr>
              <w:jc w:val="center"/>
              <w:ind w:left="36"/>
              <w:spacing w:after="0"/>
              <w:rPr>
                <w:sz w:val="20"/>
                <w:szCs w:val="20"/>
                <w:color w:val="auto"/>
              </w:rPr>
            </w:pPr>
            <w:r>
              <w:rPr>
                <w:rFonts w:ascii="Arial" w:cs="Arial" w:eastAsia="Arial" w:hAnsi="Arial"/>
                <w:sz w:val="18"/>
                <w:szCs w:val="18"/>
                <w:color w:val="auto"/>
                <w:w w:val="88"/>
              </w:rPr>
              <w:t>$2.53 diluted EPS</w:t>
            </w: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87"/>
              </w:rPr>
              <w:t>$2.91diluted EPS</w:t>
            </w:r>
          </w:p>
        </w:tc>
        <w:tc>
          <w:tcPr>
            <w:tcW w:w="176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$2.77 diluted EPS</w:t>
            </w:r>
          </w:p>
        </w:tc>
      </w:tr>
      <w:tr>
        <w:trPr>
          <w:trHeight w:val="208"/>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Successfully complete the</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See Strategic</w:t>
            </w:r>
          </w:p>
        </w:tc>
        <w:tc>
          <w:tcPr>
            <w:tcW w:w="200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85"/>
              </w:rPr>
              <w:t>See Strategic</w:t>
            </w:r>
          </w:p>
        </w:tc>
        <w:tc>
          <w:tcPr>
            <w:tcW w:w="17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5"/>
              </w:rPr>
              <w:t>See Strategic</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5"/>
              </w:rPr>
              <w:t>See Strategic</w:t>
            </w:r>
          </w:p>
        </w:tc>
      </w:tr>
      <w:tr>
        <w:trPr>
          <w:trHeight w:val="238"/>
        </w:trPr>
        <w:tc>
          <w:tcPr>
            <w:tcW w:w="3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7"/>
              </w:rPr>
              <w:t>key strategic initiatives of the Company</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Initiatives below</w:t>
            </w:r>
          </w:p>
        </w:tc>
        <w:tc>
          <w:tcPr>
            <w:tcW w:w="2000" w:type="dxa"/>
            <w:vAlign w:val="bottom"/>
            <w:gridSpan w:val="3"/>
            <w:shd w:val="clear" w:color="auto" w:fill="CCEEFF"/>
          </w:tcPr>
          <w:p>
            <w:pPr>
              <w:jc w:val="center"/>
              <w:ind w:left="16"/>
              <w:spacing w:after="0"/>
              <w:rPr>
                <w:sz w:val="20"/>
                <w:szCs w:val="20"/>
                <w:color w:val="auto"/>
              </w:rPr>
            </w:pPr>
            <w:r>
              <w:rPr>
                <w:rFonts w:ascii="Arial" w:cs="Arial" w:eastAsia="Arial" w:hAnsi="Arial"/>
                <w:sz w:val="18"/>
                <w:szCs w:val="18"/>
                <w:color w:val="auto"/>
                <w:w w:val="92"/>
              </w:rPr>
              <w:t>Initiatives below</w:t>
            </w:r>
          </w:p>
        </w:tc>
        <w:tc>
          <w:tcPr>
            <w:tcW w:w="1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Initiatives below</w:t>
            </w:r>
          </w:p>
        </w:tc>
        <w:tc>
          <w:tcPr>
            <w:tcW w:w="176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1"/>
              </w:rPr>
              <w:t>Initiatives below</w:t>
            </w:r>
          </w:p>
        </w:tc>
      </w:tr>
      <w:tr>
        <w:trPr>
          <w:trHeight w:val="363"/>
        </w:trPr>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396"/>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60"/>
          </w:cols>
          <w:pgMar w:left="240" w:top="263"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Strategic Initiatives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Levels of Achievement</w:t>
            </w:r>
          </w:p>
        </w:tc>
        <w:tc>
          <w:tcPr>
            <w:tcW w:w="7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3"/>
        </w:trPr>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88"/>
              </w:rPr>
              <w:t>Element</w:t>
            </w: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Threshold</w:t>
            </w: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Target</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6"/>
              </w:rPr>
              <w:t>Level Achieved</w:t>
            </w:r>
          </w:p>
        </w:tc>
        <w:tc>
          <w:tcPr>
            <w:tcW w:w="560" w:type="dxa"/>
            <w:vAlign w:val="bottom"/>
          </w:tcPr>
          <w:p>
            <w:pPr>
              <w:spacing w:after="0"/>
              <w:rPr>
                <w:sz w:val="12"/>
                <w:szCs w:val="12"/>
                <w:color w:val="auto"/>
              </w:rPr>
            </w:pPr>
          </w:p>
        </w:tc>
      </w:tr>
      <w:tr>
        <w:trPr>
          <w:trHeight w:val="201"/>
        </w:trPr>
        <w:tc>
          <w:tcPr>
            <w:tcW w:w="300" w:type="dxa"/>
            <w:vAlign w:val="bottom"/>
          </w:tcPr>
          <w:p>
            <w:pPr>
              <w:jc w:val="right"/>
              <w:ind w:right="72"/>
              <w:spacing w:after="0" w:line="201" w:lineRule="exact"/>
              <w:rPr>
                <w:sz w:val="20"/>
                <w:szCs w:val="20"/>
                <w:color w:val="auto"/>
              </w:rPr>
            </w:pPr>
            <w:r>
              <w:rPr>
                <w:rFonts w:ascii="Arial" w:cs="Arial" w:eastAsia="Arial" w:hAnsi="Arial"/>
                <w:sz w:val="18"/>
                <w:szCs w:val="18"/>
                <w:color w:val="auto"/>
                <w:w w:val="79"/>
              </w:rPr>
              <w:t>1.</w:t>
            </w:r>
          </w:p>
        </w:tc>
        <w:tc>
          <w:tcPr>
            <w:tcW w:w="660" w:type="dxa"/>
            <w:vAlign w:val="bottom"/>
          </w:tcPr>
          <w:p>
            <w:pPr>
              <w:ind w:left="140"/>
              <w:spacing w:after="0" w:line="201" w:lineRule="exact"/>
              <w:rPr>
                <w:sz w:val="20"/>
                <w:szCs w:val="20"/>
                <w:color w:val="auto"/>
              </w:rPr>
            </w:pPr>
            <w:r>
              <w:rPr>
                <w:rFonts w:ascii="Arial" w:cs="Arial" w:eastAsia="Arial" w:hAnsi="Arial"/>
                <w:sz w:val="18"/>
                <w:szCs w:val="18"/>
                <w:color w:val="auto"/>
                <w:w w:val="76"/>
              </w:rPr>
              <w:t>Improve</w:t>
            </w:r>
          </w:p>
        </w:tc>
        <w:tc>
          <w:tcPr>
            <w:tcW w:w="500" w:type="dxa"/>
            <w:vAlign w:val="bottom"/>
          </w:tcPr>
          <w:p>
            <w:pPr>
              <w:ind w:left="120"/>
              <w:spacing w:after="0" w:line="201" w:lineRule="exact"/>
              <w:rPr>
                <w:sz w:val="20"/>
                <w:szCs w:val="20"/>
                <w:color w:val="auto"/>
              </w:rPr>
            </w:pPr>
            <w:r>
              <w:rPr>
                <w:rFonts w:ascii="Arial" w:cs="Arial" w:eastAsia="Arial" w:hAnsi="Arial"/>
                <w:sz w:val="18"/>
                <w:szCs w:val="18"/>
                <w:color w:val="auto"/>
                <w:w w:val="92"/>
              </w:rPr>
              <w:t>REO</w:t>
            </w:r>
          </w:p>
        </w:tc>
        <w:tc>
          <w:tcPr>
            <w:tcW w:w="1080" w:type="dxa"/>
            <w:vAlign w:val="bottom"/>
          </w:tcPr>
          <w:p>
            <w:pPr>
              <w:ind w:left="20"/>
              <w:spacing w:after="0" w:line="201" w:lineRule="exact"/>
              <w:rPr>
                <w:sz w:val="20"/>
                <w:szCs w:val="20"/>
                <w:color w:val="auto"/>
              </w:rPr>
            </w:pPr>
            <w:r>
              <w:rPr>
                <w:rFonts w:ascii="Arial" w:cs="Arial" w:eastAsia="Arial" w:hAnsi="Arial"/>
                <w:sz w:val="18"/>
                <w:szCs w:val="18"/>
                <w:color w:val="auto"/>
              </w:rPr>
              <w:t>timelines</w:t>
            </w:r>
          </w:p>
        </w:tc>
        <w:tc>
          <w:tcPr>
            <w:tcW w:w="760" w:type="dxa"/>
            <w:vAlign w:val="bottom"/>
          </w:tcPr>
          <w:p>
            <w:pPr>
              <w:ind w:left="260"/>
              <w:spacing w:after="0" w:line="201" w:lineRule="exact"/>
              <w:rPr>
                <w:sz w:val="20"/>
                <w:szCs w:val="20"/>
                <w:color w:val="auto"/>
              </w:rPr>
            </w:pPr>
            <w:r>
              <w:rPr>
                <w:rFonts w:ascii="Arial" w:cs="Arial" w:eastAsia="Arial" w:hAnsi="Arial"/>
                <w:sz w:val="18"/>
                <w:szCs w:val="18"/>
                <w:color w:val="auto"/>
                <w:w w:val="74"/>
              </w:rPr>
              <w:t>Achieve</w:t>
            </w:r>
          </w:p>
        </w:tc>
        <w:tc>
          <w:tcPr>
            <w:tcW w:w="14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predetermined</w:t>
            </w:r>
          </w:p>
        </w:tc>
        <w:tc>
          <w:tcPr>
            <w:tcW w:w="920" w:type="dxa"/>
            <w:vAlign w:val="bottom"/>
          </w:tcPr>
          <w:p>
            <w:pPr>
              <w:ind w:left="300"/>
              <w:spacing w:after="0" w:line="201" w:lineRule="exact"/>
              <w:rPr>
                <w:sz w:val="20"/>
                <w:szCs w:val="20"/>
                <w:color w:val="auto"/>
              </w:rPr>
            </w:pPr>
            <w:r>
              <w:rPr>
                <w:rFonts w:ascii="Arial" w:cs="Arial" w:eastAsia="Arial" w:hAnsi="Arial"/>
                <w:sz w:val="18"/>
                <w:szCs w:val="18"/>
                <w:color w:val="auto"/>
                <w:w w:val="93"/>
              </w:rPr>
              <w:t>Achieve</w:t>
            </w:r>
          </w:p>
        </w:tc>
        <w:tc>
          <w:tcPr>
            <w:tcW w:w="13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predetermined</w:t>
            </w:r>
          </w:p>
        </w:tc>
        <w:tc>
          <w:tcPr>
            <w:tcW w:w="760" w:type="dxa"/>
            <w:vAlign w:val="bottom"/>
          </w:tcPr>
          <w:p>
            <w:pPr>
              <w:ind w:left="320"/>
              <w:spacing w:after="0"/>
              <w:rPr>
                <w:sz w:val="20"/>
                <w:szCs w:val="20"/>
                <w:color w:val="auto"/>
              </w:rPr>
            </w:pPr>
            <w:r>
              <w:rPr>
                <w:rFonts w:ascii="Arial" w:cs="Arial" w:eastAsia="Arial" w:hAnsi="Arial"/>
                <w:sz w:val="16"/>
                <w:szCs w:val="16"/>
                <w:color w:val="auto"/>
                <w:w w:val="73"/>
              </w:rPr>
              <w:t>Achieve</w:t>
            </w:r>
          </w:p>
        </w:tc>
        <w:tc>
          <w:tcPr>
            <w:tcW w:w="14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predetermined</w:t>
            </w:r>
          </w:p>
        </w:tc>
        <w:tc>
          <w:tcPr>
            <w:tcW w:w="66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84"/>
              </w:rPr>
              <w:t>Target</w:t>
            </w:r>
          </w:p>
        </w:tc>
        <w:tc>
          <w:tcPr>
            <w:tcW w:w="56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and quality</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threshold level timelines and</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target level timelines and</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outstanding level timelines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80" w:type="dxa"/>
            <w:vAlign w:val="bottom"/>
            <w:gridSpan w:val="2"/>
          </w:tcPr>
          <w:p>
            <w:pPr>
              <w:jc w:val="center"/>
              <w:ind w:right="840"/>
              <w:spacing w:after="0"/>
              <w:rPr>
                <w:sz w:val="20"/>
                <w:szCs w:val="20"/>
                <w:color w:val="auto"/>
              </w:rPr>
            </w:pPr>
            <w:r>
              <w:rPr>
                <w:rFonts w:ascii="Arial" w:cs="Arial" w:eastAsia="Arial" w:hAnsi="Arial"/>
                <w:sz w:val="18"/>
                <w:szCs w:val="18"/>
                <w:color w:val="auto"/>
                <w:w w:val="92"/>
              </w:rPr>
              <w:t>quality</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6"/>
              </w:rPr>
              <w:t>quality</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1"/>
              </w:rPr>
              <w:t>and quality</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31"/>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2.</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Improve theoretical</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Achieve predetermined</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Achieve predetermined</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Achieve predetermined</w:t>
            </w:r>
          </w:p>
        </w:tc>
        <w:tc>
          <w:tcPr>
            <w:tcW w:w="660" w:type="dxa"/>
            <w:vAlign w:val="bottom"/>
          </w:tcPr>
          <w:p>
            <w:pPr>
              <w:spacing w:after="0"/>
              <w:rPr>
                <w:sz w:val="24"/>
                <w:szCs w:val="2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Threshold</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foreclosure event</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threshold level theoretical</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target level theoretical</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outstanding level theoretical</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completion timelines and</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foreclosure event completion</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foreclosure event completion</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foreclosure event completion</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quality (for Judicial States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timelines and quality</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timelines and quality</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timelines and quality</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only)</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3.</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Improve theoretical</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Achieve predetermined</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Achieve predetermined</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Achieve predetermined</w:t>
            </w:r>
          </w:p>
        </w:tc>
        <w:tc>
          <w:tcPr>
            <w:tcW w:w="660" w:type="dxa"/>
            <w:vAlign w:val="bottom"/>
          </w:tcPr>
          <w:p>
            <w:pPr>
              <w:spacing w:after="0"/>
              <w:rPr>
                <w:sz w:val="24"/>
                <w:szCs w:val="2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Threshold</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foreclosure event</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threshold level theoretical</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target level theoretical</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outstanding level theoretical</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completion timelines and</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foreclosure event completion</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foreclosure event completion</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foreclosure event completion</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quality (for Non-Judicial</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timelines and quality</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timelines and quality</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timelines and quality</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States only)</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4.</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Develop integrated</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The level of achievement to be</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The level of achievement to</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The level of achievement to</w:t>
            </w:r>
          </w:p>
        </w:tc>
        <w:tc>
          <w:tcPr>
            <w:tcW w:w="660" w:type="dxa"/>
            <w:vAlign w:val="bottom"/>
          </w:tcPr>
          <w:p>
            <w:pPr>
              <w:spacing w:after="0"/>
              <w:rPr>
                <w:sz w:val="24"/>
                <w:szCs w:val="2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Threshold</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technology solution for</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determined by the Board of</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8"/>
              </w:rPr>
              <w:t>be determined by the Board of</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be determined by the Board of</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6"/>
              </w:rPr>
              <w:t>support functions to enable</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Directors</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1"/>
              </w:rPr>
              <w:t>Directors</w:t>
            </w:r>
          </w:p>
        </w:tc>
        <w:tc>
          <w:tcPr>
            <w:tcW w:w="760" w:type="dxa"/>
            <w:vAlign w:val="bottom"/>
          </w:tcPr>
          <w:p>
            <w:pPr>
              <w:spacing w:after="0"/>
              <w:rPr>
                <w:sz w:val="18"/>
                <w:szCs w:val="18"/>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Directors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business unit growth</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5.</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Improve forecasting and</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The level of achievement to be</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The level of achievement to</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The level of achievement to</w:t>
            </w:r>
          </w:p>
        </w:tc>
        <w:tc>
          <w:tcPr>
            <w:tcW w:w="660" w:type="dxa"/>
            <w:vAlign w:val="bottom"/>
          </w:tcPr>
          <w:p>
            <w:pPr>
              <w:spacing w:after="0"/>
              <w:rPr>
                <w:sz w:val="24"/>
                <w:szCs w:val="2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color w:val="auto"/>
                <w:w w:val="84"/>
              </w:rPr>
              <w:t>Target</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budgeting process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determined by the Board of</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8"/>
              </w:rPr>
              <w:t>be determined by the Board of</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be determined by the Board of</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timeliness and accuracy;</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Directors</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1"/>
              </w:rPr>
              <w:t>Directors</w:t>
            </w:r>
          </w:p>
        </w:tc>
        <w:tc>
          <w:tcPr>
            <w:tcW w:w="760" w:type="dxa"/>
            <w:vAlign w:val="bottom"/>
          </w:tcPr>
          <w:p>
            <w:pPr>
              <w:spacing w:after="0"/>
              <w:rPr>
                <w:sz w:val="18"/>
                <w:szCs w:val="18"/>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Directors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automate revenue</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recognition process and</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reporting dashboards</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6.</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3"/>
              </w:rPr>
              <w:t>Enhance Financial Services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Improve pull through by 15%</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1"/>
              </w:rPr>
              <w:t>Improve pull through by 20%</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Improve pull through by 25%</w:t>
            </w:r>
          </w:p>
        </w:tc>
        <w:tc>
          <w:tcPr>
            <w:tcW w:w="2160" w:type="dxa"/>
            <w:vAlign w:val="bottom"/>
            <w:gridSpan w:val="3"/>
          </w:tcPr>
          <w:p>
            <w:pPr>
              <w:jc w:val="center"/>
              <w:ind w:left="32"/>
              <w:spacing w:after="0"/>
              <w:rPr>
                <w:sz w:val="20"/>
                <w:szCs w:val="20"/>
                <w:color w:val="auto"/>
              </w:rPr>
            </w:pPr>
            <w:r>
              <w:rPr>
                <w:rFonts w:ascii="Arial" w:cs="Arial" w:eastAsia="Arial" w:hAnsi="Arial"/>
                <w:sz w:val="18"/>
                <w:szCs w:val="18"/>
                <w:color w:val="auto"/>
                <w:w w:val="92"/>
              </w:rPr>
              <w:t>Improved pull</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9"/>
              </w:rPr>
              <w:t>recruiting, training and BU</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6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through by 63%</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4"/>
              </w:rPr>
              <w:t>floor transition processes to</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Outstanding</w:t>
            </w: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increase pull through</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7.</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Enhance Mortgage</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Improve pull through by 15%</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1"/>
              </w:rPr>
              <w:t>Improve pull through by 20%</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Improve pull through by 25%</w:t>
            </w:r>
          </w:p>
        </w:tc>
        <w:tc>
          <w:tcPr>
            <w:tcW w:w="2160" w:type="dxa"/>
            <w:vAlign w:val="bottom"/>
            <w:gridSpan w:val="3"/>
          </w:tcPr>
          <w:p>
            <w:pPr>
              <w:jc w:val="center"/>
              <w:ind w:left="32"/>
              <w:spacing w:after="0"/>
              <w:rPr>
                <w:sz w:val="20"/>
                <w:szCs w:val="20"/>
                <w:color w:val="auto"/>
              </w:rPr>
            </w:pPr>
            <w:r>
              <w:rPr>
                <w:rFonts w:ascii="Arial" w:cs="Arial" w:eastAsia="Arial" w:hAnsi="Arial"/>
                <w:sz w:val="18"/>
                <w:szCs w:val="18"/>
                <w:color w:val="auto"/>
                <w:w w:val="92"/>
              </w:rPr>
              <w:t>Improved pull</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5"/>
              </w:rPr>
              <w:t>Services recruiting, training</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6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through by 35%</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and BU floor transition</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Outstanding</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9"/>
              </w:rPr>
              <w:t>processes to increase pull</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through</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8.</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5"/>
              </w:rPr>
              <w:t>Improve space utilization in</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Improve space utilization</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Improve space utilization</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Improve space utilization</w:t>
            </w:r>
          </w:p>
        </w:tc>
        <w:tc>
          <w:tcPr>
            <w:tcW w:w="21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Space utilization during non-</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India locations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during non-peak shifts by</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8"/>
              </w:rPr>
              <w:t>during non-peak shifts by</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during non-peak shifts by</w:t>
            </w:r>
          </w:p>
        </w:tc>
        <w:tc>
          <w:tcPr>
            <w:tcW w:w="216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peak shifts improved by</w:t>
            </w:r>
          </w:p>
        </w:tc>
      </w:t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gridSpan w:val="2"/>
          </w:tcPr>
          <w:p>
            <w:pPr>
              <w:jc w:val="center"/>
              <w:ind w:left="672"/>
              <w:spacing w:after="0"/>
              <w:rPr>
                <w:sz w:val="20"/>
                <w:szCs w:val="20"/>
                <w:color w:val="auto"/>
              </w:rPr>
            </w:pPr>
            <w:r>
              <w:rPr>
                <w:rFonts w:ascii="Arial" w:cs="Arial" w:eastAsia="Arial" w:hAnsi="Arial"/>
                <w:sz w:val="18"/>
                <w:szCs w:val="18"/>
                <w:color w:val="auto"/>
                <w:w w:val="86"/>
              </w:rPr>
              <w:t>10.0%</w:t>
            </w:r>
          </w:p>
        </w:tc>
        <w:tc>
          <w:tcPr>
            <w:tcW w:w="84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0"/>
              </w:rPr>
              <w:t>15.0%</w:t>
            </w:r>
          </w:p>
        </w:tc>
        <w:tc>
          <w:tcPr>
            <w:tcW w:w="1520" w:type="dxa"/>
            <w:vAlign w:val="bottom"/>
            <w:gridSpan w:val="2"/>
          </w:tcPr>
          <w:p>
            <w:pPr>
              <w:jc w:val="center"/>
              <w:ind w:left="672"/>
              <w:spacing w:after="0"/>
              <w:rPr>
                <w:sz w:val="20"/>
                <w:szCs w:val="20"/>
                <w:color w:val="auto"/>
              </w:rPr>
            </w:pPr>
            <w:r>
              <w:rPr>
                <w:rFonts w:ascii="Arial" w:cs="Arial" w:eastAsia="Arial" w:hAnsi="Arial"/>
                <w:sz w:val="18"/>
                <w:szCs w:val="18"/>
                <w:color w:val="auto"/>
                <w:w w:val="86"/>
              </w:rPr>
              <w:t>20.0%</w:t>
            </w:r>
          </w:p>
        </w:tc>
        <w:tc>
          <w:tcPr>
            <w:tcW w:w="700" w:type="dxa"/>
            <w:vAlign w:val="bottom"/>
          </w:tcPr>
          <w:p>
            <w:pPr>
              <w:spacing w:after="0"/>
              <w:rPr>
                <w:sz w:val="18"/>
                <w:szCs w:val="18"/>
                <w:color w:val="auto"/>
              </w:rPr>
            </w:pPr>
          </w:p>
        </w:tc>
        <w:tc>
          <w:tcPr>
            <w:tcW w:w="1600" w:type="dxa"/>
            <w:vAlign w:val="bottom"/>
            <w:gridSpan w:val="2"/>
          </w:tcPr>
          <w:p>
            <w:pPr>
              <w:jc w:val="center"/>
              <w:ind w:left="572"/>
              <w:spacing w:after="0"/>
              <w:rPr>
                <w:sz w:val="20"/>
                <w:szCs w:val="20"/>
                <w:color w:val="auto"/>
              </w:rPr>
            </w:pPr>
            <w:r>
              <w:rPr>
                <w:rFonts w:ascii="Arial" w:cs="Arial" w:eastAsia="Arial" w:hAnsi="Arial"/>
                <w:sz w:val="18"/>
                <w:szCs w:val="18"/>
                <w:color w:val="auto"/>
                <w:w w:val="90"/>
              </w:rPr>
              <w:t>28.9%</w:t>
            </w: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Outstanding</w:t>
            </w:r>
          </w:p>
        </w:tc>
      </w:tr>
      <w:tr>
        <w:trPr>
          <w:trHeight w:val="378"/>
        </w:trPr>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2"/>
          </w:tcPr>
          <w:p>
            <w:pPr>
              <w:jc w:val="right"/>
              <w:ind w:right="242"/>
              <w:spacing w:after="0"/>
              <w:rPr>
                <w:sz w:val="20"/>
                <w:szCs w:val="20"/>
                <w:color w:val="auto"/>
              </w:rPr>
            </w:pPr>
            <w:r>
              <w:rPr>
                <w:rFonts w:ascii="Arial" w:cs="Arial" w:eastAsia="Arial" w:hAnsi="Arial"/>
                <w:sz w:val="18"/>
                <w:szCs w:val="18"/>
                <w:color w:val="auto"/>
              </w:rPr>
              <w:t>18</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Strategic Initiatives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Levels of Achievement</w:t>
            </w:r>
          </w:p>
        </w:tc>
        <w:tc>
          <w:tcPr>
            <w:tcW w:w="7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9.</w:t>
            </w:r>
          </w:p>
        </w:tc>
        <w:tc>
          <w:tcPr>
            <w:tcW w:w="660" w:type="dxa"/>
            <w:vAlign w:val="bottom"/>
          </w:tcPr>
          <w:p>
            <w:pPr>
              <w:spacing w:after="0"/>
              <w:rPr>
                <w:sz w:val="12"/>
                <w:szCs w:val="12"/>
                <w:color w:val="auto"/>
              </w:rPr>
            </w:pPr>
          </w:p>
        </w:tc>
        <w:tc>
          <w:tcPr>
            <w:tcW w:w="5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88"/>
              </w:rPr>
              <w:t>Element</w:t>
            </w: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Threshold</w:t>
            </w: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Target</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6"/>
              </w:rPr>
              <w:t>Level Achieved</w:t>
            </w:r>
          </w:p>
        </w:tc>
        <w:tc>
          <w:tcPr>
            <w:tcW w:w="0" w:type="dxa"/>
            <w:vAlign w:val="bottom"/>
          </w:tcPr>
          <w:p>
            <w:pPr>
              <w:spacing w:after="0"/>
              <w:rPr>
                <w:sz w:val="1"/>
                <w:szCs w:val="1"/>
                <w:color w:val="auto"/>
              </w:rPr>
            </w:pPr>
          </w:p>
        </w:tc>
      </w:tr>
      <w:tr>
        <w:trPr>
          <w:trHeight w:val="201"/>
        </w:trPr>
        <w:tc>
          <w:tcPr>
            <w:tcW w:w="300" w:type="dxa"/>
            <w:vAlign w:val="bottom"/>
            <w:vMerge w:val="continue"/>
          </w:tcPr>
          <w:p>
            <w:pPr>
              <w:spacing w:after="0"/>
              <w:rPr>
                <w:sz w:val="17"/>
                <w:szCs w:val="17"/>
                <w:color w:val="auto"/>
              </w:rPr>
            </w:pPr>
          </w:p>
        </w:tc>
        <w:tc>
          <w:tcPr>
            <w:tcW w:w="11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Strategically</w:t>
            </w:r>
          </w:p>
        </w:tc>
        <w:tc>
          <w:tcPr>
            <w:tcW w:w="1080" w:type="dxa"/>
            <w:vAlign w:val="bottom"/>
          </w:tcPr>
          <w:p>
            <w:pPr>
              <w:spacing w:after="0" w:line="201" w:lineRule="exact"/>
              <w:rPr>
                <w:sz w:val="20"/>
                <w:szCs w:val="20"/>
                <w:color w:val="auto"/>
              </w:rPr>
            </w:pPr>
            <w:r>
              <w:rPr>
                <w:rFonts w:ascii="Arial" w:cs="Arial" w:eastAsia="Arial" w:hAnsi="Arial"/>
                <w:sz w:val="18"/>
                <w:szCs w:val="18"/>
                <w:color w:val="auto"/>
              </w:rPr>
              <w:t>support</w:t>
            </w:r>
          </w:p>
        </w:tc>
        <w:tc>
          <w:tcPr>
            <w:tcW w:w="2180" w:type="dxa"/>
            <w:vAlign w:val="bottom"/>
            <w:gridSpan w:val="3"/>
          </w:tcPr>
          <w:p>
            <w:pPr>
              <w:jc w:val="center"/>
              <w:ind w:right="20"/>
              <w:spacing w:after="0" w:line="201" w:lineRule="exact"/>
              <w:rPr>
                <w:sz w:val="20"/>
                <w:szCs w:val="20"/>
                <w:color w:val="auto"/>
              </w:rPr>
            </w:pPr>
            <w:r>
              <w:rPr>
                <w:rFonts w:ascii="Arial" w:cs="Arial" w:eastAsia="Arial" w:hAnsi="Arial"/>
                <w:sz w:val="18"/>
                <w:szCs w:val="18"/>
                <w:color w:val="auto"/>
                <w:w w:val="87"/>
              </w:rPr>
              <w:t>Create by</w:t>
            </w:r>
          </w:p>
        </w:tc>
        <w:tc>
          <w:tcPr>
            <w:tcW w:w="23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4"/>
              </w:rPr>
              <w:t>Create by</w:t>
            </w:r>
          </w:p>
        </w:tc>
        <w:tc>
          <w:tcPr>
            <w:tcW w:w="760" w:type="dxa"/>
            <w:vAlign w:val="bottom"/>
          </w:tcPr>
          <w:p>
            <w:pPr>
              <w:spacing w:after="0"/>
              <w:rPr>
                <w:sz w:val="17"/>
                <w:szCs w:val="17"/>
                <w:color w:val="auto"/>
              </w:rPr>
            </w:pPr>
          </w:p>
        </w:tc>
        <w:tc>
          <w:tcPr>
            <w:tcW w:w="2120" w:type="dxa"/>
            <w:vAlign w:val="bottom"/>
            <w:gridSpan w:val="3"/>
          </w:tcPr>
          <w:p>
            <w:pPr>
              <w:jc w:val="center"/>
              <w:ind w:right="1360"/>
              <w:spacing w:after="0" w:line="201" w:lineRule="exact"/>
              <w:rPr>
                <w:sz w:val="20"/>
                <w:szCs w:val="20"/>
                <w:color w:val="auto"/>
              </w:rPr>
            </w:pPr>
            <w:r>
              <w:rPr>
                <w:rFonts w:ascii="Arial" w:cs="Arial" w:eastAsia="Arial" w:hAnsi="Arial"/>
                <w:sz w:val="18"/>
                <w:szCs w:val="18"/>
                <w:color w:val="auto"/>
                <w:w w:val="87"/>
              </w:rPr>
              <w:t>Create by</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6"/>
              </w:rPr>
              <w:t>business unit requirements</w:t>
            </w:r>
          </w:p>
        </w:tc>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January 31, 2012</w:t>
            </w:r>
          </w:p>
        </w:tc>
        <w:tc>
          <w:tcPr>
            <w:tcW w:w="2320" w:type="dxa"/>
            <w:vAlign w:val="bottom"/>
            <w:gridSpan w:val="3"/>
          </w:tcPr>
          <w:p>
            <w:pPr>
              <w:jc w:val="center"/>
              <w:spacing w:after="0"/>
              <w:rPr>
                <w:sz w:val="20"/>
                <w:szCs w:val="20"/>
                <w:color w:val="auto"/>
              </w:rPr>
            </w:pPr>
            <w:r>
              <w:rPr>
                <w:rFonts w:ascii="Arial" w:cs="Arial" w:eastAsia="Arial" w:hAnsi="Arial"/>
                <w:sz w:val="18"/>
                <w:szCs w:val="18"/>
                <w:color w:val="auto"/>
                <w:w w:val="87"/>
              </w:rPr>
              <w:t>December 31, 2011</w:t>
            </w:r>
          </w:p>
        </w:tc>
        <w:tc>
          <w:tcPr>
            <w:tcW w:w="2880" w:type="dxa"/>
            <w:vAlign w:val="bottom"/>
            <w:gridSpan w:val="4"/>
          </w:tcPr>
          <w:p>
            <w:pPr>
              <w:jc w:val="center"/>
              <w:ind w:right="600"/>
              <w:spacing w:after="0"/>
              <w:rPr>
                <w:sz w:val="20"/>
                <w:szCs w:val="20"/>
                <w:color w:val="auto"/>
              </w:rPr>
            </w:pPr>
            <w:r>
              <w:rPr>
                <w:rFonts w:ascii="Arial" w:cs="Arial" w:eastAsia="Arial" w:hAnsi="Arial"/>
                <w:sz w:val="18"/>
                <w:szCs w:val="18"/>
                <w:color w:val="auto"/>
                <w:w w:val="88"/>
              </w:rPr>
              <w:t>November 30, 2011</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6"/>
              </w:rPr>
              <w:t>Created by</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24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and growth based upon a</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5380" w:type="dxa"/>
            <w:vAlign w:val="bottom"/>
            <w:vMerge w:val="restart"/>
          </w:tcPr>
          <w:p>
            <w:pPr>
              <w:spacing w:after="0"/>
              <w:rPr>
                <w:sz w:val="20"/>
                <w:szCs w:val="20"/>
                <w:color w:val="auto"/>
              </w:rPr>
            </w:pPr>
            <w:r>
              <w:rPr>
                <w:rFonts w:ascii="Arial" w:cs="Arial" w:eastAsia="Arial" w:hAnsi="Arial"/>
                <w:sz w:val="18"/>
                <w:szCs w:val="18"/>
                <w:color w:val="auto"/>
              </w:rPr>
              <w:t>systematic headcount</w:t>
            </w:r>
          </w:p>
        </w:tc>
        <w:tc>
          <w:tcPr>
            <w:tcW w:w="5280" w:type="dxa"/>
            <w:vAlign w:val="bottom"/>
          </w:tcPr>
          <w:p>
            <w:pPr>
              <w:ind w:left="3880"/>
              <w:spacing w:after="0"/>
              <w:rPr>
                <w:sz w:val="20"/>
                <w:szCs w:val="20"/>
                <w:color w:val="auto"/>
              </w:rPr>
            </w:pPr>
            <w:r>
              <w:rPr>
                <w:rFonts w:ascii="Arial" w:cs="Arial" w:eastAsia="Arial" w:hAnsi="Arial"/>
                <w:sz w:val="18"/>
                <w:szCs w:val="18"/>
                <w:color w:val="auto"/>
                <w:w w:val="87"/>
              </w:rPr>
              <w:t>November 30, 2011</w:t>
            </w:r>
          </w:p>
        </w:tc>
        <w:tc>
          <w:tcPr>
            <w:tcW w:w="0" w:type="dxa"/>
            <w:vAlign w:val="bottom"/>
          </w:tcPr>
          <w:p>
            <w:pPr>
              <w:spacing w:after="0"/>
              <w:rPr>
                <w:sz w:val="1"/>
                <w:szCs w:val="1"/>
                <w:color w:val="auto"/>
              </w:rPr>
            </w:pPr>
          </w:p>
        </w:tc>
      </w:tr>
      <w:tr>
        <w:trPr>
          <w:trHeight w:val="47"/>
        </w:trPr>
        <w:tc>
          <w:tcPr>
            <w:tcW w:w="5380" w:type="dxa"/>
            <w:vAlign w:val="bottom"/>
            <w:vMerge w:val="continue"/>
          </w:tcPr>
          <w:p>
            <w:pPr>
              <w:spacing w:after="0"/>
              <w:rPr>
                <w:sz w:val="4"/>
                <w:szCs w:val="4"/>
                <w:color w:val="auto"/>
              </w:rPr>
            </w:pPr>
          </w:p>
        </w:tc>
        <w:tc>
          <w:tcPr>
            <w:tcW w:w="5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forecasting capability</w:t>
            </w: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100"/>
          </w:cols>
          <w:pgMar w:left="240" w:top="274" w:right="559" w:bottom="1440" w:gutter="0" w:footer="0" w:header="0"/>
        </w:sectPr>
      </w:pPr>
    </w:p>
    <w:p>
      <w:pPr>
        <w:ind w:left="480"/>
        <w:spacing w:after="0"/>
        <w:rPr>
          <w:sz w:val="20"/>
          <w:szCs w:val="20"/>
          <w:color w:val="auto"/>
        </w:rPr>
      </w:pPr>
      <w:r>
        <w:rPr>
          <w:rFonts w:ascii="Arial" w:cs="Arial" w:eastAsia="Arial" w:hAnsi="Arial"/>
          <w:sz w:val="18"/>
          <w:szCs w:val="18"/>
          <w:color w:val="auto"/>
        </w:rPr>
        <w:t>Create a systems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architecture and road map</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that details an integrated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solution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implementation plan</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8"/>
          <w:szCs w:val="18"/>
          <w:color w:val="auto"/>
        </w:rPr>
        <w:t>The level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achievement to be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determined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8"/>
          <w:szCs w:val="18"/>
          <w:color w:val="auto"/>
        </w:rPr>
        <w:t>The level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achievement to be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determined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0" w:lineRule="exact"/>
        <w:rPr>
          <w:sz w:val="20"/>
          <w:szCs w:val="20"/>
          <w:color w:val="auto"/>
        </w:rPr>
      </w:pPr>
      <w:r>
        <w:rPr>
          <w:sz w:val="20"/>
          <w:szCs w:val="20"/>
          <w:color w:val="auto"/>
        </w:rPr>
        <w:br w:type="column"/>
      </w:r>
    </w:p>
    <w:p>
      <w:pPr>
        <w:ind w:left="240"/>
        <w:spacing w:after="0"/>
        <w:tabs>
          <w:tab w:leader="none" w:pos="2640" w:val="left"/>
        </w:tabs>
        <w:rPr>
          <w:sz w:val="20"/>
          <w:szCs w:val="20"/>
          <w:color w:val="auto"/>
        </w:rPr>
      </w:pPr>
      <w:r>
        <w:rPr>
          <w:rFonts w:ascii="Arial" w:cs="Arial" w:eastAsia="Arial" w:hAnsi="Arial"/>
          <w:sz w:val="18"/>
          <w:szCs w:val="18"/>
          <w:color w:val="auto"/>
        </w:rPr>
        <w:t>The level of</w:t>
      </w:r>
      <w:r>
        <w:rPr>
          <w:sz w:val="20"/>
          <w:szCs w:val="20"/>
          <w:color w:val="auto"/>
        </w:rPr>
        <w:tab/>
      </w:r>
      <w:r>
        <w:rPr>
          <w:rFonts w:ascii="Arial" w:cs="Arial" w:eastAsia="Arial" w:hAnsi="Arial"/>
          <w:sz w:val="15"/>
          <w:szCs w:val="15"/>
          <w:color w:val="auto"/>
        </w:rPr>
        <w:t>Target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achievement to be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determined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327" w:lineRule="exact"/>
        <w:rPr>
          <w:sz w:val="20"/>
          <w:szCs w:val="20"/>
          <w:color w:val="auto"/>
        </w:rPr>
      </w:pPr>
    </w:p>
    <w:p>
      <w:pPr>
        <w:sectPr>
          <w:pgSz w:w="11900" w:h="16838" w:orient="portrait"/>
          <w:cols w:equalWidth="0" w:num="4">
            <w:col w:w="2260" w:space="700"/>
            <w:col w:w="1580" w:space="720"/>
            <w:col w:w="1540" w:space="720"/>
            <w:col w:w="3580"/>
          </w:cols>
          <w:pgMar w:left="240" w:top="274" w:right="5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10.   Maintain compliance with</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90"/>
              </w:rPr>
              <w:t>The level of</w:t>
            </w: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rPr>
              <w:t>regulatory requirements</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86"/>
              </w:rPr>
              <w:t>achievement to be</w:t>
            </w:r>
          </w:p>
        </w:tc>
      </w:tr>
      <w:tr>
        <w:trPr>
          <w:trHeight w:val="216"/>
        </w:trPr>
        <w:tc>
          <w:tcPr>
            <w:tcW w:w="2620" w:type="dxa"/>
            <w:vAlign w:val="bottom"/>
          </w:tcPr>
          <w:p>
            <w:pPr>
              <w:spacing w:after="0"/>
              <w:rPr>
                <w:sz w:val="18"/>
                <w:szCs w:val="18"/>
                <w:color w:val="auto"/>
              </w:rPr>
            </w:pP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88"/>
              </w:rPr>
              <w:t>determined by the</w:t>
            </w:r>
          </w:p>
        </w:tc>
      </w:tr>
      <w:tr>
        <w:trPr>
          <w:trHeight w:val="222"/>
        </w:trPr>
        <w:tc>
          <w:tcPr>
            <w:tcW w:w="2620" w:type="dxa"/>
            <w:vAlign w:val="bottom"/>
          </w:tcPr>
          <w:p>
            <w:pPr>
              <w:spacing w:after="0"/>
              <w:rPr>
                <w:sz w:val="19"/>
                <w:szCs w:val="19"/>
                <w:color w:val="auto"/>
              </w:rPr>
            </w:pP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90"/>
              </w:rPr>
              <w:t>Board of Directors</w:t>
            </w:r>
          </w:p>
        </w:tc>
      </w:tr>
      <w:tr>
        <w:trPr>
          <w:trHeight w:val="331"/>
        </w:trPr>
        <w:tc>
          <w:tcPr>
            <w:tcW w:w="2620" w:type="dxa"/>
            <w:vAlign w:val="bottom"/>
          </w:tcPr>
          <w:p>
            <w:pPr>
              <w:spacing w:after="0"/>
              <w:rPr>
                <w:sz w:val="20"/>
                <w:szCs w:val="20"/>
                <w:color w:val="auto"/>
              </w:rPr>
            </w:pPr>
            <w:r>
              <w:rPr>
                <w:rFonts w:ascii="Arial" w:cs="Arial" w:eastAsia="Arial" w:hAnsi="Arial"/>
                <w:sz w:val="18"/>
                <w:szCs w:val="18"/>
                <w:color w:val="auto"/>
              </w:rPr>
              <w:t>11.   Re-architect and build a</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90"/>
              </w:rPr>
              <w:t>The level of</w:t>
            </w: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rPr>
              <w:t>core vendor management</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86"/>
              </w:rPr>
              <w:t>achievement to be</w:t>
            </w: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rPr>
              <w:t>platform on a current,</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88"/>
              </w:rPr>
              <w:t>determined by the</w:t>
            </w: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rPr>
              <w:t>scalable, multi-tenant</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90"/>
              </w:rPr>
              <w:t>Board of Directors</w:t>
            </w:r>
          </w:p>
        </w:tc>
      </w:tr>
      <w:tr>
        <w:trPr>
          <w:trHeight w:val="222"/>
        </w:trPr>
        <w:tc>
          <w:tcPr>
            <w:tcW w:w="2620" w:type="dxa"/>
            <w:vAlign w:val="bottom"/>
          </w:tcPr>
          <w:p>
            <w:pPr>
              <w:ind w:left="440"/>
              <w:spacing w:after="0"/>
              <w:rPr>
                <w:sz w:val="20"/>
                <w:szCs w:val="20"/>
                <w:color w:val="auto"/>
              </w:rPr>
            </w:pPr>
            <w:r>
              <w:rPr>
                <w:rFonts w:ascii="Arial" w:cs="Arial" w:eastAsia="Arial" w:hAnsi="Arial"/>
                <w:sz w:val="18"/>
                <w:szCs w:val="18"/>
                <w:color w:val="auto"/>
              </w:rPr>
              <w:t>technology framework</w:t>
            </w: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8"/>
          <w:szCs w:val="18"/>
          <w:color w:val="auto"/>
        </w:rPr>
        <w:t>The level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achievement to be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determined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14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level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achievement to be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determined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90"/>
              </w:rPr>
              <w:t>The level of</w:t>
            </w:r>
          </w:p>
        </w:tc>
        <w:tc>
          <w:tcPr>
            <w:tcW w:w="1420" w:type="dxa"/>
            <w:vAlign w:val="bottom"/>
          </w:tcPr>
          <w:p>
            <w:pPr>
              <w:jc w:val="center"/>
              <w:ind w:left="472"/>
              <w:spacing w:after="0"/>
              <w:rPr>
                <w:sz w:val="20"/>
                <w:szCs w:val="20"/>
                <w:color w:val="auto"/>
              </w:rPr>
            </w:pPr>
            <w:r>
              <w:rPr>
                <w:rFonts w:ascii="Arial" w:cs="Arial" w:eastAsia="Arial" w:hAnsi="Arial"/>
                <w:sz w:val="18"/>
                <w:szCs w:val="18"/>
                <w:color w:val="auto"/>
                <w:w w:val="88"/>
              </w:rPr>
              <w:t>Outstanding</w:t>
            </w:r>
          </w:p>
        </w:tc>
      </w:t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86"/>
              </w:rPr>
              <w:t>achievement to be</w:t>
            </w:r>
          </w:p>
        </w:tc>
        <w:tc>
          <w:tcPr>
            <w:tcW w:w="1420" w:type="dxa"/>
            <w:vAlign w:val="bottom"/>
          </w:tcPr>
          <w:p>
            <w:pPr>
              <w:spacing w:after="0"/>
              <w:rPr>
                <w:sz w:val="18"/>
                <w:szCs w:val="18"/>
                <w:color w:val="auto"/>
              </w:rPr>
            </w:pPr>
          </w:p>
        </w:tc>
      </w:t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88"/>
              </w:rPr>
              <w:t>determined by the</w:t>
            </w:r>
          </w:p>
        </w:tc>
        <w:tc>
          <w:tcPr>
            <w:tcW w:w="1420" w:type="dxa"/>
            <w:vAlign w:val="bottom"/>
          </w:tcPr>
          <w:p>
            <w:pPr>
              <w:spacing w:after="0"/>
              <w:rPr>
                <w:sz w:val="18"/>
                <w:szCs w:val="18"/>
                <w:color w:val="auto"/>
              </w:rPr>
            </w:pPr>
          </w:p>
        </w:tc>
      </w:tr>
      <w:tr>
        <w:trPr>
          <w:trHeight w:val="222"/>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90"/>
              </w:rPr>
              <w:t>Board of Directors</w:t>
            </w:r>
          </w:p>
        </w:tc>
        <w:tc>
          <w:tcPr>
            <w:tcW w:w="1420" w:type="dxa"/>
            <w:vAlign w:val="bottom"/>
          </w:tcPr>
          <w:p>
            <w:pPr>
              <w:spacing w:after="0"/>
              <w:rPr>
                <w:sz w:val="19"/>
                <w:szCs w:val="19"/>
                <w:color w:val="auto"/>
              </w:rPr>
            </w:pPr>
          </w:p>
        </w:tc>
      </w:tr>
      <w:tr>
        <w:trPr>
          <w:trHeight w:val="331"/>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90"/>
              </w:rPr>
              <w:t>The level of</w:t>
            </w:r>
          </w:p>
        </w:tc>
        <w:tc>
          <w:tcPr>
            <w:tcW w:w="1420" w:type="dxa"/>
            <w:vAlign w:val="bottom"/>
          </w:tcPr>
          <w:p>
            <w:pPr>
              <w:jc w:val="center"/>
              <w:ind w:left="472"/>
              <w:spacing w:after="0"/>
              <w:rPr>
                <w:sz w:val="20"/>
                <w:szCs w:val="20"/>
                <w:color w:val="auto"/>
              </w:rPr>
            </w:pPr>
            <w:r>
              <w:rPr>
                <w:rFonts w:ascii="Arial" w:cs="Arial" w:eastAsia="Arial" w:hAnsi="Arial"/>
                <w:sz w:val="18"/>
                <w:szCs w:val="18"/>
                <w:color w:val="auto"/>
                <w:w w:val="87"/>
              </w:rPr>
              <w:t>Threshold</w:t>
            </w:r>
          </w:p>
        </w:tc>
      </w:t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86"/>
              </w:rPr>
              <w:t>achievement to be</w:t>
            </w:r>
          </w:p>
        </w:tc>
        <w:tc>
          <w:tcPr>
            <w:tcW w:w="1420" w:type="dxa"/>
            <w:vAlign w:val="bottom"/>
          </w:tcPr>
          <w:p>
            <w:pPr>
              <w:spacing w:after="0"/>
              <w:rPr>
                <w:sz w:val="18"/>
                <w:szCs w:val="18"/>
                <w:color w:val="auto"/>
              </w:rPr>
            </w:pPr>
          </w:p>
        </w:tc>
      </w:t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88"/>
              </w:rPr>
              <w:t>determined by the</w:t>
            </w:r>
          </w:p>
        </w:tc>
        <w:tc>
          <w:tcPr>
            <w:tcW w:w="1420" w:type="dxa"/>
            <w:vAlign w:val="bottom"/>
          </w:tcPr>
          <w:p>
            <w:pPr>
              <w:spacing w:after="0"/>
              <w:rPr>
                <w:sz w:val="18"/>
                <w:szCs w:val="18"/>
                <w:color w:val="auto"/>
              </w:rPr>
            </w:pPr>
          </w:p>
        </w:tc>
      </w:tr>
      <w:tr>
        <w:trPr>
          <w:trHeight w:val="222"/>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90"/>
              </w:rPr>
              <w:t>Board of Directors</w:t>
            </w:r>
          </w:p>
        </w:tc>
        <w:tc>
          <w:tcPr>
            <w:tcW w:w="1420" w:type="dxa"/>
            <w:vAlign w:val="bottom"/>
          </w:tcPr>
          <w:p>
            <w:pPr>
              <w:spacing w:after="0"/>
              <w:rPr>
                <w:sz w:val="19"/>
                <w:szCs w:val="19"/>
                <w:color w:val="auto"/>
              </w:rPr>
            </w:pPr>
          </w:p>
        </w:tc>
      </w:tr>
    </w:tbl>
    <w:p>
      <w:pPr>
        <w:spacing w:after="0" w:line="318" w:lineRule="exact"/>
        <w:rPr>
          <w:sz w:val="20"/>
          <w:szCs w:val="20"/>
          <w:color w:val="auto"/>
        </w:rPr>
      </w:pPr>
    </w:p>
    <w:p>
      <w:pPr>
        <w:sectPr>
          <w:pgSz w:w="11900" w:h="16838" w:orient="portrait"/>
          <w:cols w:equalWidth="0" w:num="3">
            <w:col w:w="4540" w:space="720"/>
            <w:col w:w="1540" w:space="720"/>
            <w:col w:w="3580"/>
          </w:cols>
          <w:pgMar w:left="240" w:top="274" w:right="5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12.   Complete national roll-out</w:t>
            </w:r>
          </w:p>
        </w:tc>
        <w:tc>
          <w:tcPr>
            <w:tcW w:w="2080" w:type="dxa"/>
            <w:vAlign w:val="bottom"/>
          </w:tcPr>
          <w:p>
            <w:pPr>
              <w:jc w:val="center"/>
              <w:ind w:right="112"/>
              <w:spacing w:after="0"/>
              <w:rPr>
                <w:sz w:val="20"/>
                <w:szCs w:val="20"/>
                <w:color w:val="auto"/>
              </w:rPr>
            </w:pPr>
            <w:r>
              <w:rPr>
                <w:rFonts w:ascii="Arial" w:cs="Arial" w:eastAsia="Arial" w:hAnsi="Arial"/>
                <w:sz w:val="18"/>
                <w:szCs w:val="18"/>
                <w:color w:val="auto"/>
                <w:w w:val="89"/>
              </w:rPr>
              <w:t>Achieve 52.4%</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Achieve 65.5%</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Achieve 78.6%</w:t>
            </w:r>
          </w:p>
        </w:tc>
        <w:tc>
          <w:tcPr>
            <w:tcW w:w="1700" w:type="dxa"/>
            <w:vAlign w:val="bottom"/>
          </w:tcPr>
          <w:p>
            <w:pPr>
              <w:jc w:val="center"/>
              <w:ind w:left="432"/>
              <w:spacing w:after="0"/>
              <w:rPr>
                <w:sz w:val="20"/>
                <w:szCs w:val="20"/>
                <w:color w:val="auto"/>
              </w:rPr>
            </w:pPr>
            <w:r>
              <w:rPr>
                <w:rFonts w:ascii="Arial" w:cs="Arial" w:eastAsia="Arial" w:hAnsi="Arial"/>
                <w:sz w:val="18"/>
                <w:szCs w:val="18"/>
                <w:color w:val="auto"/>
                <w:w w:val="90"/>
              </w:rPr>
              <w:t>Achieved 68.7%</w:t>
            </w:r>
          </w:p>
        </w:tc>
      </w:tr>
      <w:tr>
        <w:trPr>
          <w:trHeight w:val="216"/>
        </w:trPr>
        <w:tc>
          <w:tcPr>
            <w:tcW w:w="2680" w:type="dxa"/>
            <w:vAlign w:val="bottom"/>
          </w:tcPr>
          <w:p>
            <w:pPr>
              <w:ind w:left="440"/>
              <w:spacing w:after="0"/>
              <w:rPr>
                <w:sz w:val="20"/>
                <w:szCs w:val="20"/>
                <w:color w:val="auto"/>
              </w:rPr>
            </w:pPr>
            <w:r>
              <w:rPr>
                <w:rFonts w:ascii="Arial" w:cs="Arial" w:eastAsia="Arial" w:hAnsi="Arial"/>
                <w:sz w:val="18"/>
                <w:szCs w:val="18"/>
                <w:color w:val="auto"/>
              </w:rPr>
              <w:t>of existing mortgage</w:t>
            </w:r>
          </w:p>
        </w:tc>
        <w:tc>
          <w:tcPr>
            <w:tcW w:w="2080" w:type="dxa"/>
            <w:vAlign w:val="bottom"/>
          </w:tcPr>
          <w:p>
            <w:pPr>
              <w:jc w:val="center"/>
              <w:ind w:right="112"/>
              <w:spacing w:after="0"/>
              <w:rPr>
                <w:sz w:val="20"/>
                <w:szCs w:val="20"/>
                <w:color w:val="auto"/>
              </w:rPr>
            </w:pPr>
            <w:r>
              <w:rPr>
                <w:rFonts w:ascii="Arial" w:cs="Arial" w:eastAsia="Arial" w:hAnsi="Arial"/>
                <w:sz w:val="18"/>
                <w:szCs w:val="18"/>
                <w:color w:val="auto"/>
                <w:w w:val="88"/>
              </w:rPr>
              <w:t>Overall Capture</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Overall Capture</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Overall Capture</w:t>
            </w:r>
          </w:p>
        </w:tc>
        <w:tc>
          <w:tcPr>
            <w:tcW w:w="1700" w:type="dxa"/>
            <w:vAlign w:val="bottom"/>
          </w:tcPr>
          <w:p>
            <w:pPr>
              <w:jc w:val="center"/>
              <w:ind w:left="452"/>
              <w:spacing w:after="0"/>
              <w:rPr>
                <w:sz w:val="20"/>
                <w:szCs w:val="20"/>
                <w:color w:val="auto"/>
              </w:rPr>
            </w:pPr>
            <w:r>
              <w:rPr>
                <w:rFonts w:ascii="Arial" w:cs="Arial" w:eastAsia="Arial" w:hAnsi="Arial"/>
                <w:sz w:val="18"/>
                <w:szCs w:val="18"/>
                <w:color w:val="auto"/>
                <w:w w:val="88"/>
              </w:rPr>
              <w:t>Overall Capture</w:t>
            </w:r>
          </w:p>
        </w:tc>
      </w:tr>
      <w:tr>
        <w:trPr>
          <w:trHeight w:val="222"/>
        </w:trPr>
        <w:tc>
          <w:tcPr>
            <w:tcW w:w="2680" w:type="dxa"/>
            <w:vAlign w:val="bottom"/>
          </w:tcPr>
          <w:p>
            <w:pPr>
              <w:ind w:left="440"/>
              <w:spacing w:after="0"/>
              <w:rPr>
                <w:sz w:val="20"/>
                <w:szCs w:val="20"/>
                <w:color w:val="auto"/>
              </w:rPr>
            </w:pPr>
            <w:r>
              <w:rPr>
                <w:rFonts w:ascii="Arial" w:cs="Arial" w:eastAsia="Arial" w:hAnsi="Arial"/>
                <w:sz w:val="18"/>
                <w:szCs w:val="18"/>
                <w:color w:val="auto"/>
              </w:rPr>
              <w:t>service</w:t>
            </w:r>
          </w:p>
        </w:tc>
        <w:tc>
          <w:tcPr>
            <w:tcW w:w="2080" w:type="dxa"/>
            <w:vAlign w:val="bottom"/>
          </w:tcPr>
          <w:p>
            <w:pPr>
              <w:jc w:val="center"/>
              <w:ind w:right="112"/>
              <w:spacing w:after="0"/>
              <w:rPr>
                <w:sz w:val="20"/>
                <w:szCs w:val="20"/>
                <w:color w:val="auto"/>
              </w:rPr>
            </w:pPr>
            <w:r>
              <w:rPr>
                <w:rFonts w:ascii="Arial" w:cs="Arial" w:eastAsia="Arial" w:hAnsi="Arial"/>
                <w:sz w:val="18"/>
                <w:szCs w:val="18"/>
                <w:color w:val="auto"/>
                <w:w w:val="84"/>
              </w:rPr>
              <w:t>Rate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Rate</w:t>
            </w:r>
          </w:p>
        </w:tc>
        <w:tc>
          <w:tcPr>
            <w:tcW w:w="224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1700" w:type="dxa"/>
            <w:vAlign w:val="bottom"/>
          </w:tcPr>
          <w:p>
            <w:pPr>
              <w:jc w:val="center"/>
              <w:ind w:left="452"/>
              <w:spacing w:after="0"/>
              <w:rPr>
                <w:sz w:val="20"/>
                <w:szCs w:val="20"/>
                <w:color w:val="auto"/>
              </w:rPr>
            </w:pPr>
            <w:r>
              <w:rPr>
                <w:rFonts w:ascii="Arial" w:cs="Arial" w:eastAsia="Arial" w:hAnsi="Arial"/>
                <w:sz w:val="18"/>
                <w:szCs w:val="18"/>
                <w:color w:val="auto"/>
                <w:w w:val="84"/>
              </w:rPr>
              <w:t>Rate</w:t>
            </w:r>
          </w:p>
        </w:tc>
      </w:tr>
      <w:tr>
        <w:trPr>
          <w:trHeight w:val="297"/>
        </w:trPr>
        <w:tc>
          <w:tcPr>
            <w:tcW w:w="2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00" w:type="dxa"/>
            <w:vAlign w:val="bottom"/>
          </w:tcPr>
          <w:p>
            <w:pPr>
              <w:jc w:val="center"/>
              <w:ind w:left="452"/>
              <w:spacing w:after="0"/>
              <w:rPr>
                <w:sz w:val="20"/>
                <w:szCs w:val="20"/>
                <w:color w:val="auto"/>
              </w:rPr>
            </w:pPr>
            <w:r>
              <w:rPr>
                <w:rFonts w:ascii="Arial" w:cs="Arial" w:eastAsia="Arial" w:hAnsi="Arial"/>
                <w:sz w:val="18"/>
                <w:szCs w:val="18"/>
                <w:color w:val="auto"/>
                <w:w w:val="84"/>
              </w:rPr>
              <w:t>Target</w:t>
            </w:r>
          </w:p>
        </w:tc>
      </w:tr>
    </w:tbl>
    <w:p>
      <w:pPr>
        <w:spacing w:after="0" w:line="115" w:lineRule="exact"/>
        <w:rPr>
          <w:sz w:val="20"/>
          <w:szCs w:val="20"/>
          <w:color w:val="auto"/>
        </w:rPr>
      </w:pPr>
    </w:p>
    <w:p>
      <w:pPr>
        <w:sectPr>
          <w:pgSz w:w="11900" w:h="16838" w:orient="portrait"/>
          <w:cols w:equalWidth="0" w:num="1">
            <w:col w:w="11100"/>
          </w:cols>
          <w:pgMar w:left="240" w:top="274" w:right="559" w:bottom="1440" w:gutter="0" w:footer="0" w:header="0"/>
          <w:type w:val="continuous"/>
        </w:sectPr>
      </w:pPr>
    </w:p>
    <w:p>
      <w:pPr>
        <w:ind w:left="440" w:hanging="432"/>
        <w:spacing w:after="0" w:line="294" w:lineRule="auto"/>
        <w:tabs>
          <w:tab w:leader="none" w:pos="4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Assist client to increase the overall level of Deeds in Lieu and Short Sales by completing the following initiatives:</w:t>
      </w:r>
    </w:p>
    <w:p>
      <w:pPr>
        <w:spacing w:after="0" w:line="75" w:lineRule="exact"/>
        <w:rPr>
          <w:rFonts w:ascii="Arial" w:cs="Arial" w:eastAsia="Arial" w:hAnsi="Arial"/>
          <w:sz w:val="16"/>
          <w:szCs w:val="16"/>
          <w:color w:val="auto"/>
        </w:rPr>
      </w:pPr>
    </w:p>
    <w:p>
      <w:pPr>
        <w:ind w:left="880" w:right="60" w:hanging="432"/>
        <w:spacing w:after="0" w:line="323" w:lineRule="auto"/>
        <w:rPr>
          <w:rFonts w:ascii="Arial" w:cs="Arial" w:eastAsia="Arial" w:hAnsi="Arial"/>
          <w:sz w:val="16"/>
          <w:szCs w:val="16"/>
          <w:color w:val="auto"/>
        </w:rPr>
      </w:pPr>
      <w:r>
        <w:rPr>
          <w:rFonts w:ascii="Arial" w:cs="Arial" w:eastAsia="Arial" w:hAnsi="Arial"/>
          <w:sz w:val="15"/>
          <w:szCs w:val="15"/>
          <w:color w:val="auto"/>
        </w:rPr>
        <w:t>A. Increase % by executing appointment models and Short Sales scripting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 w:leader="none" w:pos="2260" w:val="left"/>
          <w:tab w:leader="none" w:pos="2640" w:val="left"/>
          <w:tab w:leader="none" w:pos="4540" w:val="left"/>
          <w:tab w:leader="none" w:pos="4920" w:val="left"/>
        </w:tabs>
        <w:rPr>
          <w:sz w:val="20"/>
          <w:szCs w:val="20"/>
          <w:color w:val="auto"/>
        </w:rPr>
      </w:pPr>
      <w:r>
        <w:rPr>
          <w:rFonts w:ascii="Arial" w:cs="Arial" w:eastAsia="Arial" w:hAnsi="Arial"/>
          <w:sz w:val="18"/>
          <w:szCs w:val="18"/>
          <w:color w:val="auto"/>
        </w:rPr>
        <w:t>A.</w:t>
        <w:tab/>
        <w:t>Achieve a 20%</w:t>
      </w:r>
      <w:r>
        <w:rPr>
          <w:sz w:val="20"/>
          <w:szCs w:val="20"/>
          <w:color w:val="auto"/>
        </w:rPr>
        <w:tab/>
      </w:r>
      <w:r>
        <w:rPr>
          <w:rFonts w:ascii="Arial" w:cs="Arial" w:eastAsia="Arial" w:hAnsi="Arial"/>
          <w:sz w:val="18"/>
          <w:szCs w:val="18"/>
          <w:color w:val="auto"/>
        </w:rPr>
        <w:t>A.</w:t>
        <w:tab/>
        <w:t>Achieve a 40%</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Achieve a 60%</w:t>
      </w:r>
    </w:p>
    <w:p>
      <w:pPr>
        <w:spacing w:after="0" w:line="15" w:lineRule="exact"/>
        <w:rPr>
          <w:sz w:val="20"/>
          <w:szCs w:val="20"/>
          <w:color w:val="auto"/>
        </w:rPr>
      </w:pPr>
    </w:p>
    <w:p>
      <w:pPr>
        <w:ind w:left="380"/>
        <w:spacing w:after="0"/>
        <w:tabs>
          <w:tab w:leader="none" w:pos="2660" w:val="left"/>
          <w:tab w:leader="none" w:pos="4940" w:val="left"/>
        </w:tabs>
        <w:rPr>
          <w:sz w:val="20"/>
          <w:szCs w:val="20"/>
          <w:color w:val="auto"/>
        </w:rPr>
      </w:pPr>
      <w:r>
        <w:rPr>
          <w:rFonts w:ascii="Arial" w:cs="Arial" w:eastAsia="Arial" w:hAnsi="Arial"/>
          <w:sz w:val="18"/>
          <w:szCs w:val="18"/>
          <w:color w:val="auto"/>
        </w:rPr>
        <w:t>increase</w:t>
      </w:r>
      <w:r>
        <w:rPr>
          <w:sz w:val="20"/>
          <w:szCs w:val="20"/>
          <w:color w:val="auto"/>
        </w:rPr>
        <w:tab/>
      </w:r>
      <w:r>
        <w:rPr>
          <w:rFonts w:ascii="Arial" w:cs="Arial" w:eastAsia="Arial" w:hAnsi="Arial"/>
          <w:sz w:val="18"/>
          <w:szCs w:val="18"/>
          <w:color w:val="auto"/>
        </w:rPr>
        <w:t>increase</w:t>
      </w:r>
      <w:r>
        <w:rPr>
          <w:sz w:val="20"/>
          <w:szCs w:val="20"/>
          <w:color w:val="auto"/>
        </w:rPr>
        <w:tab/>
      </w:r>
      <w:r>
        <w:rPr>
          <w:rFonts w:ascii="Arial" w:cs="Arial" w:eastAsia="Arial" w:hAnsi="Arial"/>
          <w:sz w:val="14"/>
          <w:szCs w:val="14"/>
          <w:color w:val="auto"/>
        </w:rPr>
        <w:t>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0" w:right="200" w:hanging="393"/>
        <w:spacing w:after="0" w:line="268" w:lineRule="auto"/>
        <w:tabs>
          <w:tab w:leader="none" w:pos="3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Achieved a 13% increase</w:t>
      </w:r>
    </w:p>
    <w:p>
      <w:pPr>
        <w:spacing w:after="0" w:line="5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Below Threshold</w:t>
      </w:r>
    </w:p>
    <w:p>
      <w:pPr>
        <w:spacing w:after="0" w:line="408" w:lineRule="exact"/>
        <w:rPr>
          <w:sz w:val="20"/>
          <w:szCs w:val="20"/>
          <w:color w:val="auto"/>
        </w:rPr>
      </w:pPr>
    </w:p>
    <w:p>
      <w:pPr>
        <w:sectPr>
          <w:pgSz w:w="11900" w:h="16838" w:orient="portrait"/>
          <w:cols w:equalWidth="0" w:num="3">
            <w:col w:w="2360" w:space="180"/>
            <w:col w:w="6100" w:space="720"/>
            <w:col w:w="1740"/>
          </w:cols>
          <w:pgMar w:left="240" w:top="274" w:right="559" w:bottom="1440" w:gutter="0" w:footer="0" w:header="0"/>
          <w:type w:val="continuous"/>
        </w:sectPr>
      </w:pPr>
    </w:p>
    <w:p>
      <w:pPr>
        <w:spacing w:after="0" w:line="222" w:lineRule="exact"/>
        <w:rPr>
          <w:sz w:val="20"/>
          <w:szCs w:val="20"/>
          <w:color w:val="auto"/>
        </w:rPr>
      </w:pPr>
    </w:p>
    <w:p>
      <w:pPr>
        <w:ind w:left="440"/>
        <w:spacing w:after="0"/>
        <w:tabs>
          <w:tab w:leader="none" w:pos="800" w:val="left"/>
          <w:tab w:leader="none" w:pos="2520" w:val="left"/>
          <w:tab w:leader="none" w:pos="2900" w:val="left"/>
          <w:tab w:leader="none" w:pos="4800" w:val="left"/>
          <w:tab w:leader="none" w:pos="5180" w:val="left"/>
          <w:tab w:leader="none" w:pos="7080" w:val="left"/>
          <w:tab w:leader="none" w:pos="7460" w:val="left"/>
        </w:tabs>
        <w:rPr>
          <w:sz w:val="20"/>
          <w:szCs w:val="20"/>
          <w:color w:val="auto"/>
        </w:rPr>
      </w:pPr>
      <w:r>
        <w:rPr>
          <w:rFonts w:ascii="Arial" w:cs="Arial" w:eastAsia="Arial" w:hAnsi="Arial"/>
          <w:sz w:val="18"/>
          <w:szCs w:val="18"/>
          <w:color w:val="auto"/>
        </w:rPr>
        <w:t>B.</w:t>
        <w:tab/>
        <w:t>Execute contracts and</w:t>
        <w:tab/>
        <w:t>B.</w:t>
        <w:tab/>
        <w:t>Execute by</w:t>
      </w:r>
      <w:r>
        <w:rPr>
          <w:sz w:val="20"/>
          <w:szCs w:val="20"/>
          <w:color w:val="auto"/>
        </w:rPr>
        <w:tab/>
      </w:r>
      <w:r>
        <w:rPr>
          <w:rFonts w:ascii="Arial" w:cs="Arial" w:eastAsia="Arial" w:hAnsi="Arial"/>
          <w:sz w:val="18"/>
          <w:szCs w:val="18"/>
          <w:color w:val="auto"/>
        </w:rPr>
        <w:t>B.</w:t>
        <w:tab/>
        <w:t>Execute by</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Execute by</w:t>
      </w:r>
    </w:p>
    <w:p>
      <w:pPr>
        <w:spacing w:after="0" w:line="15" w:lineRule="exact"/>
        <w:rPr>
          <w:sz w:val="20"/>
          <w:szCs w:val="20"/>
          <w:color w:val="auto"/>
        </w:rPr>
      </w:pPr>
    </w:p>
    <w:p>
      <w:pPr>
        <w:ind w:left="880"/>
        <w:spacing w:after="0"/>
        <w:tabs>
          <w:tab w:leader="none" w:pos="2900" w:val="left"/>
          <w:tab w:leader="none" w:pos="5200" w:val="left"/>
          <w:tab w:leader="none" w:pos="7480" w:val="left"/>
        </w:tabs>
        <w:rPr>
          <w:sz w:val="20"/>
          <w:szCs w:val="20"/>
          <w:color w:val="auto"/>
        </w:rPr>
      </w:pPr>
      <w:r>
        <w:rPr>
          <w:rFonts w:ascii="Arial" w:cs="Arial" w:eastAsia="Arial" w:hAnsi="Arial"/>
          <w:sz w:val="18"/>
          <w:szCs w:val="18"/>
          <w:color w:val="auto"/>
        </w:rPr>
        <w:t>borrower</w:t>
      </w:r>
      <w:r>
        <w:rPr>
          <w:sz w:val="20"/>
          <w:szCs w:val="20"/>
          <w:color w:val="auto"/>
        </w:rPr>
        <w:tab/>
      </w:r>
      <w:r>
        <w:rPr>
          <w:rFonts w:ascii="Arial" w:cs="Arial" w:eastAsia="Arial" w:hAnsi="Arial"/>
          <w:sz w:val="18"/>
          <w:szCs w:val="18"/>
          <w:color w:val="auto"/>
        </w:rPr>
        <w:t>August 31, 2011</w:t>
      </w:r>
      <w:r>
        <w:rPr>
          <w:sz w:val="20"/>
          <w:szCs w:val="20"/>
          <w:color w:val="auto"/>
        </w:rPr>
        <w:tab/>
      </w:r>
      <w:r>
        <w:rPr>
          <w:rFonts w:ascii="Arial" w:cs="Arial" w:eastAsia="Arial" w:hAnsi="Arial"/>
          <w:sz w:val="18"/>
          <w:szCs w:val="18"/>
          <w:color w:val="auto"/>
        </w:rPr>
        <w:t>July 31, 2011</w:t>
      </w:r>
      <w:r>
        <w:rPr>
          <w:sz w:val="20"/>
          <w:szCs w:val="20"/>
          <w:color w:val="auto"/>
        </w:rPr>
        <w:tab/>
      </w:r>
      <w:r>
        <w:rPr>
          <w:rFonts w:ascii="Arial" w:cs="Arial" w:eastAsia="Arial" w:hAnsi="Arial"/>
          <w:sz w:val="15"/>
          <w:szCs w:val="15"/>
          <w:color w:val="auto"/>
        </w:rPr>
        <w:t>June 30, 2011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communication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materials initiatives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14.  Invest in, develop and</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The level of</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2"/>
              </w:rPr>
              <w:t>The level of</w:t>
            </w:r>
          </w:p>
        </w:tc>
        <w:tc>
          <w:tcPr>
            <w:tcW w:w="1800" w:type="dxa"/>
            <w:vAlign w:val="bottom"/>
            <w:vMerge w:val="restart"/>
          </w:tcPr>
          <w:p>
            <w:pPr>
              <w:jc w:val="center"/>
              <w:ind w:left="392"/>
              <w:spacing w:after="0"/>
              <w:rPr>
                <w:sz w:val="20"/>
                <w:szCs w:val="20"/>
                <w:color w:val="auto"/>
              </w:rPr>
            </w:pPr>
            <w:r>
              <w:rPr>
                <w:rFonts w:ascii="Arial" w:cs="Arial" w:eastAsia="Arial" w:hAnsi="Arial"/>
                <w:sz w:val="18"/>
                <w:szCs w:val="18"/>
                <w:color w:val="auto"/>
                <w:w w:val="90"/>
              </w:rPr>
              <w:t>The level of</w:t>
            </w:r>
          </w:p>
        </w:tc>
        <w:tc>
          <w:tcPr>
            <w:tcW w:w="0" w:type="dxa"/>
            <w:vAlign w:val="bottom"/>
          </w:tcPr>
          <w:p>
            <w:pPr>
              <w:spacing w:after="0"/>
              <w:rPr>
                <w:sz w:val="1"/>
                <w:szCs w:val="1"/>
                <w:color w:val="auto"/>
              </w:rPr>
            </w:pPr>
          </w:p>
        </w:tc>
      </w:tr>
      <w:tr>
        <w:trPr>
          <w:trHeight w:val="189"/>
        </w:trPr>
        <w:tc>
          <w:tcPr>
            <w:tcW w:w="2520" w:type="dxa"/>
            <w:vAlign w:val="bottom"/>
          </w:tcPr>
          <w:p>
            <w:pPr>
              <w:ind w:left="440"/>
              <w:spacing w:after="0" w:line="189" w:lineRule="exact"/>
              <w:rPr>
                <w:sz w:val="20"/>
                <w:szCs w:val="20"/>
                <w:color w:val="auto"/>
              </w:rPr>
            </w:pPr>
            <w:r>
              <w:rPr>
                <w:rFonts w:ascii="Arial" w:cs="Arial" w:eastAsia="Arial" w:hAnsi="Arial"/>
                <w:sz w:val="18"/>
                <w:szCs w:val="18"/>
                <w:color w:val="auto"/>
              </w:rPr>
              <w:t>incubate new lines of</w:t>
            </w:r>
          </w:p>
        </w:tc>
        <w:tc>
          <w:tcPr>
            <w:tcW w:w="224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440"/>
              <w:spacing w:after="0"/>
              <w:rPr>
                <w:sz w:val="20"/>
                <w:szCs w:val="20"/>
                <w:color w:val="auto"/>
              </w:rPr>
            </w:pPr>
            <w:r>
              <w:rPr>
                <w:rFonts w:ascii="Arial" w:cs="Arial" w:eastAsia="Arial" w:hAnsi="Arial"/>
                <w:sz w:val="18"/>
                <w:szCs w:val="18"/>
                <w:color w:val="auto"/>
              </w:rPr>
              <w:t>business</w:t>
            </w: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achievement to be</w:t>
            </w: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achievement to be</w:t>
            </w:r>
          </w:p>
        </w:tc>
        <w:tc>
          <w:tcPr>
            <w:tcW w:w="1800" w:type="dxa"/>
            <w:vAlign w:val="bottom"/>
          </w:tcPr>
          <w:p>
            <w:pPr>
              <w:jc w:val="center"/>
              <w:ind w:left="392"/>
              <w:spacing w:after="0"/>
              <w:rPr>
                <w:sz w:val="20"/>
                <w:szCs w:val="20"/>
                <w:color w:val="auto"/>
              </w:rPr>
            </w:pPr>
            <w:r>
              <w:rPr>
                <w:rFonts w:ascii="Arial" w:cs="Arial" w:eastAsia="Arial" w:hAnsi="Arial"/>
                <w:sz w:val="18"/>
                <w:szCs w:val="18"/>
                <w:color w:val="auto"/>
                <w:w w:val="86"/>
              </w:rPr>
              <w:t>achievement to be</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440"/>
              <w:spacing w:after="0"/>
              <w:rPr>
                <w:sz w:val="20"/>
                <w:szCs w:val="20"/>
                <w:color w:val="auto"/>
              </w:rPr>
            </w:pPr>
            <w:r>
              <w:rPr>
                <w:rFonts w:ascii="Arial" w:cs="Arial" w:eastAsia="Arial" w:hAnsi="Arial"/>
                <w:sz w:val="18"/>
                <w:szCs w:val="18"/>
                <w:color w:val="auto"/>
              </w:rPr>
              <w:t>A.   Real Estate Portal</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determined by the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determined by the</w:t>
            </w:r>
          </w:p>
        </w:tc>
        <w:tc>
          <w:tcPr>
            <w:tcW w:w="1800" w:type="dxa"/>
            <w:vAlign w:val="bottom"/>
          </w:tcPr>
          <w:p>
            <w:pPr>
              <w:jc w:val="center"/>
              <w:ind w:left="392"/>
              <w:spacing w:after="0"/>
              <w:rPr>
                <w:sz w:val="20"/>
                <w:szCs w:val="20"/>
                <w:color w:val="auto"/>
              </w:rPr>
            </w:pPr>
            <w:r>
              <w:rPr>
                <w:rFonts w:ascii="Arial" w:cs="Arial" w:eastAsia="Arial" w:hAnsi="Arial"/>
                <w:sz w:val="18"/>
                <w:szCs w:val="18"/>
                <w:color w:val="auto"/>
                <w:w w:val="88"/>
              </w:rPr>
              <w:t>determined by the</w:t>
            </w:r>
          </w:p>
        </w:tc>
        <w:tc>
          <w:tcPr>
            <w:tcW w:w="0" w:type="dxa"/>
            <w:vAlign w:val="bottom"/>
          </w:tcPr>
          <w:p>
            <w:pPr>
              <w:spacing w:after="0"/>
              <w:rPr>
                <w:sz w:val="1"/>
                <w:szCs w:val="1"/>
                <w:color w:val="auto"/>
              </w:rPr>
            </w:pPr>
          </w:p>
        </w:tc>
      </w:tr>
      <w:tr>
        <w:trPr>
          <w:trHeight w:val="114"/>
        </w:trPr>
        <w:tc>
          <w:tcPr>
            <w:tcW w:w="2520" w:type="dxa"/>
            <w:vAlign w:val="bottom"/>
            <w:vMerge w:val="continue"/>
          </w:tcPr>
          <w:p>
            <w:pPr>
              <w:spacing w:after="0"/>
              <w:rPr>
                <w:sz w:val="9"/>
                <w:szCs w:val="9"/>
                <w:color w:val="auto"/>
              </w:rPr>
            </w:pPr>
          </w:p>
        </w:tc>
        <w:tc>
          <w:tcPr>
            <w:tcW w:w="224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0"/>
              </w:rPr>
              <w:t>Board of Directors</w:t>
            </w:r>
          </w:p>
        </w:tc>
        <w:tc>
          <w:tcPr>
            <w:tcW w:w="228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89"/>
              </w:rPr>
              <w:t>Board of Directors</w:t>
            </w:r>
          </w:p>
        </w:tc>
        <w:tc>
          <w:tcPr>
            <w:tcW w:w="1800" w:type="dxa"/>
            <w:vAlign w:val="bottom"/>
            <w:vMerge w:val="restart"/>
          </w:tcPr>
          <w:p>
            <w:pPr>
              <w:jc w:val="center"/>
              <w:ind w:left="392"/>
              <w:spacing w:after="0" w:line="203" w:lineRule="exact"/>
              <w:rPr>
                <w:sz w:val="20"/>
                <w:szCs w:val="20"/>
                <w:color w:val="auto"/>
              </w:rPr>
            </w:pPr>
            <w:r>
              <w:rPr>
                <w:rFonts w:ascii="Arial" w:cs="Arial" w:eastAsia="Arial" w:hAnsi="Arial"/>
                <w:sz w:val="18"/>
                <w:szCs w:val="18"/>
                <w:color w:val="auto"/>
                <w:w w:val="90"/>
              </w:rPr>
              <w:t>Board of Directors</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820" w:hanging="38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Correspondent One</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393" w:right="180" w:hanging="393"/>
        <w:spacing w:after="0" w:line="357" w:lineRule="auto"/>
        <w:tabs>
          <w:tab w:leader="none" w:pos="378"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Executed prior to June 30, 2011</w:t>
      </w:r>
    </w:p>
    <w:p>
      <w:pPr>
        <w:ind w:left="593"/>
        <w:spacing w:after="0"/>
        <w:rPr>
          <w:sz w:val="20"/>
          <w:szCs w:val="20"/>
          <w:color w:val="auto"/>
        </w:rPr>
      </w:pPr>
      <w:r>
        <w:rPr>
          <w:rFonts w:ascii="Arial" w:cs="Arial" w:eastAsia="Arial" w:hAnsi="Arial"/>
          <w:sz w:val="16"/>
          <w:szCs w:val="16"/>
          <w:color w:val="auto"/>
        </w:rPr>
        <w:t>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3"/>
        <w:spacing w:after="0"/>
        <w:rPr>
          <w:sz w:val="20"/>
          <w:szCs w:val="20"/>
          <w:color w:val="auto"/>
        </w:rPr>
      </w:pPr>
      <w:r>
        <w:rPr>
          <w:rFonts w:ascii="Arial" w:cs="Arial" w:eastAsia="Arial" w:hAnsi="Arial"/>
          <w:sz w:val="16"/>
          <w:szCs w:val="16"/>
          <w:color w:val="auto"/>
        </w:rPr>
        <w:t>Outstanding</w:t>
      </w:r>
    </w:p>
    <w:p>
      <w:pPr>
        <w:sectPr>
          <w:pgSz w:w="11900" w:h="16838" w:orient="portrait"/>
          <w:cols w:equalWidth="0" w:num="2">
            <w:col w:w="8840" w:space="527"/>
            <w:col w:w="1733"/>
          </w:cols>
          <w:pgMar w:left="240" w:top="274" w:right="55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Strategic Initiatives</w:t>
      </w:r>
    </w:p>
    <w:p>
      <w:pPr>
        <w:spacing w:after="0" w:line="119" w:lineRule="exact"/>
        <w:rPr>
          <w:sz w:val="20"/>
          <w:szCs w:val="20"/>
          <w:color w:val="auto"/>
        </w:rPr>
      </w:pPr>
    </w:p>
    <w:tbl>
      <w:tblPr>
        <w:tblLayout w:type="fixed"/>
        <w:tblInd w:w="120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Levels of Achievement</w:t>
            </w:r>
          </w:p>
        </w:tc>
        <w:tc>
          <w:tcPr>
            <w:tcW w:w="1860" w:type="dxa"/>
            <w:vAlign w:val="bottom"/>
            <w:tcBorders>
              <w:bottom w:val="single" w:sz="8" w:color="auto"/>
            </w:tcBorders>
          </w:tcPr>
          <w:p>
            <w:pPr>
              <w:spacing w:after="0"/>
              <w:rPr>
                <w:sz w:val="15"/>
                <w:szCs w:val="15"/>
                <w:color w:val="auto"/>
              </w:rPr>
            </w:pPr>
          </w:p>
        </w:tc>
        <w:tc>
          <w:tcPr>
            <w:tcW w:w="1680" w:type="dxa"/>
            <w:vAlign w:val="bottom"/>
          </w:tcPr>
          <w:p>
            <w:pPr>
              <w:spacing w:after="0"/>
              <w:rPr>
                <w:sz w:val="15"/>
                <w:szCs w:val="15"/>
                <w:color w:val="auto"/>
              </w:rPr>
            </w:pPr>
          </w:p>
        </w:tc>
      </w:tr>
      <w:tr>
        <w:trPr>
          <w:trHeight w:val="143"/>
        </w:trPr>
        <w:tc>
          <w:tcPr>
            <w:tcW w:w="1900" w:type="dxa"/>
            <w:vAlign w:val="bottom"/>
          </w:tcPr>
          <w:p>
            <w:pPr>
              <w:spacing w:after="0" w:line="143" w:lineRule="exact"/>
              <w:rPr>
                <w:sz w:val="20"/>
                <w:szCs w:val="20"/>
                <w:color w:val="auto"/>
              </w:rPr>
            </w:pPr>
            <w:r>
              <w:rPr>
                <w:rFonts w:ascii="Arial" w:cs="Arial" w:eastAsia="Arial" w:hAnsi="Arial"/>
                <w:sz w:val="14"/>
                <w:szCs w:val="14"/>
                <w:b w:val="1"/>
                <w:bCs w:val="1"/>
                <w:color w:val="auto"/>
              </w:rPr>
              <w:t>Element</w:t>
            </w:r>
          </w:p>
        </w:tc>
        <w:tc>
          <w:tcPr>
            <w:tcW w:w="1840" w:type="dxa"/>
            <w:vAlign w:val="bottom"/>
          </w:tcPr>
          <w:p>
            <w:pPr>
              <w:ind w:left="680"/>
              <w:spacing w:after="0" w:line="143" w:lineRule="exact"/>
              <w:rPr>
                <w:sz w:val="20"/>
                <w:szCs w:val="20"/>
                <w:color w:val="auto"/>
              </w:rPr>
            </w:pPr>
            <w:r>
              <w:rPr>
                <w:rFonts w:ascii="Arial" w:cs="Arial" w:eastAsia="Arial" w:hAnsi="Arial"/>
                <w:sz w:val="14"/>
                <w:szCs w:val="14"/>
                <w:b w:val="1"/>
                <w:bCs w:val="1"/>
                <w:color w:val="auto"/>
              </w:rPr>
              <w:t>Threshold</w:t>
            </w:r>
          </w:p>
        </w:tc>
        <w:tc>
          <w:tcPr>
            <w:tcW w:w="24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Target</w:t>
            </w:r>
          </w:p>
        </w:tc>
        <w:tc>
          <w:tcPr>
            <w:tcW w:w="1860" w:type="dxa"/>
            <w:vAlign w:val="bottom"/>
          </w:tcPr>
          <w:p>
            <w:pPr>
              <w:ind w:left="580"/>
              <w:spacing w:after="0" w:line="143" w:lineRule="exact"/>
              <w:rPr>
                <w:sz w:val="20"/>
                <w:szCs w:val="20"/>
                <w:color w:val="auto"/>
              </w:rPr>
            </w:pPr>
            <w:r>
              <w:rPr>
                <w:rFonts w:ascii="Arial" w:cs="Arial" w:eastAsia="Arial" w:hAnsi="Arial"/>
                <w:sz w:val="14"/>
                <w:szCs w:val="14"/>
                <w:b w:val="1"/>
                <w:bCs w:val="1"/>
                <w:color w:val="auto"/>
              </w:rPr>
              <w:t>Outstanding</w:t>
            </w:r>
          </w:p>
        </w:tc>
        <w:tc>
          <w:tcPr>
            <w:tcW w:w="1680" w:type="dxa"/>
            <w:vAlign w:val="bottom"/>
          </w:tcPr>
          <w:p>
            <w:pPr>
              <w:ind w:left="800"/>
              <w:spacing w:after="0" w:line="143" w:lineRule="exact"/>
              <w:rPr>
                <w:sz w:val="20"/>
                <w:szCs w:val="20"/>
                <w:color w:val="auto"/>
              </w:rPr>
            </w:pPr>
            <w:r>
              <w:rPr>
                <w:rFonts w:ascii="Arial" w:cs="Arial" w:eastAsia="Arial" w:hAnsi="Arial"/>
                <w:sz w:val="14"/>
                <w:szCs w:val="14"/>
                <w:b w:val="1"/>
                <w:bCs w:val="1"/>
                <w:color w:val="auto"/>
                <w:w w:val="84"/>
              </w:rPr>
              <w:t>Level Achieved</w:t>
            </w:r>
          </w:p>
        </w:tc>
      </w:tr>
    </w:tbl>
    <w:p>
      <w:pPr>
        <w:spacing w:after="0" w:line="20" w:lineRule="exact"/>
        <w:rPr>
          <w:sz w:val="20"/>
          <w:szCs w:val="20"/>
          <w:color w:val="auto"/>
        </w:rPr>
      </w:pPr>
    </w:p>
    <w:p>
      <w:pPr>
        <w:sectPr>
          <w:pgSz w:w="11900" w:h="16838" w:orient="portrait"/>
          <w:cols w:equalWidth="0" w:num="1">
            <w:col w:w="11400"/>
          </w:cols>
          <w:pgMar w:left="240" w:top="274" w:right="259" w:bottom="1440" w:gutter="0" w:footer="0" w:header="0"/>
        </w:sectPr>
      </w:pPr>
    </w:p>
    <w:tbl>
      <w:tblPr>
        <w:tblLayout w:type="fixed"/>
        <w:tblInd w:w="0" w:type="dxa"/>
        <w:tblCellMar>
          <w:top w:w="0" w:type="dxa"/>
          <w:left w:w="0" w:type="dxa"/>
          <w:bottom w:w="0" w:type="dxa"/>
          <w:right w:w="0" w:type="dxa"/>
        </w:tblCellMar>
      </w:tblP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2720" w:type="dxa"/>
            <w:vAlign w:val="bottom"/>
            <w:gridSpan w:val="3"/>
          </w:tcPr>
          <w:p>
            <w:pPr>
              <w:spacing w:after="0" w:line="182" w:lineRule="exact"/>
              <w:rPr>
                <w:sz w:val="20"/>
                <w:szCs w:val="20"/>
                <w:color w:val="auto"/>
              </w:rPr>
            </w:pPr>
            <w:r>
              <w:rPr>
                <w:rFonts w:ascii="Arial" w:cs="Arial" w:eastAsia="Arial" w:hAnsi="Arial"/>
                <w:sz w:val="18"/>
                <w:szCs w:val="18"/>
                <w:color w:val="auto"/>
              </w:rPr>
              <w:t>15. Achieve hiring plan for 8 key</w:t>
            </w:r>
          </w:p>
        </w:tc>
        <w:tc>
          <w:tcPr>
            <w:tcW w:w="2460" w:type="dxa"/>
            <w:vAlign w:val="bottom"/>
            <w:gridSpan w:val="3"/>
          </w:tcPr>
          <w:p>
            <w:pPr>
              <w:jc w:val="center"/>
              <w:ind w:left="172"/>
              <w:spacing w:after="0" w:line="182" w:lineRule="exact"/>
              <w:rPr>
                <w:sz w:val="20"/>
                <w:szCs w:val="20"/>
                <w:color w:val="auto"/>
              </w:rPr>
            </w:pPr>
            <w:r>
              <w:rPr>
                <w:rFonts w:ascii="Arial" w:cs="Arial" w:eastAsia="Arial" w:hAnsi="Arial"/>
                <w:sz w:val="18"/>
                <w:szCs w:val="18"/>
                <w:color w:val="auto"/>
                <w:w w:val="90"/>
              </w:rPr>
              <w:t>Hire 7 of the 8 positions by</w:t>
            </w:r>
          </w:p>
        </w:tc>
        <w:tc>
          <w:tcPr>
            <w:tcW w:w="1860" w:type="dxa"/>
            <w:vAlign w:val="bottom"/>
            <w:gridSpan w:val="3"/>
          </w:tcPr>
          <w:p>
            <w:pPr>
              <w:jc w:val="center"/>
              <w:ind w:left="72"/>
              <w:spacing w:after="0" w:line="182" w:lineRule="exact"/>
              <w:rPr>
                <w:sz w:val="20"/>
                <w:szCs w:val="20"/>
                <w:color w:val="auto"/>
              </w:rPr>
            </w:pPr>
            <w:r>
              <w:rPr>
                <w:rFonts w:ascii="Arial" w:cs="Arial" w:eastAsia="Arial" w:hAnsi="Arial"/>
                <w:sz w:val="18"/>
                <w:szCs w:val="18"/>
                <w:color w:val="auto"/>
                <w:w w:val="89"/>
              </w:rPr>
              <w:t>Hire 8 of the 8 positions</w:t>
            </w:r>
          </w:p>
        </w:tc>
      </w:tr>
      <w:tr>
        <w:trPr>
          <w:trHeight w:val="222"/>
        </w:trPr>
        <w:tc>
          <w:tcPr>
            <w:tcW w:w="2720" w:type="dxa"/>
            <w:vAlign w:val="bottom"/>
            <w:gridSpan w:val="3"/>
          </w:tcPr>
          <w:p>
            <w:pPr>
              <w:ind w:left="220"/>
              <w:spacing w:after="0"/>
              <w:rPr>
                <w:sz w:val="20"/>
                <w:szCs w:val="20"/>
                <w:color w:val="auto"/>
              </w:rPr>
            </w:pPr>
            <w:r>
              <w:rPr>
                <w:rFonts w:ascii="Arial" w:cs="Arial" w:eastAsia="Arial" w:hAnsi="Arial"/>
                <w:sz w:val="18"/>
                <w:szCs w:val="18"/>
                <w:color w:val="auto"/>
              </w:rPr>
              <w:t>priority positions</w:t>
            </w:r>
          </w:p>
        </w:tc>
        <w:tc>
          <w:tcPr>
            <w:tcW w:w="2460" w:type="dxa"/>
            <w:vAlign w:val="bottom"/>
            <w:gridSpan w:val="3"/>
          </w:tcPr>
          <w:p>
            <w:pPr>
              <w:jc w:val="center"/>
              <w:ind w:left="152"/>
              <w:spacing w:after="0"/>
              <w:rPr>
                <w:sz w:val="20"/>
                <w:szCs w:val="20"/>
                <w:color w:val="auto"/>
              </w:rPr>
            </w:pPr>
            <w:r>
              <w:rPr>
                <w:rFonts w:ascii="Arial" w:cs="Arial" w:eastAsia="Arial" w:hAnsi="Arial"/>
                <w:sz w:val="18"/>
                <w:szCs w:val="18"/>
                <w:color w:val="auto"/>
                <w:w w:val="87"/>
              </w:rPr>
              <w:t>December 31, 2011</w:t>
            </w:r>
          </w:p>
        </w:tc>
        <w:tc>
          <w:tcPr>
            <w:tcW w:w="1860" w:type="dxa"/>
            <w:vAlign w:val="bottom"/>
            <w:gridSpan w:val="3"/>
          </w:tcPr>
          <w:p>
            <w:pPr>
              <w:jc w:val="center"/>
              <w:ind w:left="72"/>
              <w:spacing w:after="0"/>
              <w:rPr>
                <w:sz w:val="20"/>
                <w:szCs w:val="20"/>
                <w:color w:val="auto"/>
              </w:rPr>
            </w:pPr>
            <w:r>
              <w:rPr>
                <w:rFonts w:ascii="Arial" w:cs="Arial" w:eastAsia="Arial" w:hAnsi="Arial"/>
                <w:sz w:val="18"/>
                <w:szCs w:val="18"/>
                <w:color w:val="auto"/>
                <w:w w:val="86"/>
              </w:rPr>
              <w:t>by December 31, 2011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81"/>
        </w:trPr>
        <w:tc>
          <w:tcPr>
            <w:tcW w:w="2540" w:type="dxa"/>
            <w:vAlign w:val="bottom"/>
            <w:gridSpan w:val="3"/>
          </w:tcPr>
          <w:p>
            <w:pPr>
              <w:jc w:val="center"/>
              <w:ind w:right="840"/>
              <w:spacing w:after="0" w:line="182" w:lineRule="exact"/>
              <w:rPr>
                <w:sz w:val="20"/>
                <w:szCs w:val="20"/>
                <w:color w:val="auto"/>
              </w:rPr>
            </w:pPr>
            <w:r>
              <w:rPr>
                <w:rFonts w:ascii="Arial" w:cs="Arial" w:eastAsia="Arial" w:hAnsi="Arial"/>
                <w:sz w:val="18"/>
                <w:szCs w:val="18"/>
                <w:color w:val="auto"/>
                <w:w w:val="89"/>
              </w:rPr>
              <w:t>Hire 8 of the 8 positions</w:t>
            </w:r>
          </w:p>
        </w:tc>
        <w:tc>
          <w:tcPr>
            <w:tcW w:w="940" w:type="dxa"/>
            <w:vAlign w:val="bottom"/>
          </w:tcPr>
          <w:p>
            <w:pPr>
              <w:ind w:left="240"/>
              <w:spacing w:after="0" w:line="182" w:lineRule="exact"/>
              <w:rPr>
                <w:sz w:val="20"/>
                <w:szCs w:val="20"/>
                <w:color w:val="auto"/>
              </w:rPr>
            </w:pPr>
            <w:r>
              <w:rPr>
                <w:rFonts w:ascii="Arial" w:cs="Arial" w:eastAsia="Arial" w:hAnsi="Arial"/>
                <w:sz w:val="18"/>
                <w:szCs w:val="18"/>
                <w:color w:val="auto"/>
              </w:rPr>
              <w:t>Target</w:t>
            </w:r>
          </w:p>
        </w:tc>
      </w:tr>
      <w:tr>
        <w:trPr>
          <w:trHeight w:val="222"/>
        </w:trPr>
        <w:tc>
          <w:tcPr>
            <w:tcW w:w="2540" w:type="dxa"/>
            <w:vAlign w:val="bottom"/>
            <w:gridSpan w:val="3"/>
          </w:tcPr>
          <w:p>
            <w:pPr>
              <w:jc w:val="center"/>
              <w:ind w:right="840"/>
              <w:spacing w:after="0"/>
              <w:rPr>
                <w:sz w:val="20"/>
                <w:szCs w:val="20"/>
                <w:color w:val="auto"/>
              </w:rPr>
            </w:pPr>
            <w:r>
              <w:rPr>
                <w:rFonts w:ascii="Arial" w:cs="Arial" w:eastAsia="Arial" w:hAnsi="Arial"/>
                <w:sz w:val="18"/>
                <w:szCs w:val="18"/>
                <w:color w:val="auto"/>
                <w:w w:val="86"/>
              </w:rPr>
              <w:t>by September 30, 2011</w:t>
            </w:r>
          </w:p>
        </w:tc>
        <w:tc>
          <w:tcPr>
            <w:tcW w:w="940" w:type="dxa"/>
            <w:vAlign w:val="bottom"/>
          </w:tcPr>
          <w:p>
            <w:pPr>
              <w:spacing w:after="0"/>
              <w:rPr>
                <w:sz w:val="19"/>
                <w:szCs w:val="19"/>
                <w:color w:val="auto"/>
              </w:rPr>
            </w:pPr>
          </w:p>
        </w:tc>
      </w:tr>
    </w:tbl>
    <w:p>
      <w:pPr>
        <w:spacing w:after="0" w:line="156" w:lineRule="exact"/>
        <w:rPr>
          <w:sz w:val="20"/>
          <w:szCs w:val="20"/>
          <w:color w:val="auto"/>
        </w:rPr>
      </w:pPr>
    </w:p>
    <w:p>
      <w:pPr>
        <w:sectPr>
          <w:pgSz w:w="11900" w:h="16838" w:orient="portrait"/>
          <w:cols w:equalWidth="0" w:num="2">
            <w:col w:w="7040" w:space="460"/>
            <w:col w:w="3900"/>
          </w:cols>
          <w:pgMar w:left="240" w:top="274" w:right="259" w:bottom="1440" w:gutter="0" w:footer="0" w:header="0"/>
          <w:type w:val="continuous"/>
        </w:sectPr>
      </w:pPr>
    </w:p>
    <w:p>
      <w:pPr>
        <w:ind w:right="120"/>
        <w:spacing w:after="0" w:line="298" w:lineRule="auto"/>
        <w:rPr>
          <w:sz w:val="20"/>
          <w:szCs w:val="20"/>
          <w:color w:val="auto"/>
        </w:rPr>
      </w:pPr>
      <w:r>
        <w:rPr>
          <w:rFonts w:ascii="Arial" w:cs="Arial" w:eastAsia="Arial" w:hAnsi="Arial"/>
          <w:sz w:val="16"/>
          <w:szCs w:val="16"/>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 scorecard (80%) (of which 50% or more is weighted on Corporate Financial Objectives), and (ii) a performance appraisal (20%).</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reviewed with senior management on a quarterly basis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2011 personal scorecards for our Chief Executive Officer and other named executive officers and their corresponding levels of achievement are as follows:</w:t>
      </w:r>
    </w:p>
    <w:p>
      <w:pPr>
        <w:sectPr>
          <w:pgSz w:w="11900" w:h="16838" w:orient="portrait"/>
          <w:cols w:equalWidth="0" w:num="1">
            <w:col w:w="11420"/>
          </w:cols>
          <w:pgMar w:left="240" w:top="280" w:right="239" w:bottom="1440" w:gutter="0" w:footer="0" w:header="0"/>
        </w:sectPr>
      </w:pPr>
    </w:p>
    <w:p>
      <w:pPr>
        <w:spacing w:after="0" w:line="390" w:lineRule="exact"/>
        <w:rPr>
          <w:sz w:val="20"/>
          <w:szCs w:val="20"/>
          <w:color w:val="auto"/>
        </w:rPr>
      </w:pPr>
    </w:p>
    <w:p>
      <w:pPr>
        <w:jc w:val="right"/>
        <w:ind w:right="1040"/>
        <w:spacing w:after="0"/>
        <w:rPr>
          <w:sz w:val="20"/>
          <w:szCs w:val="20"/>
          <w:color w:val="auto"/>
        </w:rPr>
      </w:pPr>
      <w:r>
        <w:rPr>
          <w:rFonts w:ascii="Arial" w:cs="Arial" w:eastAsia="Arial" w:hAnsi="Arial"/>
          <w:sz w:val="14"/>
          <w:szCs w:val="14"/>
          <w:b w:val="1"/>
          <w:bCs w:val="1"/>
          <w:u w:val="single" w:color="auto"/>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William B. Shepro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Robert D. Stiles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914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33.3%</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33.3%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33.3%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25.0%</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37.5%</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37.5%</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25.0%</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37.5%</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37.5%</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ind w:left="360"/>
              <w:spacing w:after="0"/>
              <w:rPr>
                <w:sz w:val="20"/>
                <w:szCs w:val="20"/>
                <w:color w:val="auto"/>
              </w:rPr>
            </w:pPr>
            <w:r>
              <w:rPr>
                <w:rFonts w:ascii="Arial" w:cs="Arial" w:eastAsia="Arial" w:hAnsi="Arial"/>
                <w:sz w:val="14"/>
                <w:szCs w:val="14"/>
                <w:b w:val="1"/>
                <w:bCs w:val="1"/>
                <w:color w:val="auto"/>
              </w:rPr>
              <w:t>2011 Scorecard</w:t>
            </w:r>
          </w:p>
        </w:tc>
        <w:tc>
          <w:tcPr>
            <w:tcW w:w="3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16"/>
              <w:spacing w:after="0"/>
              <w:rPr>
                <w:sz w:val="20"/>
                <w:szCs w:val="20"/>
                <w:color w:val="auto"/>
              </w:rPr>
            </w:pPr>
            <w:r>
              <w:rPr>
                <w:rFonts w:ascii="Arial" w:cs="Arial" w:eastAsia="Arial" w:hAnsi="Arial"/>
                <w:sz w:val="14"/>
                <w:szCs w:val="14"/>
                <w:b w:val="1"/>
                <w:bCs w:val="1"/>
                <w:color w:val="auto"/>
                <w:w w:val="85"/>
              </w:rPr>
              <w:t>Levels of Achievement</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r>
      <w:tr>
        <w:trPr>
          <w:trHeight w:val="142"/>
        </w:trPr>
        <w:tc>
          <w:tcPr>
            <w:tcW w:w="1580" w:type="dxa"/>
            <w:vAlign w:val="bottom"/>
          </w:tcPr>
          <w:p>
            <w:pPr>
              <w:ind w:left="520"/>
              <w:spacing w:after="0" w:line="142" w:lineRule="exact"/>
              <w:rPr>
                <w:sz w:val="20"/>
                <w:szCs w:val="20"/>
                <w:color w:val="auto"/>
              </w:rPr>
            </w:pPr>
            <w:r>
              <w:rPr>
                <w:rFonts w:ascii="Arial" w:cs="Arial" w:eastAsia="Arial" w:hAnsi="Arial"/>
                <w:sz w:val="14"/>
                <w:szCs w:val="14"/>
                <w:b w:val="1"/>
                <w:bCs w:val="1"/>
                <w:color w:val="auto"/>
              </w:rPr>
              <w:t>Elements</w:t>
            </w:r>
          </w:p>
        </w:tc>
        <w:tc>
          <w:tcPr>
            <w:tcW w:w="3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Threshold</w:t>
            </w:r>
          </w:p>
        </w:tc>
        <w:tc>
          <w:tcPr>
            <w:tcW w:w="34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Achieved</w:t>
            </w:r>
          </w:p>
        </w:tc>
      </w:tr>
      <w:tr>
        <w:trPr>
          <w:trHeight w:val="201"/>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Achieve Service</w:t>
            </w:r>
          </w:p>
        </w:tc>
        <w:tc>
          <w:tcPr>
            <w:tcW w:w="340" w:type="dxa"/>
            <w:vAlign w:val="bottom"/>
          </w:tcPr>
          <w:p>
            <w:pPr>
              <w:spacing w:after="0"/>
              <w:rPr>
                <w:sz w:val="17"/>
                <w:szCs w:val="17"/>
                <w:color w:val="auto"/>
              </w:rPr>
            </w:pPr>
          </w:p>
        </w:tc>
        <w:tc>
          <w:tcPr>
            <w:tcW w:w="1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$285.0 million</w:t>
            </w:r>
          </w:p>
        </w:tc>
        <w:tc>
          <w:tcPr>
            <w:tcW w:w="34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$335.0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$385.0 million</w:t>
            </w:r>
          </w:p>
        </w:tc>
        <w:tc>
          <w:tcPr>
            <w:tcW w:w="34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$334.8</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Revenue Target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million</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million</w:t>
            </w:r>
          </w:p>
        </w:tc>
      </w:tr>
      <w:tr>
        <w:trPr>
          <w:trHeight w:val="291"/>
        </w:trPr>
        <w:tc>
          <w:tcPr>
            <w:tcW w:w="1580" w:type="dxa"/>
            <w:vAlign w:val="bottom"/>
          </w:tcPr>
          <w:p>
            <w:pPr>
              <w:spacing w:after="0"/>
              <w:rPr>
                <w:sz w:val="20"/>
                <w:szCs w:val="20"/>
                <w:color w:val="auto"/>
              </w:rPr>
            </w:pPr>
            <w:r>
              <w:rPr>
                <w:rFonts w:ascii="Arial" w:cs="Arial" w:eastAsia="Arial" w:hAnsi="Arial"/>
                <w:sz w:val="18"/>
                <w:szCs w:val="18"/>
                <w:color w:val="auto"/>
                <w:w w:val="96"/>
              </w:rPr>
              <w:t>Achieve EPS Target</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$2.15 diluted</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$2.53 diluted</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$2.91 diluted</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$2.77 diluted</w:t>
            </w:r>
          </w:p>
        </w:tc>
      </w:tr>
      <w:tr>
        <w:trPr>
          <w:trHeight w:val="222"/>
        </w:trPr>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EPS</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EPS</w:t>
            </w: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87"/>
              </w:rPr>
              <w:t>Successfully complete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Weighted</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Weighted</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the key strategic</w:t>
            </w: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Average of</w:t>
            </w:r>
          </w:p>
        </w:tc>
        <w:tc>
          <w:tcPr>
            <w:tcW w:w="3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 of</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Average of</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initiatives of the</w:t>
            </w: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40% for</w:t>
            </w:r>
          </w:p>
        </w:tc>
        <w:tc>
          <w:tcPr>
            <w:tcW w:w="3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80% for</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100% for</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Achievement</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Strategic</w:t>
            </w:r>
          </w:p>
        </w:tc>
        <w:tc>
          <w:tcPr>
            <w:tcW w:w="3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Strategic</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Strategic</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of 100.6%</w:t>
            </w:r>
          </w:p>
        </w:tc>
      </w:tr>
      <w:tr>
        <w:trPr>
          <w:trHeight w:val="216"/>
        </w:trPr>
        <w:tc>
          <w:tcPr>
            <w:tcW w:w="1580" w:type="dxa"/>
            <w:vAlign w:val="bottom"/>
          </w:tcPr>
          <w:p>
            <w:pPr>
              <w:spacing w:after="0"/>
              <w:rPr>
                <w:sz w:val="18"/>
                <w:szCs w:val="18"/>
                <w:color w:val="auto"/>
              </w:rPr>
            </w:pP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Initiatives 1, 2,</w:t>
            </w: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Initiatives 1,</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Initiatives 1, 2,</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40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3, 10, 11, 12,</w:t>
            </w:r>
          </w:p>
        </w:tc>
        <w:tc>
          <w:tcPr>
            <w:tcW w:w="1380" w:type="dxa"/>
            <w:vAlign w:val="bottom"/>
            <w:gridSpan w:val="2"/>
          </w:tcPr>
          <w:p>
            <w:pPr>
              <w:jc w:val="center"/>
              <w:ind w:left="236"/>
              <w:spacing w:after="0"/>
              <w:rPr>
                <w:sz w:val="20"/>
                <w:szCs w:val="20"/>
                <w:color w:val="auto"/>
              </w:rPr>
            </w:pPr>
            <w:r>
              <w:rPr>
                <w:rFonts w:ascii="Arial" w:cs="Arial" w:eastAsia="Arial" w:hAnsi="Arial"/>
                <w:sz w:val="18"/>
                <w:szCs w:val="18"/>
                <w:color w:val="auto"/>
                <w:w w:val="86"/>
              </w:rPr>
              <w:t>2, 3, 10, 11,</w:t>
            </w:r>
          </w:p>
        </w:tc>
        <w:tc>
          <w:tcPr>
            <w:tcW w:w="220" w:type="dxa"/>
            <w:vAlign w:val="bottom"/>
          </w:tcPr>
          <w:p>
            <w:pPr>
              <w:spacing w:after="0"/>
              <w:rPr>
                <w:sz w:val="18"/>
                <w:szCs w:val="18"/>
                <w:color w:val="auto"/>
              </w:rPr>
            </w:pPr>
          </w:p>
        </w:tc>
        <w:tc>
          <w:tcPr>
            <w:tcW w:w="11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3, 10, 11, 12,</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14</w:t>
            </w:r>
          </w:p>
        </w:tc>
        <w:tc>
          <w:tcPr>
            <w:tcW w:w="1380" w:type="dxa"/>
            <w:vAlign w:val="bottom"/>
            <w:gridSpan w:val="2"/>
          </w:tcPr>
          <w:p>
            <w:pPr>
              <w:jc w:val="center"/>
              <w:ind w:left="256"/>
              <w:spacing w:after="0"/>
              <w:rPr>
                <w:sz w:val="20"/>
                <w:szCs w:val="20"/>
                <w:color w:val="auto"/>
              </w:rPr>
            </w:pPr>
            <w:r>
              <w:rPr>
                <w:rFonts w:ascii="Arial" w:cs="Arial" w:eastAsia="Arial" w:hAnsi="Arial"/>
                <w:sz w:val="18"/>
                <w:szCs w:val="18"/>
                <w:color w:val="auto"/>
                <w:w w:val="87"/>
              </w:rPr>
              <w:t>12, 14</w:t>
            </w:r>
          </w:p>
        </w:tc>
        <w:tc>
          <w:tcPr>
            <w:tcW w:w="220" w:type="dxa"/>
            <w:vAlign w:val="bottom"/>
          </w:tcPr>
          <w:p>
            <w:pPr>
              <w:spacing w:after="0"/>
              <w:rPr>
                <w:sz w:val="19"/>
                <w:szCs w:val="19"/>
                <w:color w:val="auto"/>
              </w:rPr>
            </w:pP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14</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Achieve Service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$285.0 million</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$335.0 million</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$385.0 million</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$334.8 million</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Revenue Target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96"/>
              </w:rPr>
              <w:t>Achieve EPS Target</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$2.15 diluted</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$2.53 diluted</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$2.91 diluted</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$2.77 diluted</w:t>
            </w:r>
          </w:p>
        </w:tc>
      </w:tr>
      <w:tr>
        <w:trPr>
          <w:trHeight w:val="222"/>
        </w:trPr>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EPS</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EPS</w:t>
            </w: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87"/>
              </w:rPr>
              <w:t>Successfully complete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34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See Strategic</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the key strategic</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Initiatives 4, 6,</w:t>
            </w: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Initiatives 4,</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Initiatives 4, 6,</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initiatives of the</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7, 8, 9, 10,</w:t>
            </w:r>
          </w:p>
        </w:tc>
        <w:tc>
          <w:tcPr>
            <w:tcW w:w="1380" w:type="dxa"/>
            <w:vAlign w:val="bottom"/>
            <w:gridSpan w:val="2"/>
          </w:tcPr>
          <w:p>
            <w:pPr>
              <w:jc w:val="center"/>
              <w:ind w:left="256"/>
              <w:spacing w:after="0"/>
              <w:rPr>
                <w:sz w:val="20"/>
                <w:szCs w:val="20"/>
                <w:color w:val="auto"/>
              </w:rPr>
            </w:pPr>
            <w:r>
              <w:rPr>
                <w:rFonts w:ascii="Arial" w:cs="Arial" w:eastAsia="Arial" w:hAnsi="Arial"/>
                <w:sz w:val="18"/>
                <w:szCs w:val="18"/>
                <w:color w:val="auto"/>
                <w:w w:val="87"/>
              </w:rPr>
              <w:t>6, 7, 8, 9, 10,</w:t>
            </w:r>
          </w:p>
        </w:tc>
        <w:tc>
          <w:tcPr>
            <w:tcW w:w="220" w:type="dxa"/>
            <w:vAlign w:val="bottom"/>
          </w:tcPr>
          <w:p>
            <w:pPr>
              <w:spacing w:after="0"/>
              <w:rPr>
                <w:sz w:val="18"/>
                <w:szCs w:val="18"/>
                <w:color w:val="auto"/>
              </w:rPr>
            </w:pP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6"/>
              </w:rPr>
              <w:t>7, 8, 9, 10,</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Achievement</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13B, 15</w:t>
            </w: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13B, 15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13B, 15</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of 132.5%</w:t>
            </w:r>
          </w:p>
        </w:tc>
      </w:tr>
      <w:tr>
        <w:trPr>
          <w:trHeight w:val="412"/>
        </w:trPr>
        <w:tc>
          <w:tcPr>
            <w:tcW w:w="1580" w:type="dxa"/>
            <w:vAlign w:val="bottom"/>
          </w:tcPr>
          <w:p>
            <w:pPr>
              <w:spacing w:after="0"/>
              <w:rPr>
                <w:sz w:val="20"/>
                <w:szCs w:val="20"/>
                <w:color w:val="auto"/>
              </w:rPr>
            </w:pPr>
            <w:r>
              <w:rPr>
                <w:rFonts w:ascii="Arial" w:cs="Arial" w:eastAsia="Arial" w:hAnsi="Arial"/>
                <w:sz w:val="18"/>
                <w:szCs w:val="18"/>
                <w:color w:val="auto"/>
              </w:rPr>
              <w:t>Achieve Corporate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$285.0 million</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$335.0 million</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$385.0 million</w:t>
            </w:r>
          </w:p>
        </w:tc>
        <w:tc>
          <w:tcPr>
            <w:tcW w:w="138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$334.8</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Service Revenue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million</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Target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96"/>
              </w:rPr>
              <w:t>Achieve EPS Target</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$2.15 diluted</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$2.53 diluted</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$2.91 diluted</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$2.77 diluted</w:t>
            </w:r>
          </w:p>
        </w:tc>
      </w:tr>
      <w:tr>
        <w:trPr>
          <w:trHeight w:val="222"/>
        </w:trPr>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EPS</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EPS</w:t>
            </w: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87"/>
              </w:rPr>
              <w:t>Successfully complete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34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See Strategic</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the key strategic</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Initiatives 4, 5,</w:t>
            </w: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Initiatives 4,</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Initiatives 4, 5,</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initiatives of the</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9, 14</w:t>
            </w:r>
          </w:p>
        </w:tc>
        <w:tc>
          <w:tcPr>
            <w:tcW w:w="1380" w:type="dxa"/>
            <w:vAlign w:val="bottom"/>
            <w:gridSpan w:val="2"/>
          </w:tcPr>
          <w:p>
            <w:pPr>
              <w:jc w:val="center"/>
              <w:ind w:left="236"/>
              <w:spacing w:after="0"/>
              <w:rPr>
                <w:sz w:val="20"/>
                <w:szCs w:val="20"/>
                <w:color w:val="auto"/>
              </w:rPr>
            </w:pPr>
            <w:r>
              <w:rPr>
                <w:rFonts w:ascii="Arial" w:cs="Arial" w:eastAsia="Arial" w:hAnsi="Arial"/>
                <w:sz w:val="18"/>
                <w:szCs w:val="18"/>
                <w:color w:val="auto"/>
                <w:w w:val="89"/>
              </w:rPr>
              <w:t>5, 9, 14</w:t>
            </w:r>
          </w:p>
        </w:tc>
        <w:tc>
          <w:tcPr>
            <w:tcW w:w="220" w:type="dxa"/>
            <w:vAlign w:val="bottom"/>
          </w:tcPr>
          <w:p>
            <w:pPr>
              <w:spacing w:after="0"/>
              <w:rPr>
                <w:sz w:val="18"/>
                <w:szCs w:val="18"/>
                <w:color w:val="auto"/>
              </w:rPr>
            </w:pPr>
          </w:p>
        </w:tc>
        <w:tc>
          <w:tcPr>
            <w:tcW w:w="116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9, 14</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Achievement</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of 110.0%</w:t>
            </w:r>
          </w:p>
        </w:tc>
      </w:tr>
    </w:tbl>
    <w:p>
      <w:pPr>
        <w:spacing w:after="0" w:line="169" w:lineRule="exact"/>
        <w:rPr>
          <w:sz w:val="20"/>
          <w:szCs w:val="20"/>
          <w:color w:val="auto"/>
        </w:rPr>
      </w:pPr>
    </w:p>
    <w:p>
      <w:pPr>
        <w:sectPr>
          <w:pgSz w:w="11900" w:h="16838" w:orient="portrait"/>
          <w:cols w:equalWidth="0" w:num="3">
            <w:col w:w="2800" w:space="720"/>
            <w:col w:w="460" w:space="320"/>
            <w:col w:w="7120"/>
          </w:cols>
          <w:pgMar w:left="240" w:top="280" w:right="239" w:bottom="1440" w:gutter="0" w:footer="0" w:header="0"/>
          <w:type w:val="continuous"/>
        </w:sectPr>
      </w:pPr>
    </w:p>
    <w:p>
      <w:pPr>
        <w:ind w:right="80"/>
        <w:spacing w:after="0" w:line="255" w:lineRule="auto"/>
        <w:rPr>
          <w:sz w:val="20"/>
          <w:szCs w:val="20"/>
          <w:color w:val="auto"/>
        </w:rPr>
      </w:pPr>
      <w:r>
        <w:rPr>
          <w:rFonts w:ascii="Arial" w:cs="Arial" w:eastAsia="Arial" w:hAnsi="Arial"/>
          <w:sz w:val="18"/>
          <w:szCs w:val="18"/>
          <w:color w:val="auto"/>
        </w:rPr>
        <w:t>Executives have 20% of their incentive compensation determined by their performance appraisal for the service year. Each of our executive officers performs a self-assessment as to his or her performance against his or her goals for the applicable year. Our Chief Executive Officer utilizes these assessments, as well as his or her own observations to prepare a written performance appraisal for each of the other executive officers. These performance appraisals rate performance on objective criteria related to two key factors: (i) the executive’s ability to improve and develop their organization throughout the year, and (ii) the executive’s strategic contributions to the direction of the Company.</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Chief Executive Officer’s scorecard performance and personal performance appraisal are determined by the Compensation Committee in consultation with the Chairman taking into consideration whether the Company’s performance and corresponding incentive results present a fair representation of the Chief Executive Officer’s performance.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type w:val="continuous"/>
        </w:sectPr>
      </w:pPr>
    </w:p>
    <w:bookmarkStart w:id="26" w:name="page27"/>
    <w:bookmarkEnd w:id="2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our executives other than the Chief Executive Officer, the Chief Executive Officer, in conjunction with the Chief Administration Officer, presents the personal scorecard performance and the performance appraisal scores to the Compensation Committee and makes recommendations as to the incentive compensation for each executive officer.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2011, incentive compensation was awarded accordingly. Please see the Summary Compensation Table under Executive Compensation for the actual amounts awarded in 2011.</w:t>
      </w:r>
    </w:p>
    <w:p>
      <w:pPr>
        <w:spacing w:after="0" w:line="120"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Generally, at the first Board of Directors meeting of the fiscal year, the Compensation Committee approves the corporate scorecard and annual incentive components for the Chief Executive Officer and other executives for the upcoming year. Key performance indicators for the Company for 2012 have been developed.</w:t>
      </w:r>
    </w:p>
    <w:p>
      <w:pPr>
        <w:spacing w:after="0" w:line="14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corporate scorecard for 2012 includes achieving an overall revenue target, achieving business segment specific revenue and pre-tax income targets and increasing earnings per share. In addition, the corporate scorecard provides for successful completion of strategic initiatives established to enhance long-term corporate and shareholder value.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2012 corporate strategic initiatives relate to:</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Improving performance through operational effectiveness and efficiency;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Diversifying our revenue and customer base;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Developing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our executive compensation programs are effectively designed and working well in alignment with the interests of our shareholders and are instrumental to achieving our business strategy. In determining executive compensation for fiscal year 2011, our Compensation Committee considered the overwhelming shareholder support that the “Say-on-Pay” proposal received at our May 18, 2011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w:t>
      </w:r>
    </w:p>
    <w:p>
      <w:pPr>
        <w:spacing w:after="0" w:line="8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Compensation Committee most recently conducted benchmarking through an independent compensation consultant, Exequity LLP (“Exequity”), in the fourth quarter of 2010 and first quarter of 2011. The consultant assisted the Compensation Committee in reviewing the compensation levels for our named executive officers and Directors.</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Exequity conducted an analysis of our named executive officer and director compensation levels compared to pay levels among our peer companies to help identify the competitive positioning of our pay practices. All information was obtained from publicly available proxy disclosures and included base salary, cash incentive compensation and long-term equity incentive compensation.</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Compensation Committee believes this methodology of peer group benchmarking provides a fair representation of the competitive arena for executive talent and is an effective approach to setting compensation levels to ensure that the Company’s pay practices allow it to attract and retain executive employees of the highest quality.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7" w:name="page28"/>
    <w:bookmarkEnd w:id="27"/>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benchmarking, performance, retention and other relevant considerations, the Compensation Committee reviewed recommendations and determined appropriate base salary and annual incentive compensation targets for the Chief Executive Officer and other named executive officers.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under Luxembourg law, all salaries are required to be adapted based upon the cost of living index in the Grand Duchy of Luxembourg. On July 1, 2010 and on October 1, 2011 there was a required 2.5% increase in all salaries pursuant to this law and our Chief Executive Officer and named executive officers’ salaries were adjusted accordingly.</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 changes to Chief Executive Officer’s or named executive officers’ compensation are recommended for 2012 other than any legally mandated adjustments pursuant to Luxembourg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Compensation Committee, in cooperation with senior management, implemented the 2009 Equity Incentive Plan.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award of restricted stock, options, stock appreciation rights, stock purchase rights or other equity-based awards to our employees. Options awarded under the 2009 Equity Incentive Plan may be either “incentive stock options” as defined in Section 422 of the Internal Revenue Code of 1986, as amended (the “Code”), or nonqualified stock options, as determined by the Compensation Committee.</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w:t>
      </w:r>
    </w:p>
    <w:p>
      <w:pPr>
        <w:spacing w:after="0" w:line="107"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Based upon a review of current outstanding awards, and finding that these awards adequately meet the objectives of our compensation philosophy, no equity awards were granted to our Chief Executive Officer or other named executives pursuant to the 2009 Equity Incentive Plan during the 2011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retain and to align their interests with the interests of our shareholders. The Compensation Committee believes that the Company’s various equity incentive plans are adequate to achieve this philosophy. We also maintain a management directive detailing our trading window period policy for Directors, executive officers and other employees and our insider trading policy.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our executive officers, that are comparable to benefits offered by companies of a similar size to ours. A competitive comprehensive benefit program is essential to achieving the goal of attracting and retaining highly qualified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Below is a description of the amounts payable to each named executive officer assuming the executive’s employment had terminated under various scenarios, or a change of control had occurred, on December 30, 2011 (the last business day of fiscal year 2011). Due to the number of factors that affect the nature and amount of any benefits under the various scenarios, actual amounts paid or distributed may be different.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8" w:name="page29"/>
    <w:bookmarkEnd w:id="28"/>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noted above, our Chief Executive Officer, Chief Financial Officer and Chief Administration Officer and General Counsel have entered into employment agreements with the Company. Under these agreements, if employment is terminated by the executive’s retirement or disability, as defined therein, the Company will pay all standard relocation costs to relocate the officer to the United States. If the Company terminates the employment of the officer other than for “cause” and, in some instances, where employment is terminated for “good reason” by the officer, the Company is obligated to make a cash payment of between four and twelve months’ salary. In the case of the Chief Executive Officer and Chief Administration Officer, the Company will be obligated to pay one year’s target incentive compensation in such instance. In these instances, the Company will also pay all standard relocation costs to relocate the named executive officer to the United States. If the named executive officer is terminated by the Company for “cause”, the Company may terminate without notice and with no liability to make any further payment to the executive, other than amounts accrued and unpaid at the date of termination.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named executive officers have options granted pursuant to the 2009 Equity Incentive Plan. A portion of the options vest over time in equal installments (the “Service-based Options”), and the remaining options will vest based on applicable Company performance (the “Market-based Options”). Upon termination of an executive officer’s employment other than for cause, the executive officer would be entitled to retain any vested portion of prior equity awards granted. Generally, for termination not due to death, disability or retirement, the executive officer has six (6) months within which to exercise stock options pursuant to our stock option agreements. Any portion of an equity award not vested will be forfeited in any circumstance unless alternate arrangements are made in the discretion of the Compensation Committee. Furthermore, pursuant to each stock option agreement granting an equity award, upon termination of an executive for cause, all outstanding stock options awarded pursuant to such stock option agreement are forfeited.</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Certain of the stock option agreements provide for accelerated vesting as set forth below. Upon a named executive officer’s retirement, disability, death, termination by the Company without “cause” or termination by the named executive officer for “good reason,” all Service-based Options will immediately vest. Additionally, pursuant to these certain agreements, if there is a “change of control event,” as defined in the applicable stock option agreement, all options, including Service-based Options and Market-based Options, will vest.</w:t>
      </w:r>
    </w:p>
    <w:p>
      <w:pPr>
        <w:spacing w:after="0" w:line="143"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Upon his retirement, disability, death, termination by the Company without “cause” or termination by Mr. Shepro for “good reason,” Mr. Shepro would receive $1,838,242 from the accelerated vesting of options. Upon a “change in control,” Mr. Shepro would receive $6,911,549 from the accelerated vesting of options.</w:t>
      </w:r>
    </w:p>
    <w:p>
      <w:pPr>
        <w:spacing w:after="0" w:line="85"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Upon his retirement, disability, death, termination by the Company without “cause” or termination by Mr. Wilcox for “good reason,” Mr. Wilcox would receive $1,094,765 from the accelerated vesting of options. Upon a “change in control,” Mr. Wilcox would receive $4,334,057 from the accelerated vesting of options.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Ms. Esterman was not an employee as of December 31, 2011 and therefore would not have received any benefit from the accelerated vesting of options.</w:t>
      </w:r>
    </w:p>
    <w:p>
      <w:pPr>
        <w:spacing w:after="0" w:line="19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Mr. Stiles resigned as Chief Financial Officer effective March 1, 2012 and is no longer with the Company. In exchange for executing a separation agreement, he received a severance payment of $100,000 and was permitted to use a Company-owned car and rented apartment through March 31, 2012. Pursuant to the separation agreement, he will also receive a tax equalization and preparation payment for 2011 and 2012 consistent with past practice during the term of his employment. In addition, he will receive reimbursement for relocation expenses back to the United States, including business class airfare and movement of household goods. Mr. Stiles retained his vested options in accordance with the terms of his outstanding option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timing of compensation decisions is driven by a variety of tax considerations. Under Section 162(m) of the Code, the tax deduction by corporate taxpayers is limited with respect to the compensation of certain executive officers up to $1,000,000 per covered executive unless such compensation is based upon the attainment of performance objectives meeting certain regulatory criteria or is otherwise excluded from the limitation.</w:t>
      </w:r>
    </w:p>
    <w:p>
      <w:pPr>
        <w:spacing w:after="0" w:line="10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order to satisfy the deductibility requirements under Section 162(m) of the Code, performance objectives must be established in the first 90 days of the performance period. For annual incentive awards, this means performance objectives must be established no later than the end of March. In addition, in order to avoid being considered deferred compensation under Section 409A of the Code and to be deductible for the prior tax year, our annual incentive awards with respect to the prior year must be paid out by March 15 for employees of the Company who are U.S. taxpayers.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Compensation Committee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15 through 25 of this proxy statement with management.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spacing w:after="0"/>
        <w:tabs>
          <w:tab w:leader="none" w:pos="840" w:val="left"/>
          <w:tab w:leader="none" w:pos="6040" w:val="left"/>
        </w:tabs>
        <w:rPr>
          <w:sz w:val="20"/>
          <w:szCs w:val="20"/>
          <w:color w:val="auto"/>
        </w:rPr>
      </w:pPr>
      <w:r>
        <w:rPr>
          <w:rFonts w:ascii="Arial" w:cs="Arial" w:eastAsia="Arial" w:hAnsi="Arial"/>
          <w:sz w:val="18"/>
          <w:szCs w:val="18"/>
          <w:color w:val="auto"/>
        </w:rPr>
        <w:t>March</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Timo Vättö,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-17780</wp:posOffset>
            </wp:positionV>
            <wp:extent cx="2228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W. Michael Linn,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Roland Müller-Ineichen, Director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table discloses compensation received by our Chief Executive Officer, our Chief Financial Officer and our Chief Administration Officer and General Counsel for fiscal years 2009, 2010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Non-Equity</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color w:val="auto"/>
                <w:vertAlign w:val="superscript"/>
              </w:rPr>
              <w:t>(1)</w:t>
            </w:r>
          </w:p>
        </w:tc>
        <w:tc>
          <w:tcPr>
            <w:tcW w:w="80" w:type="dxa"/>
            <w:vAlign w:val="bottom"/>
          </w:tcPr>
          <w:p>
            <w:pPr>
              <w:spacing w:after="0"/>
              <w:rPr>
                <w:sz w:val="11"/>
                <w:szCs w:val="11"/>
                <w:color w:val="auto"/>
              </w:rPr>
            </w:pP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rPr>
              <w:t>Incentive</w:t>
            </w: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Compen-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2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color w:val="auto"/>
                <w:vertAlign w:val="superscript"/>
              </w:rPr>
              <w:t>(2)</w:t>
            </w:r>
          </w:p>
        </w:tc>
        <w:tc>
          <w:tcPr>
            <w:tcW w:w="140" w:type="dxa"/>
            <w:vAlign w:val="bottom"/>
          </w:tcPr>
          <w:p>
            <w:pPr>
              <w:spacing w:after="0"/>
              <w:rPr>
                <w:sz w:val="12"/>
                <w:szCs w:val="12"/>
                <w:color w:val="auto"/>
              </w:rPr>
            </w:pPr>
          </w:p>
        </w:tc>
        <w:tc>
          <w:tcPr>
            <w:tcW w:w="1280" w:type="dxa"/>
            <w:vAlign w:val="bottom"/>
            <w:gridSpan w:val="3"/>
          </w:tcPr>
          <w:p>
            <w:pPr>
              <w:jc w:val="right"/>
              <w:ind w:right="280"/>
              <w:spacing w:after="0" w:line="129"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4"/>
                <w:szCs w:val="14"/>
                <w:color w:val="auto"/>
                <w:vertAlign w:val="superscript"/>
              </w:rPr>
              <w:t>(3)</w:t>
            </w: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29" w:lineRule="exact"/>
              <w:rPr>
                <w:sz w:val="20"/>
                <w:szCs w:val="20"/>
                <w:color w:val="auto"/>
              </w:rPr>
            </w:pPr>
            <w:r>
              <w:rPr>
                <w:rFonts w:ascii="Arial" w:cs="Arial" w:eastAsia="Arial" w:hAnsi="Arial"/>
                <w:sz w:val="10"/>
                <w:szCs w:val="10"/>
                <w:b w:val="1"/>
                <w:bCs w:val="1"/>
                <w:color w:val="auto"/>
              </w:rPr>
              <w:t>sation</w:t>
            </w:r>
            <w:r>
              <w:rPr>
                <w:rFonts w:ascii="Arial" w:cs="Arial" w:eastAsia="Arial" w:hAnsi="Arial"/>
                <w:sz w:val="14"/>
                <w:szCs w:val="14"/>
                <w:color w:val="auto"/>
                <w:vertAlign w:val="superscript"/>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William B. Shepro</w:t>
            </w:r>
          </w:p>
        </w:tc>
        <w:tc>
          <w:tcPr>
            <w:tcW w:w="1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79"/>
              </w:rPr>
              <w:t>2009</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5"/>
              </w:rPr>
              <w:t>$383,816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853,205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221,254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1,458,275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52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2010</w:t>
            </w: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$445,471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4"/>
              </w:rPr>
              <w:t>2,892,000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994,500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86"/>
              </w:rPr>
              <w:t>106,425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4,438,396</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52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2011</w:t>
            </w: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$455,888</w:t>
            </w: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854,789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9"/>
              </w:rPr>
              <w:t>274,584</w:t>
            </w:r>
            <w:r>
              <w:rPr>
                <w:rFonts w:ascii="Arial" w:cs="Arial" w:eastAsia="Arial" w:hAnsi="Arial"/>
                <w:sz w:val="11"/>
                <w:szCs w:val="11"/>
                <w:color w:val="auto"/>
                <w:w w:val="89"/>
              </w:rPr>
              <w:t>(5)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1,585,261</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shd w:val="clear" w:color="auto" w:fill="CCEEFF"/>
          </w:tcPr>
          <w:p>
            <w:pPr>
              <w:spacing w:after="0"/>
              <w:rPr>
                <w:sz w:val="10"/>
                <w:szCs w:val="10"/>
                <w:color w:val="auto"/>
              </w:rPr>
            </w:pPr>
          </w:p>
        </w:tc>
        <w:tc>
          <w:tcPr>
            <w:tcW w:w="4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Robert D. Stiles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2009</w:t>
            </w:r>
          </w:p>
        </w:tc>
        <w:tc>
          <w:tcPr>
            <w:tcW w:w="960" w:type="dxa"/>
            <w:vAlign w:val="bottom"/>
            <w:gridSpan w:val="2"/>
          </w:tcPr>
          <w:p>
            <w:pPr>
              <w:spacing w:after="0"/>
              <w:rPr>
                <w:sz w:val="20"/>
                <w:szCs w:val="20"/>
                <w:color w:val="auto"/>
              </w:rPr>
            </w:pPr>
            <w:r>
              <w:rPr>
                <w:rFonts w:ascii="Arial" w:cs="Arial" w:eastAsia="Arial" w:hAnsi="Arial"/>
                <w:sz w:val="18"/>
                <w:szCs w:val="18"/>
                <w:color w:val="auto"/>
              </w:rPr>
              <w:t>$215,171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171,248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218,960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27,169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280" w:type="dxa"/>
            <w:vAlign w:val="bottom"/>
            <w:gridSpan w:val="2"/>
            <w:vMerge w:val="continue"/>
          </w:tcPr>
          <w:p>
            <w:pPr>
              <w:spacing w:after="0"/>
              <w:rPr>
                <w:sz w:val="8"/>
                <w:szCs w:val="8"/>
                <w:color w:val="auto"/>
              </w:rPr>
            </w:pPr>
          </w:p>
        </w:tc>
        <w:tc>
          <w:tcPr>
            <w:tcW w:w="880" w:type="dxa"/>
            <w:vAlign w:val="bottom"/>
            <w:gridSpan w:val="4"/>
            <w:vMerge w:val="restart"/>
          </w:tcPr>
          <w:p>
            <w:pPr>
              <w:ind w:left="240"/>
              <w:spacing w:after="0"/>
              <w:rPr>
                <w:sz w:val="20"/>
                <w:szCs w:val="20"/>
                <w:color w:val="auto"/>
              </w:rPr>
            </w:pPr>
            <w:r>
              <w:rPr>
                <w:rFonts w:ascii="Arial" w:cs="Arial" w:eastAsia="Arial" w:hAnsi="Arial"/>
                <w:sz w:val="18"/>
                <w:szCs w:val="18"/>
                <w:color w:val="auto"/>
              </w:rPr>
              <w:t>2010</w:t>
            </w:r>
          </w:p>
        </w:tc>
        <w:tc>
          <w:tcPr>
            <w:tcW w:w="960" w:type="dxa"/>
            <w:vAlign w:val="bottom"/>
            <w:gridSpan w:val="2"/>
            <w:vMerge w:val="restart"/>
          </w:tcPr>
          <w:p>
            <w:pPr>
              <w:spacing w:after="0"/>
              <w:rPr>
                <w:sz w:val="20"/>
                <w:szCs w:val="20"/>
                <w:color w:val="auto"/>
              </w:rPr>
            </w:pPr>
            <w:r>
              <w:rPr>
                <w:rFonts w:ascii="Arial" w:cs="Arial" w:eastAsia="Arial" w:hAnsi="Arial"/>
                <w:sz w:val="18"/>
                <w:szCs w:val="18"/>
                <w:color w:val="auto"/>
              </w:rPr>
              <w:t>$272,065</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1,960,737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243,800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56,890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84"/>
              </w:rPr>
              <w:t>2,533,492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w:t>
            </w:r>
          </w:p>
        </w:tc>
        <w:tc>
          <w:tcPr>
            <w:tcW w:w="880" w:type="dxa"/>
            <w:vAlign w:val="bottom"/>
            <w:gridSpan w:val="4"/>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280" w:type="dxa"/>
            <w:vAlign w:val="bottom"/>
            <w:gridSpan w:val="2"/>
            <w:vMerge w:val="continue"/>
          </w:tcPr>
          <w:p>
            <w:pPr>
              <w:spacing w:after="0"/>
              <w:rPr>
                <w:sz w:val="8"/>
                <w:szCs w:val="8"/>
                <w:color w:val="auto"/>
              </w:rPr>
            </w:pPr>
          </w:p>
        </w:tc>
        <w:tc>
          <w:tcPr>
            <w:tcW w:w="880" w:type="dxa"/>
            <w:vAlign w:val="bottom"/>
            <w:gridSpan w:val="4"/>
            <w:vMerge w:val="restart"/>
          </w:tcPr>
          <w:p>
            <w:pPr>
              <w:ind w:left="240"/>
              <w:spacing w:after="0"/>
              <w:rPr>
                <w:sz w:val="20"/>
                <w:szCs w:val="20"/>
                <w:color w:val="auto"/>
              </w:rPr>
            </w:pPr>
            <w:r>
              <w:rPr>
                <w:rFonts w:ascii="Arial" w:cs="Arial" w:eastAsia="Arial" w:hAnsi="Arial"/>
                <w:sz w:val="18"/>
                <w:szCs w:val="18"/>
                <w:color w:val="auto"/>
              </w:rPr>
              <w:t>2011</w:t>
            </w:r>
          </w:p>
        </w:tc>
        <w:tc>
          <w:tcPr>
            <w:tcW w:w="960" w:type="dxa"/>
            <w:vAlign w:val="bottom"/>
            <w:gridSpan w:val="2"/>
            <w:vMerge w:val="restart"/>
          </w:tcPr>
          <w:p>
            <w:pPr>
              <w:spacing w:after="0"/>
              <w:rPr>
                <w:sz w:val="20"/>
                <w:szCs w:val="20"/>
                <w:color w:val="auto"/>
              </w:rPr>
            </w:pPr>
            <w:r>
              <w:rPr>
                <w:rFonts w:ascii="Arial" w:cs="Arial" w:eastAsia="Arial" w:hAnsi="Arial"/>
                <w:sz w:val="18"/>
                <w:szCs w:val="18"/>
                <w:color w:val="auto"/>
              </w:rPr>
              <w:t>$284,672</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90,588</w:t>
            </w:r>
            <w:r>
              <w:rPr>
                <w:rFonts w:ascii="Arial" w:cs="Arial" w:eastAsia="Arial" w:hAnsi="Arial"/>
                <w:sz w:val="11"/>
                <w:szCs w:val="11"/>
                <w:color w:val="auto"/>
              </w:rPr>
              <w:t>(6)</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375,260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J. Wilcox</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$316,084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Administration Officer and</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$363,632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1,446,000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150,076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2,460,208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$375,437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425,182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131,143</w:t>
            </w:r>
            <w:r>
              <w:rPr>
                <w:rFonts w:ascii="Arial" w:cs="Arial" w:eastAsia="Arial" w:hAnsi="Arial"/>
                <w:sz w:val="11"/>
                <w:szCs w:val="11"/>
                <w:color w:val="auto"/>
                <w:w w:val="89"/>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Represents amounts earned in corresponding year.</w:t>
      </w:r>
    </w:p>
    <w:p>
      <w:pPr>
        <w:spacing w:after="0" w:line="7" w:lineRule="exact"/>
        <w:rPr>
          <w:rFonts w:ascii="Arial" w:cs="Arial" w:eastAsia="Arial" w:hAnsi="Arial"/>
          <w:sz w:val="22"/>
          <w:szCs w:val="22"/>
          <w:color w:val="auto"/>
          <w:vertAlign w:val="superscript"/>
        </w:rPr>
      </w:pPr>
    </w:p>
    <w:p>
      <w:pPr>
        <w:ind w:left="460" w:right="80" w:hanging="452"/>
        <w:spacing w:after="0" w:line="264" w:lineRule="auto"/>
        <w:tabs>
          <w:tab w:leader="none" w:pos="460"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For awards of options, the amount disclosed represents the aggregate grant date fair value computed in accordance with FASB ASC Topic 718. We based the grant date fair value of stock awards in 2009 and 2010 on the closing price of our common stock. We estimated the grant date fair value of stock option awards in 2009 and 2010 using a Black-Scholes option-pricing model and a binomial option pricing model utilizing the following assumptions:</w:t>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Service-based Awards - Black-Scholes Option Pricing Model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Expected</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1420" w:type="dxa"/>
            <w:vAlign w:val="bottom"/>
          </w:tcPr>
          <w:p>
            <w:pPr>
              <w:spacing w:after="0"/>
              <w:rPr>
                <w:sz w:val="12"/>
                <w:szCs w:val="12"/>
                <w:color w:val="auto"/>
              </w:rPr>
            </w:pPr>
          </w:p>
        </w:tc>
        <w:tc>
          <w:tcPr>
            <w:tcW w:w="196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rPr>
              <w:t>Expected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0"/>
              </w:rPr>
              <w:t>Risk-Free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34"/>
        </w:trPr>
        <w:tc>
          <w:tcPr>
            <w:tcW w:w="4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960" w:type="dxa"/>
            <w:vAlign w:val="bottom"/>
            <w:gridSpan w:val="2"/>
          </w:tcPr>
          <w:p>
            <w:pPr>
              <w:jc w:val="right"/>
              <w:ind w:right="1260"/>
              <w:spacing w:after="0" w:line="135" w:lineRule="exact"/>
              <w:rPr>
                <w:sz w:val="20"/>
                <w:szCs w:val="20"/>
                <w:color w:val="auto"/>
              </w:rPr>
            </w:pPr>
            <w:r>
              <w:rPr>
                <w:rFonts w:ascii="Arial" w:cs="Arial" w:eastAsia="Arial" w:hAnsi="Arial"/>
                <w:sz w:val="14"/>
                <w:szCs w:val="14"/>
                <w:b w:val="1"/>
                <w:bCs w:val="1"/>
                <w:color w:val="auto"/>
              </w:rPr>
              <w:t>Volatility</w:t>
            </w: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Yield</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Exercise Price</w:t>
            </w:r>
          </w:p>
        </w:tc>
        <w:tc>
          <w:tcPr>
            <w:tcW w:w="2220" w:type="dxa"/>
            <w:vAlign w:val="bottom"/>
            <w:gridSpan w:val="2"/>
          </w:tcPr>
          <w:p>
            <w:pPr>
              <w:jc w:val="center"/>
              <w:ind w:right="1080"/>
              <w:spacing w:after="0" w:line="135" w:lineRule="exact"/>
              <w:rPr>
                <w:sz w:val="20"/>
                <w:szCs w:val="20"/>
                <w:color w:val="auto"/>
              </w:rPr>
            </w:pPr>
            <w:r>
              <w:rPr>
                <w:rFonts w:ascii="Arial" w:cs="Arial" w:eastAsia="Arial" w:hAnsi="Arial"/>
                <w:sz w:val="14"/>
                <w:szCs w:val="14"/>
                <w:b w:val="1"/>
                <w:bCs w:val="1"/>
                <w:color w:val="auto"/>
                <w:w w:val="90"/>
              </w:rPr>
              <w:t>Interest</w:t>
            </w: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Year</w:t>
            </w:r>
          </w:p>
        </w:tc>
        <w:tc>
          <w:tcPr>
            <w:tcW w:w="23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460"/>
              <w:spacing w:after="0" w:line="12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2"/>
                <w:szCs w:val="12"/>
                <w:color w:val="auto"/>
              </w:rPr>
            </w:pPr>
          </w:p>
        </w:tc>
        <w:tc>
          <w:tcPr>
            <w:tcW w:w="2220" w:type="dxa"/>
            <w:vAlign w:val="bottom"/>
            <w:gridSpan w:val="2"/>
          </w:tcPr>
          <w:p>
            <w:pPr>
              <w:jc w:val="center"/>
              <w:ind w:right="1080"/>
              <w:spacing w:after="0" w:line="129" w:lineRule="exact"/>
              <w:rPr>
                <w:sz w:val="20"/>
                <w:szCs w:val="20"/>
                <w:color w:val="auto"/>
              </w:rPr>
            </w:pPr>
            <w:r>
              <w:rPr>
                <w:rFonts w:ascii="Arial" w:cs="Arial" w:eastAsia="Arial" w:hAnsi="Arial"/>
                <w:sz w:val="14"/>
                <w:szCs w:val="14"/>
                <w:b w:val="1"/>
                <w:bCs w:val="1"/>
                <w:color w:val="auto"/>
                <w:w w:val="96"/>
              </w:rPr>
              <w:t>Rate (%)</w:t>
            </w: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2009</w:t>
            </w:r>
          </w:p>
        </w:tc>
        <w:tc>
          <w:tcPr>
            <w:tcW w:w="8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14.15</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2010</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w w:val="95"/>
              </w:rPr>
              <w:t>47%—50%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color w:val="auto"/>
                <w:w w:val="88"/>
              </w:rPr>
              <w:t>$22.01—$24.85</w:t>
            </w:r>
          </w:p>
        </w:tc>
        <w:tc>
          <w:tcPr>
            <w:tcW w:w="2220" w:type="dxa"/>
            <w:vAlign w:val="bottom"/>
            <w:gridSpan w:val="2"/>
          </w:tcPr>
          <w:p>
            <w:pPr>
              <w:jc w:val="right"/>
              <w:ind w:right="1080"/>
              <w:spacing w:after="0"/>
              <w:rPr>
                <w:sz w:val="20"/>
                <w:szCs w:val="20"/>
                <w:color w:val="auto"/>
              </w:rPr>
            </w:pPr>
            <w:r>
              <w:rPr>
                <w:rFonts w:ascii="Arial" w:cs="Arial" w:eastAsia="Arial" w:hAnsi="Arial"/>
                <w:sz w:val="18"/>
                <w:szCs w:val="18"/>
                <w:color w:val="auto"/>
                <w:w w:val="93"/>
              </w:rPr>
              <w:t>2.82%—3.12%</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2011</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Market-based Awards - Binomial Option Pricing Model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Expected</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Contract</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Performance</w:t>
            </w:r>
          </w:p>
        </w:tc>
        <w:tc>
          <w:tcPr>
            <w:tcW w:w="2620" w:type="dxa"/>
            <w:vAlign w:val="bottom"/>
          </w:tcPr>
          <w:p>
            <w:pPr>
              <w:spacing w:after="0"/>
              <w:rPr>
                <w:sz w:val="12"/>
                <w:szCs w:val="12"/>
                <w:color w:val="auto"/>
              </w:rPr>
            </w:pPr>
          </w:p>
        </w:tc>
        <w:tc>
          <w:tcPr>
            <w:tcW w:w="17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Expected</w:t>
            </w:r>
          </w:p>
        </w:tc>
        <w:tc>
          <w:tcPr>
            <w:tcW w:w="14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Dividend</w:t>
            </w: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Risk-Free</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34"/>
        </w:trPr>
        <w:tc>
          <w:tcPr>
            <w:tcW w:w="800" w:type="dxa"/>
            <w:vAlign w:val="bottom"/>
            <w:vMerge w:val="continue"/>
          </w:tcPr>
          <w:p>
            <w:pPr>
              <w:spacing w:after="0"/>
              <w:rPr>
                <w:sz w:val="11"/>
                <w:szCs w:val="11"/>
                <w:color w:val="auto"/>
              </w:rPr>
            </w:pPr>
          </w:p>
        </w:tc>
        <w:tc>
          <w:tcPr>
            <w:tcW w:w="2620" w:type="dxa"/>
            <w:vAlign w:val="bottom"/>
          </w:tcPr>
          <w:p>
            <w:pPr>
              <w:spacing w:after="0"/>
              <w:rPr>
                <w:sz w:val="11"/>
                <w:szCs w:val="11"/>
                <w:color w:val="auto"/>
              </w:rPr>
            </w:pPr>
          </w:p>
        </w:tc>
        <w:tc>
          <w:tcPr>
            <w:tcW w:w="1780" w:type="dxa"/>
            <w:vAlign w:val="bottom"/>
            <w:gridSpan w:val="2"/>
          </w:tcPr>
          <w:p>
            <w:pPr>
              <w:jc w:val="center"/>
              <w:ind w:right="920"/>
              <w:spacing w:after="0" w:line="135" w:lineRule="exact"/>
              <w:rPr>
                <w:sz w:val="20"/>
                <w:szCs w:val="20"/>
                <w:color w:val="auto"/>
              </w:rPr>
            </w:pPr>
            <w:r>
              <w:rPr>
                <w:rFonts w:ascii="Arial" w:cs="Arial" w:eastAsia="Arial" w:hAnsi="Arial"/>
                <w:sz w:val="14"/>
                <w:szCs w:val="14"/>
                <w:b w:val="1"/>
                <w:bCs w:val="1"/>
                <w:color w:val="auto"/>
                <w:w w:val="92"/>
              </w:rPr>
              <w:t>Volatility</w:t>
            </w:r>
          </w:p>
        </w:tc>
        <w:tc>
          <w:tcPr>
            <w:tcW w:w="144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9"/>
              </w:rPr>
              <w:t>Yield</w:t>
            </w:r>
          </w:p>
        </w:tc>
        <w:tc>
          <w:tcPr>
            <w:tcW w:w="2100" w:type="dxa"/>
            <w:vAlign w:val="bottom"/>
            <w:gridSpan w:val="2"/>
          </w:tcPr>
          <w:p>
            <w:pPr>
              <w:jc w:val="right"/>
              <w:ind w:right="1100"/>
              <w:spacing w:after="0" w:line="135" w:lineRule="exact"/>
              <w:rPr>
                <w:sz w:val="20"/>
                <w:szCs w:val="20"/>
                <w:color w:val="auto"/>
              </w:rPr>
            </w:pPr>
            <w:r>
              <w:rPr>
                <w:rFonts w:ascii="Arial" w:cs="Arial" w:eastAsia="Arial" w:hAnsi="Arial"/>
                <w:sz w:val="14"/>
                <w:szCs w:val="14"/>
                <w:b w:val="1"/>
                <w:bCs w:val="1"/>
                <w:color w:val="auto"/>
              </w:rPr>
              <w:t>Exercise Price</w:t>
            </w:r>
          </w:p>
        </w:tc>
        <w:tc>
          <w:tcPr>
            <w:tcW w:w="206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6"/>
              </w:rPr>
              <w:t>Interest</w:t>
            </w: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49"/>
        </w:trPr>
        <w:tc>
          <w:tcPr>
            <w:tcW w:w="80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Year</w:t>
            </w:r>
          </w:p>
        </w:tc>
        <w:tc>
          <w:tcPr>
            <w:tcW w:w="3480" w:type="dxa"/>
            <w:vAlign w:val="bottom"/>
            <w:gridSpan w:val="2"/>
          </w:tcPr>
          <w:p>
            <w:pPr>
              <w:jc w:val="center"/>
              <w:ind w:left="2552"/>
              <w:spacing w:after="0" w:line="12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2"/>
                <w:szCs w:val="12"/>
                <w:color w:val="auto"/>
              </w:rPr>
            </w:pPr>
          </w:p>
        </w:tc>
        <w:tc>
          <w:tcPr>
            <w:tcW w:w="1200" w:type="dxa"/>
            <w:vAlign w:val="bottom"/>
          </w:tcPr>
          <w:p>
            <w:pPr>
              <w:jc w:val="right"/>
              <w:ind w:right="440"/>
              <w:spacing w:after="0" w:line="12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2"/>
                <w:szCs w:val="12"/>
                <w:color w:val="auto"/>
              </w:rPr>
            </w:pPr>
          </w:p>
        </w:tc>
        <w:tc>
          <w:tcPr>
            <w:tcW w:w="206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92"/>
              </w:rPr>
              <w:t>Rate (%)</w:t>
            </w:r>
          </w:p>
        </w:tc>
        <w:tc>
          <w:tcPr>
            <w:tcW w:w="6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2009</w:t>
            </w:r>
          </w:p>
        </w:tc>
        <w:tc>
          <w:tcPr>
            <w:tcW w:w="26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38%—46%</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$14.15</w:t>
            </w:r>
          </w:p>
        </w:tc>
        <w:tc>
          <w:tcPr>
            <w:tcW w:w="900" w:type="dxa"/>
            <w:vAlign w:val="bottom"/>
            <w:shd w:val="clear" w:color="auto" w:fill="CCEEFF"/>
          </w:tcPr>
          <w:p>
            <w:pPr>
              <w:spacing w:after="0"/>
              <w:rPr>
                <w:sz w:val="17"/>
                <w:szCs w:val="17"/>
                <w:color w:val="auto"/>
              </w:rPr>
            </w:pPr>
          </w:p>
        </w:tc>
        <w:tc>
          <w:tcPr>
            <w:tcW w:w="11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w w:val="88"/>
              </w:rPr>
              <w:t>0.50%—3.86%</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2010</w:t>
            </w:r>
          </w:p>
        </w:tc>
        <w:tc>
          <w:tcPr>
            <w:tcW w:w="26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51%—52%</w:t>
            </w: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w w:val="92"/>
              </w:rPr>
              <w:t>$22.01—$25.85</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0.02%—3.66%</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520" w:hanging="452"/>
        <w:spacing w:after="0" w:line="228"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Consists of the cash portion of incentive compensation bonus related to performance measures satisfied in the year indicated and awarded in the first quarter of the following year.</w:t>
      </w:r>
    </w:p>
    <w:p>
      <w:pPr>
        <w:spacing w:after="0" w:line="1" w:lineRule="exact"/>
        <w:rPr>
          <w:rFonts w:ascii="Arial" w:cs="Arial" w:eastAsia="Arial" w:hAnsi="Arial"/>
          <w:sz w:val="22"/>
          <w:szCs w:val="22"/>
          <w:color w:val="auto"/>
          <w:vertAlign w:val="superscript"/>
        </w:rPr>
      </w:pPr>
    </w:p>
    <w:p>
      <w:pPr>
        <w:ind w:left="460" w:right="740" w:hanging="452"/>
        <w:spacing w:after="0" w:line="225"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Consists of contributions by Ocwen and Altisource pursuant to each executive officer for car allowances, housing allowances, goods and services allowance, educational allowances and tax equalization allowance as detailed below.</w:t>
      </w:r>
    </w:p>
    <w:p>
      <w:pPr>
        <w:ind w:left="460" w:right="100" w:hanging="452"/>
        <w:spacing w:after="0" w:line="233"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Includes $55,412 for housing allowance, $7,344 for a car allowance, $124,969 for 2010 and 2011 education allowance and $24,001 for goods and services allowance, $25,487 for travel allowance and a $37,372 tax equalization allowance for 2009 and 2010 earnings. Mr. Shepro also has access to a Company car while in Luxembourg.</w:t>
      </w:r>
    </w:p>
    <w:p>
      <w:pPr>
        <w:ind w:left="460" w:right="160" w:hanging="452"/>
        <w:spacing w:after="0" w:line="225"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Includes $23,182 for housing allowance, $24,001 for goods and services allowance and a $43,405 tax equalization allowance for 2009 and 2010 earnings. Mr. Stiles also had access to a Company car while in Luxembourg.</w:t>
      </w:r>
    </w:p>
    <w:p>
      <w:pPr>
        <w:ind w:left="460" w:right="40" w:hanging="452"/>
        <w:spacing w:after="0" w:line="225"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Includes $28,700 for housing allowance, $2,672 for storage allowance, $24,001 for goods and services allowance and a $75,770 tax equalization allowance for 2009 and 2010 earnings. Mr. Wilcox also has access to a Company car while in Luxembourg.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 for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plan based equity awards (or any other types of awards) were granted to our named executive officers during the 2011 fiscal year.</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6"/>
          </w:tcPr>
          <w:p>
            <w:pPr>
              <w:jc w:val="center"/>
              <w:ind w:right="840"/>
              <w:spacing w:after="0"/>
              <w:rPr>
                <w:sz w:val="20"/>
                <w:szCs w:val="20"/>
                <w:color w:val="auto"/>
              </w:rPr>
            </w:pPr>
            <w:r>
              <w:rPr>
                <w:rFonts w:ascii="Arial" w:cs="Arial" w:eastAsia="Arial" w:hAnsi="Arial"/>
                <w:sz w:val="14"/>
                <w:szCs w:val="14"/>
                <w:b w:val="1"/>
                <w:bCs w:val="1"/>
                <w:color w:val="auto"/>
                <w:w w:val="86"/>
              </w:rPr>
              <w:t>Estimated Future Payouts</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9"/>
              </w:rPr>
              <w:t>Under Non-Equity</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180" w:type="dxa"/>
            <w:vAlign w:val="bottom"/>
            <w:vMerge w:val="restart"/>
          </w:tcPr>
          <w:p>
            <w:pPr>
              <w:spacing w:after="0"/>
              <w:rPr>
                <w:sz w:val="15"/>
                <w:szCs w:val="15"/>
                <w:color w:val="auto"/>
              </w:rPr>
            </w:pPr>
          </w:p>
        </w:tc>
        <w:tc>
          <w:tcPr>
            <w:tcW w:w="7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84"/>
              </w:rPr>
              <w:t>Award</w:t>
            </w: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
              <w:spacing w:after="0" w:line="156" w:lineRule="exact"/>
              <w:rPr>
                <w:sz w:val="20"/>
                <w:szCs w:val="20"/>
                <w:color w:val="auto"/>
              </w:rPr>
            </w:pPr>
            <w:r>
              <w:rPr>
                <w:rFonts w:ascii="Arial" w:cs="Arial" w:eastAsia="Arial" w:hAnsi="Arial"/>
                <w:sz w:val="12"/>
                <w:szCs w:val="12"/>
                <w:b w:val="1"/>
                <w:bCs w:val="1"/>
                <w:color w:val="auto"/>
              </w:rPr>
              <w:t>Incentive Plan Awards</w:t>
            </w:r>
            <w:r>
              <w:rPr>
                <w:rFonts w:ascii="Arial" w:cs="Arial" w:eastAsia="Arial" w:hAnsi="Arial"/>
                <w:sz w:val="18"/>
                <w:szCs w:val="18"/>
                <w:b w:val="1"/>
                <w:bCs w:val="1"/>
                <w:color w:val="auto"/>
                <w:vertAlign w:val="superscript"/>
              </w:rPr>
              <w:t>(1)</w:t>
            </w: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0" w:type="dxa"/>
            <w:vAlign w:val="bottom"/>
            <w:tcBorders>
              <w:bottom w:val="single" w:sz="8" w:color="auto"/>
            </w:tcBorders>
            <w:vMerge w:val="continue"/>
          </w:tcPr>
          <w:p>
            <w:pPr>
              <w:spacing w:after="0"/>
              <w:rPr>
                <w:sz w:val="14"/>
                <w:szCs w:val="14"/>
                <w:color w:val="auto"/>
              </w:rPr>
            </w:pPr>
          </w:p>
        </w:tc>
        <w:tc>
          <w:tcPr>
            <w:tcW w:w="6180" w:type="dxa"/>
            <w:vAlign w:val="bottom"/>
            <w:vMerge w:val="continue"/>
          </w:tcPr>
          <w:p>
            <w:pPr>
              <w:spacing w:after="0"/>
              <w:rPr>
                <w:sz w:val="14"/>
                <w:szCs w:val="14"/>
                <w:color w:val="auto"/>
              </w:rPr>
            </w:pPr>
          </w:p>
        </w:tc>
        <w:tc>
          <w:tcPr>
            <w:tcW w:w="8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8"/>
              </w:rPr>
              <w:t>Threshold</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8"/>
              </w:rPr>
              <w:t>Target</w:t>
            </w:r>
          </w:p>
        </w:tc>
        <w:tc>
          <w:tcPr>
            <w:tcW w:w="580" w:type="dxa"/>
            <w:vAlign w:val="bottom"/>
          </w:tcPr>
          <w:p>
            <w:pPr>
              <w:spacing w:after="0"/>
              <w:rPr>
                <w:sz w:val="14"/>
                <w:szCs w:val="14"/>
                <w:color w:val="auto"/>
              </w:rPr>
            </w:pPr>
          </w:p>
        </w:tc>
        <w:tc>
          <w:tcPr>
            <w:tcW w:w="7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Outstanding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 Shepro</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87"/>
              </w:rPr>
              <w:t>$341,916</w:t>
            </w:r>
          </w:p>
        </w:tc>
        <w:tc>
          <w:tcPr>
            <w:tcW w:w="1520" w:type="dxa"/>
            <w:vAlign w:val="bottom"/>
            <w:tcBorders>
              <w:top w:val="single" w:sz="8" w:color="CCEEFF"/>
            </w:tcBorders>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$683,832</w:t>
            </w:r>
          </w:p>
        </w:tc>
        <w:tc>
          <w:tcPr>
            <w:tcW w:w="800" w:type="dxa"/>
            <w:vAlign w:val="bottom"/>
            <w:tcBorders>
              <w:top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6"/>
              </w:rPr>
              <w:t>$1,025,748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Robert D. Stiles</w:t>
            </w:r>
          </w:p>
        </w:tc>
        <w:tc>
          <w:tcPr>
            <w:tcW w:w="820" w:type="dxa"/>
            <w:vAlign w:val="bottom"/>
            <w:gridSpan w:val="3"/>
          </w:tcPr>
          <w:p>
            <w:pPr>
              <w:jc w:val="right"/>
              <w:ind w:right="44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$97,262</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$194,523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$291,785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$187,718</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$375,437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20" w:hanging="452"/>
        <w:spacing w:after="0" w:line="272" w:lineRule="auto"/>
        <w:tabs>
          <w:tab w:leader="none" w:pos="460" w:val="left"/>
        </w:tabs>
        <w:numPr>
          <w:ilvl w:val="0"/>
          <w:numId w:val="37"/>
        </w:numPr>
        <w:rPr>
          <w:rFonts w:ascii="Arial" w:cs="Arial" w:eastAsia="Arial" w:hAnsi="Arial"/>
          <w:sz w:val="20"/>
          <w:szCs w:val="20"/>
          <w:color w:val="auto"/>
          <w:vertAlign w:val="superscript"/>
        </w:rPr>
      </w:pPr>
      <w:r>
        <w:rPr>
          <w:rFonts w:ascii="Arial" w:cs="Arial" w:eastAsia="Arial" w:hAnsi="Arial"/>
          <w:sz w:val="16"/>
          <w:szCs w:val="16"/>
          <w:color w:val="auto"/>
        </w:rPr>
        <w:t>These figures represent the possible non-equity compensation that may have been earned by each respective executive officer in 2011 under the different achievement levels presented on their personal scorecards which are more fully discussed in our Compensation Discussion and Analysis.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regarding outstanding equity awards at December 31, 2011 for the individuals named in the Summary Compensation Table.</w:t>
      </w:r>
    </w:p>
    <w:p>
      <w:pPr>
        <w:sectPr>
          <w:pgSz w:w="11900" w:h="16838" w:orient="portrait"/>
          <w:cols w:equalWidth="0" w:num="1">
            <w:col w:w="11180"/>
          </w:cols>
          <w:pgMar w:left="240" w:top="27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William B. Shepro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Kevin J. Wilcox</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Option Awards</w:t>
      </w:r>
    </w:p>
    <w:tbl>
      <w:tblPr>
        <w:tblLayout w:type="fixed"/>
        <w:tblInd w:w="0" w:type="dxa"/>
        <w:tblCellMar>
          <w:top w:w="0" w:type="dxa"/>
          <w:left w:w="0" w:type="dxa"/>
          <w:bottom w:w="0" w:type="dxa"/>
          <w:right w:w="0" w:type="dxa"/>
        </w:tblCellMar>
      </w:tblPr>
      <w:tr>
        <w:trPr>
          <w:trHeight w:val="129"/>
        </w:trPr>
        <w:tc>
          <w:tcPr>
            <w:tcW w:w="7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8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14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Number of</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440" w:type="dxa"/>
            <w:vAlign w:val="bottom"/>
          </w:tcPr>
          <w:p>
            <w:pPr>
              <w:spacing w:after="0"/>
              <w:rPr>
                <w:sz w:val="4"/>
                <w:szCs w:val="4"/>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Underlying</w:t>
            </w: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440" w:type="dxa"/>
            <w:vAlign w:val="bottom"/>
          </w:tcPr>
          <w:p>
            <w:pPr>
              <w:spacing w:after="0"/>
              <w:rPr>
                <w:sz w:val="6"/>
                <w:szCs w:val="6"/>
                <w:color w:val="auto"/>
              </w:rPr>
            </w:pPr>
          </w:p>
        </w:tc>
        <w:tc>
          <w:tcPr>
            <w:tcW w:w="140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7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Unexercised</w:t>
            </w: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44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Options</w:t>
            </w:r>
          </w:p>
        </w:tc>
        <w:tc>
          <w:tcPr>
            <w:tcW w:w="440" w:type="dxa"/>
            <w:vAlign w:val="bottom"/>
          </w:tcPr>
          <w:p>
            <w:pPr>
              <w:spacing w:after="0"/>
              <w:rPr>
                <w:sz w:val="11"/>
                <w:szCs w:val="11"/>
                <w:color w:val="auto"/>
              </w:rPr>
            </w:pPr>
          </w:p>
        </w:tc>
        <w:tc>
          <w:tcPr>
            <w:tcW w:w="14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Options</w:t>
            </w:r>
          </w:p>
        </w:tc>
        <w:tc>
          <w:tcPr>
            <w:tcW w:w="14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9"/>
              </w:rPr>
              <w:t>Unearned</w:t>
            </w:r>
          </w:p>
        </w:tc>
        <w:tc>
          <w:tcPr>
            <w:tcW w:w="12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76"/>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440" w:type="dxa"/>
            <w:vAlign w:val="bottom"/>
          </w:tcPr>
          <w:p>
            <w:pPr>
              <w:spacing w:after="0"/>
              <w:rPr>
                <w:sz w:val="15"/>
                <w:szCs w:val="15"/>
                <w:color w:val="auto"/>
              </w:rPr>
            </w:pPr>
          </w:p>
        </w:tc>
        <w:tc>
          <w:tcPr>
            <w:tcW w:w="1400" w:type="dxa"/>
            <w:vAlign w:val="bottom"/>
            <w:gridSpan w:val="2"/>
          </w:tcPr>
          <w:p>
            <w:pPr>
              <w:jc w:val="center"/>
              <w:ind w:right="460"/>
              <w:spacing w:after="0" w:line="176" w:lineRule="exact"/>
              <w:rPr>
                <w:sz w:val="20"/>
                <w:szCs w:val="20"/>
                <w:color w:val="auto"/>
              </w:rPr>
            </w:pPr>
            <w:r>
              <w:rPr>
                <w:rFonts w:ascii="Arial" w:cs="Arial" w:eastAsia="Arial" w:hAnsi="Arial"/>
                <w:sz w:val="13"/>
                <w:szCs w:val="13"/>
                <w:b w:val="1"/>
                <w:bCs w:val="1"/>
                <w:color w:val="auto"/>
                <w:w w:val="89"/>
              </w:rPr>
              <w:t>Unexercisable</w:t>
            </w:r>
            <w:r>
              <w:rPr>
                <w:rFonts w:ascii="Arial" w:cs="Arial" w:eastAsia="Arial" w:hAnsi="Arial"/>
                <w:sz w:val="20"/>
                <w:szCs w:val="20"/>
                <w:color w:val="auto"/>
                <w:w w:val="89"/>
                <w:vertAlign w:val="superscript"/>
              </w:rPr>
              <w:t>(1)</w:t>
            </w:r>
          </w:p>
        </w:tc>
        <w:tc>
          <w:tcPr>
            <w:tcW w:w="1420" w:type="dxa"/>
            <w:vAlign w:val="bottom"/>
            <w:gridSpan w:val="2"/>
          </w:tcPr>
          <w:p>
            <w:pPr>
              <w:jc w:val="center"/>
              <w:ind w:right="440"/>
              <w:spacing w:after="0" w:line="176" w:lineRule="exact"/>
              <w:rPr>
                <w:sz w:val="20"/>
                <w:szCs w:val="20"/>
                <w:color w:val="auto"/>
              </w:rPr>
            </w:pPr>
            <w:r>
              <w:rPr>
                <w:rFonts w:ascii="Arial" w:cs="Arial" w:eastAsia="Arial" w:hAnsi="Arial"/>
                <w:sz w:val="13"/>
                <w:szCs w:val="13"/>
                <w:b w:val="1"/>
                <w:bCs w:val="1"/>
                <w:color w:val="auto"/>
                <w:w w:val="88"/>
              </w:rPr>
              <w:t>Options</w:t>
            </w:r>
            <w:r>
              <w:rPr>
                <w:rFonts w:ascii="Arial" w:cs="Arial" w:eastAsia="Arial" w:hAnsi="Arial"/>
                <w:sz w:val="20"/>
                <w:szCs w:val="20"/>
                <w:color w:val="auto"/>
                <w:w w:val="88"/>
                <w:vertAlign w:val="superscript"/>
              </w:rPr>
              <w:t>(2)</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Exercise Price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201"/>
        </w:trPr>
        <w:tc>
          <w:tcPr>
            <w:tcW w:w="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679</w:t>
            </w:r>
          </w:p>
        </w:tc>
        <w:tc>
          <w:tcPr>
            <w:tcW w:w="4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$2.23</w:t>
            </w:r>
          </w:p>
        </w:tc>
        <w:tc>
          <w:tcPr>
            <w:tcW w:w="460" w:type="dxa"/>
            <w:vAlign w:val="bottom"/>
          </w:tcPr>
          <w:p>
            <w:pPr>
              <w:spacing w:after="0"/>
              <w:rPr>
                <w:sz w:val="17"/>
                <w:szCs w:val="17"/>
                <w:color w:val="auto"/>
              </w:rPr>
            </w:pPr>
          </w:p>
        </w:tc>
        <w:tc>
          <w:tcPr>
            <w:tcW w:w="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1/31/2013</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7,018</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1/31/2013</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1,993</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$7.37</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1/31/2014</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7,969</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$12.80</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1/31/2014</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12,051</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$9.59</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1/31/2015</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13,230</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$11.50</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1/31/2016</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9,459</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$14.17</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5/10/2017</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34,376</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34,374</w:t>
            </w:r>
            <w:r>
              <w:rPr>
                <w:rFonts w:ascii="Arial" w:cs="Arial" w:eastAsia="Arial" w:hAnsi="Arial"/>
                <w:sz w:val="11"/>
                <w:szCs w:val="11"/>
                <w:color w:val="auto"/>
                <w:w w:val="90"/>
              </w:rPr>
              <w:t>(3)</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$9.55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6"/>
              </w:rPr>
              <w:t>103,125</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34,375</w:t>
            </w:r>
            <w:r>
              <w:rPr>
                <w:rFonts w:ascii="Arial" w:cs="Arial" w:eastAsia="Arial" w:hAnsi="Arial"/>
                <w:sz w:val="11"/>
                <w:szCs w:val="11"/>
                <w:color w:val="auto"/>
                <w:w w:val="90"/>
              </w:rPr>
              <w:t>(4)</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$9.55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51,564</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17,187</w:t>
            </w:r>
            <w:r>
              <w:rPr>
                <w:rFonts w:ascii="Arial" w:cs="Arial" w:eastAsia="Arial" w:hAnsi="Arial"/>
                <w:sz w:val="11"/>
                <w:szCs w:val="11"/>
                <w:color w:val="auto"/>
                <w:w w:val="90"/>
              </w:rPr>
              <w:t>(5)</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$9.55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30,000</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90,000</w:t>
            </w:r>
            <w:r>
              <w:rPr>
                <w:rFonts w:ascii="Arial" w:cs="Arial" w:eastAsia="Arial" w:hAnsi="Arial"/>
                <w:sz w:val="11"/>
                <w:szCs w:val="11"/>
                <w:color w:val="auto"/>
                <w:w w:val="90"/>
              </w:rPr>
              <w:t>(6)</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$24.85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60,000</w:t>
            </w:r>
            <w:r>
              <w:rPr>
                <w:rFonts w:ascii="Arial" w:cs="Arial" w:eastAsia="Arial" w:hAnsi="Arial"/>
                <w:sz w:val="11"/>
                <w:szCs w:val="11"/>
                <w:color w:val="auto"/>
                <w:w w:val="90"/>
              </w:rPr>
              <w:t>(7)</w:t>
            </w: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$24.85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15,000</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45,000</w:t>
            </w:r>
            <w:r>
              <w:rPr>
                <w:rFonts w:ascii="Arial" w:cs="Arial" w:eastAsia="Arial" w:hAnsi="Arial"/>
                <w:sz w:val="11"/>
                <w:szCs w:val="11"/>
                <w:color w:val="auto"/>
                <w:w w:val="90"/>
              </w:rPr>
              <w:t>(8)</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$24.85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1,766</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$2.23</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1/31/2013</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2,649</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$3.35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1/31/2013</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3"/>
              </w:rPr>
              <w:t>749</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$7.37</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1/31/2014</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2,996</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$12.80</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1/31/2014</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4,798</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$9.59</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1/31/2015</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5,948</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$11.50</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1/31/2016</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8"/>
              </w:rPr>
              <w:t>8,130</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$14.17</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5/10/2017</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25,834</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25,833</w:t>
            </w:r>
            <w:r>
              <w:rPr>
                <w:rFonts w:ascii="Arial" w:cs="Arial" w:eastAsia="Arial" w:hAnsi="Arial"/>
                <w:sz w:val="11"/>
                <w:szCs w:val="11"/>
                <w:color w:val="auto"/>
                <w:w w:val="90"/>
              </w:rPr>
              <w:t>(3)</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$9.55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77,501</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25,833</w:t>
            </w:r>
            <w:r>
              <w:rPr>
                <w:rFonts w:ascii="Arial" w:cs="Arial" w:eastAsia="Arial" w:hAnsi="Arial"/>
                <w:sz w:val="11"/>
                <w:szCs w:val="11"/>
                <w:color w:val="auto"/>
                <w:w w:val="90"/>
              </w:rPr>
              <w:t>(4)</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$9.55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38,751</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12,916</w:t>
            </w:r>
            <w:r>
              <w:rPr>
                <w:rFonts w:ascii="Arial" w:cs="Arial" w:eastAsia="Arial" w:hAnsi="Arial"/>
                <w:sz w:val="11"/>
                <w:szCs w:val="11"/>
                <w:color w:val="auto"/>
                <w:w w:val="90"/>
              </w:rPr>
              <w:t>(5)</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$9.55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15,000</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45,000</w:t>
            </w:r>
            <w:r>
              <w:rPr>
                <w:rFonts w:ascii="Arial" w:cs="Arial" w:eastAsia="Arial" w:hAnsi="Arial"/>
                <w:sz w:val="11"/>
                <w:szCs w:val="11"/>
                <w:color w:val="auto"/>
                <w:w w:val="90"/>
              </w:rPr>
              <w:t>(6)</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$24.85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30,000</w:t>
            </w:r>
            <w:r>
              <w:rPr>
                <w:rFonts w:ascii="Arial" w:cs="Arial" w:eastAsia="Arial" w:hAnsi="Arial"/>
                <w:sz w:val="11"/>
                <w:szCs w:val="11"/>
                <w:color w:val="auto"/>
                <w:w w:val="90"/>
              </w:rPr>
              <w:t>(7)</w:t>
            </w: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$24.85</w:t>
            </w:r>
          </w:p>
        </w:tc>
        <w:tc>
          <w:tcPr>
            <w:tcW w:w="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22"/>
        </w:trPr>
        <w:tc>
          <w:tcPr>
            <w:tcW w:w="720" w:type="dxa"/>
            <w:vAlign w:val="bottom"/>
          </w:tcPr>
          <w:p>
            <w:pPr>
              <w:jc w:val="center"/>
              <w:spacing w:after="0"/>
              <w:rPr>
                <w:sz w:val="20"/>
                <w:szCs w:val="20"/>
                <w:color w:val="auto"/>
              </w:rPr>
            </w:pPr>
            <w:r>
              <w:rPr>
                <w:rFonts w:ascii="Arial" w:cs="Arial" w:eastAsia="Arial" w:hAnsi="Arial"/>
                <w:sz w:val="18"/>
                <w:szCs w:val="18"/>
                <w:color w:val="auto"/>
                <w:w w:val="88"/>
              </w:rPr>
              <w:t>7,500</w:t>
            </w:r>
          </w:p>
        </w:tc>
        <w:tc>
          <w:tcPr>
            <w:tcW w:w="138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22,500</w:t>
            </w:r>
            <w:r>
              <w:rPr>
                <w:rFonts w:ascii="Arial" w:cs="Arial" w:eastAsia="Arial" w:hAnsi="Arial"/>
                <w:sz w:val="11"/>
                <w:szCs w:val="11"/>
                <w:color w:val="auto"/>
                <w:w w:val="90"/>
              </w:rPr>
              <w:t>(8)</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$24.85</w:t>
            </w:r>
          </w:p>
        </w:tc>
        <w:tc>
          <w:tcPr>
            <w:tcW w:w="4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-3805555</wp:posOffset>
            </wp:positionV>
            <wp:extent cx="666369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-3522980</wp:posOffset>
            </wp:positionV>
            <wp:extent cx="66636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-3248025</wp:posOffset>
            </wp:positionV>
            <wp:extent cx="66636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-2973705</wp:posOffset>
            </wp:positionV>
            <wp:extent cx="666369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-2699385</wp:posOffset>
            </wp:positionV>
            <wp:extent cx="666369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-2425065</wp:posOffset>
            </wp:positionV>
            <wp:extent cx="666369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-2150745</wp:posOffset>
            </wp:positionV>
            <wp:extent cx="666369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-1876425</wp:posOffset>
            </wp:positionV>
            <wp:extent cx="666369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-1601470</wp:posOffset>
            </wp:positionV>
            <wp:extent cx="666369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-1327150</wp:posOffset>
            </wp:positionV>
            <wp:extent cx="666369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-1052830</wp:posOffset>
            </wp:positionV>
            <wp:extent cx="666369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-778510</wp:posOffset>
            </wp:positionV>
            <wp:extent cx="666369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-504190</wp:posOffset>
            </wp:positionV>
            <wp:extent cx="666369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ectPr>
          <w:pgSz w:w="11900" w:h="16838" w:orient="portrait"/>
          <w:cols w:equalWidth="0" w:num="2">
            <w:col w:w="4040" w:space="720"/>
            <w:col w:w="6420"/>
          </w:cols>
          <w:pgMar w:left="240" w:top="274" w:right="479" w:bottom="1440"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Robert D. Stiles</w:t>
      </w: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Option Awards</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Option</w:t>
            </w:r>
          </w:p>
        </w:tc>
      </w:tr>
      <w:tr>
        <w:trPr>
          <w:trHeight w:val="134"/>
        </w:trPr>
        <w:tc>
          <w:tcPr>
            <w:tcW w:w="128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6"/>
              </w:rPr>
              <w:t>Options</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Unearned</w:t>
            </w:r>
          </w:p>
        </w:tc>
        <w:tc>
          <w:tcPr>
            <w:tcW w:w="280" w:type="dxa"/>
            <w:vAlign w:val="bottom"/>
          </w:tcPr>
          <w:p>
            <w:pPr>
              <w:spacing w:after="0"/>
              <w:rPr>
                <w:sz w:val="11"/>
                <w:szCs w:val="11"/>
                <w:color w:val="auto"/>
              </w:rPr>
            </w:pPr>
          </w:p>
        </w:tc>
        <w:tc>
          <w:tcPr>
            <w:tcW w:w="110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6"/>
              </w:rPr>
              <w:t>Exercise</w:t>
            </w:r>
          </w:p>
        </w:tc>
        <w:tc>
          <w:tcPr>
            <w:tcW w:w="7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Expiration</w:t>
            </w:r>
          </w:p>
        </w:tc>
      </w:tr>
      <w:tr>
        <w:trPr>
          <w:trHeight w:val="176"/>
        </w:trPr>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Exercisable</w:t>
            </w:r>
          </w:p>
        </w:tc>
        <w:tc>
          <w:tcPr>
            <w:tcW w:w="116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89"/>
              </w:rPr>
              <w:t>Unexercisable</w:t>
            </w:r>
            <w:r>
              <w:rPr>
                <w:rFonts w:ascii="Arial" w:cs="Arial" w:eastAsia="Arial" w:hAnsi="Arial"/>
                <w:sz w:val="20"/>
                <w:szCs w:val="20"/>
                <w:b w:val="1"/>
                <w:bCs w:val="1"/>
                <w:color w:val="auto"/>
                <w:w w:val="89"/>
                <w:vertAlign w:val="superscript"/>
              </w:rPr>
              <w:t>(1)</w:t>
            </w:r>
          </w:p>
        </w:tc>
        <w:tc>
          <w:tcPr>
            <w:tcW w:w="36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88"/>
              </w:rPr>
              <w:t>Options</w:t>
            </w:r>
            <w:r>
              <w:rPr>
                <w:rFonts w:ascii="Arial" w:cs="Arial" w:eastAsia="Arial" w:hAnsi="Arial"/>
                <w:sz w:val="20"/>
                <w:szCs w:val="20"/>
                <w:b w:val="1"/>
                <w:bCs w:val="1"/>
                <w:color w:val="auto"/>
                <w:w w:val="88"/>
                <w:vertAlign w:val="superscript"/>
              </w:rPr>
              <w:t>(2)</w:t>
            </w:r>
          </w:p>
        </w:tc>
        <w:tc>
          <w:tcPr>
            <w:tcW w:w="280" w:type="dxa"/>
            <w:vAlign w:val="bottom"/>
          </w:tcPr>
          <w:p>
            <w:pPr>
              <w:spacing w:after="0"/>
              <w:rPr>
                <w:sz w:val="15"/>
                <w:szCs w:val="15"/>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r>
      <w:tr>
        <w:trPr>
          <w:trHeight w:val="201"/>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4,166</w:t>
            </w:r>
          </w:p>
        </w:tc>
        <w:tc>
          <w:tcPr>
            <w:tcW w:w="560" w:type="dxa"/>
            <w:vAlign w:val="bottom"/>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4,167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$ 14.15</w:t>
            </w:r>
          </w:p>
        </w:tc>
        <w:tc>
          <w:tcPr>
            <w:tcW w:w="580" w:type="dxa"/>
            <w:vAlign w:val="bottom"/>
          </w:tcPr>
          <w:p>
            <w:pPr>
              <w:spacing w:after="0"/>
              <w:rPr>
                <w:sz w:val="17"/>
                <w:szCs w:val="17"/>
                <w:color w:val="auto"/>
              </w:rPr>
            </w:pPr>
          </w:p>
        </w:tc>
        <w:tc>
          <w:tcPr>
            <w:tcW w:w="76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4"/>
              </w:rPr>
              <w:t>9/22/2019</w:t>
            </w:r>
          </w:p>
        </w:tc>
        <w:tc>
          <w:tcPr>
            <w:tcW w:w="20" w:type="dxa"/>
            <w:vAlign w:val="bottom"/>
          </w:tcPr>
          <w:p>
            <w:pPr>
              <w:spacing w:after="0"/>
              <w:rPr>
                <w:sz w:val="17"/>
                <w:szCs w:val="17"/>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2,083</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6,250</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$ 14.15</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9/22/2019</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8,334</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8,333</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$ 14.15</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9/22/2019</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5,833</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17,500</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$ 22.01</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1/25/2020</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11,667</w:t>
            </w: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$ 22.01</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1/25/2020</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2,917</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8,750</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$ 22.01</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1/25/2020</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$ 24.85</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5/19/2020</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$ 24.85</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5/19/2020</w:t>
            </w:r>
          </w:p>
        </w:tc>
      </w:tr>
      <w:tr>
        <w:trPr>
          <w:trHeight w:val="222"/>
        </w:trPr>
        <w:tc>
          <w:tcPr>
            <w:tcW w:w="720" w:type="dxa"/>
            <w:vAlign w:val="bottom"/>
          </w:tcPr>
          <w:p>
            <w:pPr>
              <w:jc w:val="right"/>
              <w:spacing w:after="0"/>
              <w:rPr>
                <w:sz w:val="20"/>
                <w:szCs w:val="20"/>
                <w:color w:val="auto"/>
              </w:rPr>
            </w:pPr>
            <w:r>
              <w:rPr>
                <w:rFonts w:ascii="Arial" w:cs="Arial" w:eastAsia="Arial" w:hAnsi="Arial"/>
                <w:sz w:val="18"/>
                <w:szCs w:val="18"/>
                <w:color w:val="auto"/>
              </w:rPr>
              <w:t>7,500</w:t>
            </w:r>
          </w:p>
        </w:tc>
        <w:tc>
          <w:tcPr>
            <w:tcW w:w="5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$ 24.85</w:t>
            </w:r>
          </w:p>
        </w:tc>
        <w:tc>
          <w:tcPr>
            <w:tcW w:w="58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5/19/2020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-2193290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-1241425</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-958850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-683895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-409575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-135255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420" w:space="720"/>
            <w:col w:w="6260"/>
          </w:cols>
          <w:pgMar w:left="240" w:top="275" w:right="259" w:bottom="1440" w:gutter="0" w:footer="0" w:header="0"/>
        </w:sect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awarded where the performance hurdles have been achieved but remain subject to additional Service-based criteria.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awarded where the performance hurdles have not been achieved.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vest in two (2) equal installments on June 15, 2012 and June 15,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vest on December 23,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vest on July 14,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vest in three (3) equal installments on December 6, 2012, December 6, 2013 and December 6, 2014.</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$74.55 and an annual rate of return of 25% over the exercise price with the balance vesting 25% each subsequent anniversary thereof.</w:t>
      </w: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vest in three (3) equal installments on May 19, 2012, May 19, 2013 and May 19, 2014.</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Stiles resigned as Chief Financial Officer effective March 1, 2012 and is no longer with the Company. Pursuant to his Separation Agreement, Mr. Stiles was entitled to retain any vested options in accordance with the terms of his outstanding option agreements and any unvested options have been forfeited. Accordingly, Mr. Stiles retained 48,750 vested options.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5" w:right="2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following table provides information regarding the exercise of stock options during the fiscal year ended December 31, 2011 for our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00" w:type="dxa"/>
            <w:vAlign w:val="bottom"/>
            <w:gridSpan w:val="2"/>
          </w:tcPr>
          <w:p>
            <w:pPr>
              <w:jc w:val="center"/>
              <w:ind w:right="304"/>
              <w:spacing w:after="0"/>
              <w:rPr>
                <w:sz w:val="20"/>
                <w:szCs w:val="20"/>
                <w:color w:val="auto"/>
              </w:rPr>
            </w:pPr>
            <w:r>
              <w:rPr>
                <w:rFonts w:ascii="Arial" w:cs="Arial" w:eastAsia="Arial" w:hAnsi="Arial"/>
                <w:sz w:val="14"/>
                <w:szCs w:val="14"/>
                <w:b w:val="1"/>
                <w:bCs w:val="1"/>
                <w:color w:val="auto"/>
                <w:w w:val="84"/>
              </w:rPr>
              <w:t>No. Shares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80" w:type="dxa"/>
            <w:vAlign w:val="bottom"/>
            <w:vMerge w:val="restart"/>
          </w:tcPr>
          <w:p>
            <w:pPr>
              <w:spacing w:after="0"/>
              <w:rPr>
                <w:sz w:val="12"/>
                <w:szCs w:val="12"/>
                <w:color w:val="auto"/>
              </w:rPr>
            </w:pPr>
          </w:p>
        </w:tc>
        <w:tc>
          <w:tcPr>
            <w:tcW w:w="1100" w:type="dxa"/>
            <w:vAlign w:val="bottom"/>
            <w:gridSpan w:val="2"/>
          </w:tcPr>
          <w:p>
            <w:pPr>
              <w:jc w:val="center"/>
              <w:ind w:right="304"/>
              <w:spacing w:after="0" w:line="149" w:lineRule="exact"/>
              <w:rPr>
                <w:sz w:val="20"/>
                <w:szCs w:val="20"/>
                <w:color w:val="auto"/>
              </w:rPr>
            </w:pPr>
            <w:r>
              <w:rPr>
                <w:rFonts w:ascii="Arial" w:cs="Arial" w:eastAsia="Arial" w:hAnsi="Arial"/>
                <w:sz w:val="14"/>
                <w:szCs w:val="14"/>
                <w:b w:val="1"/>
                <w:bCs w:val="1"/>
                <w:color w:val="auto"/>
                <w:w w:val="85"/>
              </w:rPr>
              <w:t>Acquired on</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2"/>
                <w:szCs w:val="12"/>
                <w:color w:val="auto"/>
              </w:rPr>
            </w:pPr>
          </w:p>
        </w:tc>
        <w:tc>
          <w:tcPr>
            <w:tcW w:w="8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w w:val="97"/>
              </w:rPr>
              <w:t>Exercise</w:t>
            </w:r>
          </w:p>
        </w:tc>
        <w:tc>
          <w:tcPr>
            <w:tcW w:w="2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Market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Market</w:t>
            </w:r>
          </w:p>
        </w:tc>
        <w:tc>
          <w:tcPr>
            <w:tcW w:w="1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980" w:type="dxa"/>
            <w:vAlign w:val="bottom"/>
            <w:vMerge w:val="continue"/>
          </w:tcPr>
          <w:p>
            <w:pPr>
              <w:spacing w:after="0"/>
              <w:rPr>
                <w:sz w:val="14"/>
                <w:szCs w:val="14"/>
                <w:color w:val="auto"/>
              </w:rPr>
            </w:pPr>
          </w:p>
        </w:tc>
        <w:tc>
          <w:tcPr>
            <w:tcW w:w="1100" w:type="dxa"/>
            <w:vAlign w:val="bottom"/>
            <w:gridSpan w:val="2"/>
          </w:tcPr>
          <w:p>
            <w:pPr>
              <w:jc w:val="center"/>
              <w:ind w:right="304"/>
              <w:spacing w:after="0" w:line="148"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4"/>
                <w:szCs w:val="14"/>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4"/>
                <w:szCs w:val="14"/>
                <w:color w:val="auto"/>
              </w:rPr>
            </w:pPr>
          </w:p>
        </w:tc>
        <w:tc>
          <w:tcPr>
            <w:tcW w:w="800" w:type="dxa"/>
            <w:vAlign w:val="bottom"/>
          </w:tcPr>
          <w:p>
            <w:pPr>
              <w:jc w:val="right"/>
              <w:ind w:right="137"/>
              <w:spacing w:after="0" w:line="148"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6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on Exercise</w:t>
            </w: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 Shepro</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13,334</w:t>
            </w:r>
          </w:p>
        </w:tc>
        <w:tc>
          <w:tcPr>
            <w:tcW w:w="38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1"/>
                <w:szCs w:val="11"/>
                <w:color w:val="auto"/>
                <w:w w:val="88"/>
              </w:rPr>
              <w:t>(1)</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14.97</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199,661.98</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$29.97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399,619.98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199,958.00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William B. Shepro</w:t>
            </w:r>
          </w:p>
        </w:tc>
        <w:tc>
          <w:tcPr>
            <w:tcW w:w="1100" w:type="dxa"/>
            <w:vAlign w:val="bottom"/>
            <w:gridSpan w:val="2"/>
          </w:tcPr>
          <w:p>
            <w:pPr>
              <w:jc w:val="right"/>
              <w:ind w:right="184"/>
              <w:spacing w:after="0"/>
              <w:rPr>
                <w:sz w:val="20"/>
                <w:szCs w:val="20"/>
                <w:color w:val="auto"/>
              </w:rPr>
            </w:pPr>
            <w:r>
              <w:rPr>
                <w:rFonts w:ascii="Arial" w:cs="Arial" w:eastAsia="Arial" w:hAnsi="Arial"/>
                <w:sz w:val="18"/>
                <w:szCs w:val="18"/>
                <w:color w:val="auto"/>
              </w:rPr>
              <w:t>6,577</w:t>
            </w:r>
            <w:r>
              <w:rPr>
                <w:rFonts w:ascii="Arial" w:cs="Arial" w:eastAsia="Arial" w:hAnsi="Arial"/>
                <w:sz w:val="11"/>
                <w:szCs w:val="11"/>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54,931.10</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$40.52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266,500.04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211,568.94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1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4,866</w:t>
            </w:r>
            <w:r>
              <w:rPr>
                <w:rFonts w:ascii="Arial" w:cs="Arial" w:eastAsia="Arial" w:hAnsi="Arial"/>
                <w:sz w:val="11"/>
                <w:szCs w:val="11"/>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33,609.95</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$40.52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197,170.32</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163,560.37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1100" w:type="dxa"/>
            <w:vAlign w:val="bottom"/>
            <w:gridSpan w:val="2"/>
          </w:tcPr>
          <w:p>
            <w:pPr>
              <w:jc w:val="right"/>
              <w:ind w:right="184"/>
              <w:spacing w:after="0"/>
              <w:rPr>
                <w:sz w:val="20"/>
                <w:szCs w:val="20"/>
                <w:color w:val="auto"/>
              </w:rPr>
            </w:pPr>
            <w:r>
              <w:rPr>
                <w:rFonts w:ascii="Arial" w:cs="Arial" w:eastAsia="Arial" w:hAnsi="Arial"/>
                <w:sz w:val="18"/>
                <w:szCs w:val="18"/>
                <w:color w:val="auto"/>
              </w:rPr>
              <w:t>13,334</w:t>
            </w:r>
            <w:r>
              <w:rPr>
                <w:rFonts w:ascii="Arial" w:cs="Arial" w:eastAsia="Arial" w:hAnsi="Arial"/>
                <w:sz w:val="11"/>
                <w:szCs w:val="11"/>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14.97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199,661.98</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$29.97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399,619.98</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199,958.00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11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2,144</w:t>
            </w:r>
            <w:r>
              <w:rPr>
                <w:rFonts w:ascii="Arial" w:cs="Arial" w:eastAsia="Arial" w:hAnsi="Arial"/>
                <w:sz w:val="11"/>
                <w:szCs w:val="11"/>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17,906.69</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86,060.16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68,153.47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1100" w:type="dxa"/>
            <w:vAlign w:val="bottom"/>
            <w:gridSpan w:val="2"/>
          </w:tcPr>
          <w:p>
            <w:pPr>
              <w:jc w:val="right"/>
              <w:ind w:right="184"/>
              <w:spacing w:after="0"/>
              <w:rPr>
                <w:sz w:val="20"/>
                <w:szCs w:val="20"/>
                <w:color w:val="auto"/>
              </w:rPr>
            </w:pPr>
            <w:r>
              <w:rPr>
                <w:rFonts w:ascii="Arial" w:cs="Arial" w:eastAsia="Arial" w:hAnsi="Arial"/>
                <w:sz w:val="18"/>
                <w:szCs w:val="18"/>
                <w:color w:val="auto"/>
              </w:rPr>
              <w:t>3,217</w:t>
            </w:r>
            <w:r>
              <w:rPr>
                <w:rFonts w:ascii="Arial" w:cs="Arial" w:eastAsia="Arial" w:hAnsi="Arial"/>
                <w:sz w:val="11"/>
                <w:szCs w:val="11"/>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22,220.14</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$40.14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129,130.38</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106,910.24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60" w:hanging="452"/>
        <w:spacing w:after="0" w:line="228" w:lineRule="auto"/>
        <w:tabs>
          <w:tab w:leader="none" w:pos="46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These options were awarded as a result of the separation from Ocwen due to options that had originally been awarded while the executive was employed at Ocwen and would have expired as of October 31, 2011 if not exercised.</w:t>
      </w:r>
    </w:p>
    <w:p>
      <w:pPr>
        <w:spacing w:after="0" w:line="1" w:lineRule="exact"/>
        <w:rPr>
          <w:rFonts w:ascii="Arial" w:cs="Arial" w:eastAsia="Arial" w:hAnsi="Arial"/>
          <w:sz w:val="22"/>
          <w:szCs w:val="22"/>
          <w:color w:val="auto"/>
          <w:vertAlign w:val="superscript"/>
        </w:rPr>
      </w:pPr>
    </w:p>
    <w:p>
      <w:pPr>
        <w:ind w:left="460" w:right="60" w:hanging="452"/>
        <w:spacing w:after="0" w:line="225" w:lineRule="auto"/>
        <w:tabs>
          <w:tab w:leader="none" w:pos="46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These options were awarded as a result of the separation from Ocwen due to options that had originally been awarded while the executive was employed at Ocwen and would have expired as of January 31, 2012 if not exercised.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APPOINTMENT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CERTIFIED PUBLIC ACCOUNTING FIRM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Two)</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of our Board of Directors has appointed Deloitte &amp; Touche LLP to be our independent registered certified public accounting firm for the year ending December 31, 2012 and Deloitte Audit S.à r.l. to be our certified auditor for all statutory accounts as required by Luxembourg law for the same period (together “Deloitte”). The Audit Committee has further directed that such appointment be submitted for approval by our shareholders at the Annual Meeting of Shareholders.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Deloitte will be present at the Annual Meeting of Shareholders, will be given the opportunity to make a statement, if they so desire, and will be available to respond to appropriate questions from you.</w:t>
      </w:r>
    </w:p>
    <w:p>
      <w:pPr>
        <w:spacing w:after="0" w:line="126" w:lineRule="exact"/>
        <w:rPr>
          <w:sz w:val="20"/>
          <w:szCs w:val="20"/>
          <w:color w:val="auto"/>
        </w:rPr>
      </w:pPr>
    </w:p>
    <w:p>
      <w:pPr>
        <w:jc w:val="center"/>
        <w:ind w:left="260" w:right="1620"/>
        <w:spacing w:after="0" w:line="256"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DELOITTE &amp; TOUCHE LLP AS THE INDEPENDENT REGISTERED CERTIFIED PUBLIC ACCOUNTING FIRM FOR 2012 AND DELOITTE AUDIT S.À R.L. AS THE CERTIFIED AUDITOR FOR ALL STATUTORY ACCOUNTS AS REQUIRED BY LUXEMBOURG LAW FOR THE SAME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Reviewed and discussed with management Altisource’s audited financial statements as of and for the year ended December 31, 2011;</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Discussed with Deloitte &amp; Touche LLP, Altisource’s independent registered certified public accounting firm, the matters required to be discussed by Statement on Auditing Standards No. 61, “Communication with Audit Committees”; and</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(“PCAOB”) regarding the independent registered certified public accounting firm’s communications with the Audit Committee concerning independence and discussed with Deloitte &amp; Touche LLP their independence.</w:t>
      </w:r>
    </w:p>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reliance on the review and discussion referred to above, the Committee recommended to the Board of Directors that the audited financial statements be included in Altisource’s annual report on Form 10-K for the year ended December 31, 2011.</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March ___, 2012</w:t>
      </w:r>
      <w:r>
        <w:rPr>
          <w:sz w:val="20"/>
          <w:szCs w:val="20"/>
          <w:color w:val="auto"/>
        </w:rPr>
        <w:tab/>
      </w:r>
      <w:r>
        <w:rPr>
          <w:rFonts w:ascii="Arial" w:cs="Arial" w:eastAsia="Arial" w:hAnsi="Arial"/>
          <w:sz w:val="16"/>
          <w:szCs w:val="16"/>
          <w:color w:val="auto"/>
        </w:rPr>
        <w:t>Roland Müller-Ineichen, Chairman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 Michael Linn, Director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Timo Vättö, Director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7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Deloitte &amp; Touche LLP Fees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Altisource for professional services by Deloitte &amp; Touche LLP in fiscal years 2010 and 2011:</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Category</w:t>
            </w:r>
          </w:p>
        </w:tc>
        <w:tc>
          <w:tcPr>
            <w:tcW w:w="34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986,105</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1,189,928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215,403</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1,327,834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1,405,331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and expenses billed for professional services rendered for the audits of Altisource’s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for fiscal years 2010 and 2011, for the reviews of the financial statements included in Altisource’s quarterly reports on Form 10-Q during fiscal years 2010 and 2011 and for services that are normally provided by the independent registered certified public accounting firm and affiliates in connection with statutory and regulatory filings or engagements for the relevant fiscal year.</w:t>
      </w:r>
    </w:p>
    <w:p>
      <w:pPr>
        <w:spacing w:after="0" w:line="14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in fiscal years 2010 and 2011 for audit-related services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fiscal years 2010 and 2011 for professional services rendered by the independent registered certified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for tax compliance, tax planning and tax advice.</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fiscal years 2010 and 2011 for products and services provided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accounting firm that are not reported above under “Audit Fees,” “Audit-Related Fees” or “Tax Fees.”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Deloitte &amp; Touche LLP in fiscal years 2010 and 2011 and determined that such services and fees are compatible with the independence of Deloitte &amp; Touche LLP.</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2010 and 2011, all fees associated with the independent registered certified public accounting firm’s services were pre-approved by the Audit Committee.</w:t>
      </w:r>
    </w:p>
    <w:p>
      <w:pPr>
        <w:spacing w:after="0" w:line="14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Representatives from Deloitte &amp; Touche LLP will be present at the Annual Meeting of Shareholders and will be available to respond to questions from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THE SHARE REPURCHASE PROGRAM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Three)</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Annual Meeting of Shareholders on May 19, 2010, our shareholders approved a share repurchase program authorizing up to fifteen percent (15%) of the outstanding shares of the Company’s stock to be repurchased. Under that program, shares are eligible for repurchase at a minimum price of one dollar ($1.00) per share and a maximum price of seventy-five dollars ($75.00) per share. As of March 15, 2012, the total number of shares repurchased under the program amounted to 10.7% of Altisource’s 25,412,748 outstanding shares. On March, 15, 2012, the closing trading price of the Company’s common stock was sixty-five dollars and fifty-three cents ($65.53), near the upper repurchase limitation of the program. We anticipate that we could exceed the repurchase limitations of the program prior to the 2013 Annual Meeting of Shareholders. Therefore, the Board of Directors of Altisource has approved presenting a new share repurchase program (the “Share Repurchase Program”) to the shareholders for approval whereby the Board of Directors is empowered to purchase outstanding shares of the Company’s stock.</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Share Repurchase Program shall be subject to Luxembourg law and provides for the equal treatment of shareholders. The term of authorization to the Board of Directors will be five (5) years. The maximum number of shares authorized to be repurchased will be up to fifteen percent (15%) of shares outstanding as of the date of the shareholder approval. Shares will be eligible for purchase at a minimum price of one dollar ($1.00) per share and a maximum price of one hundred and twenty-five dollars ($125.00) per share. The purchase volumes will be subject to daily volume restrictions per SEC regulations. The Board of Directors shall be empowered to give authority to the Company’s Chief Executive Officer to decide within the limits of the authorization set out above, the timing and conditions of the Share Repurchase Program.</w:t>
      </w:r>
    </w:p>
    <w:p>
      <w:pPr>
        <w:spacing w:after="0" w:line="14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lieu of accumulating cash, which provides a low rate of return to shareholders, or paying dividends, which are often subject to double taxation, the Board of Directors believes the Share Repurchase Program will be an effective use of Altisource’s cash earnings to generate shareholder value.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 THAT YOU VOTE “FOR”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SHARE REPURCHASE PROGRAM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9" w:name="page40"/>
    <w:bookmarkEnd w:id="39"/>
    <w:p>
      <w:pPr>
        <w:jc w:val="center"/>
        <w:ind w:left="280" w:right="280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APPROVAL OF THE COMPANY’S ANNUAL ACCOUNTS PREPARED IN ACCORDANCE WITH LUXEMBOURG GAAP AND THE COMPANY’S CONSOLIDATED FINANCIAL STATEMENTS PREPARED IN ACCORDANCE WITH U.S. GAAP INCLUDING A FOOTNOTE RECONCILIATION OF EQUITY AND NET INCOME TO IFRS, IN EACH CASE FOR THE YEAR ENDED DECEMBER 31, 2011 </w:t>
      </w:r>
      <w:r>
        <w:rPr>
          <w:rFonts w:ascii="Arial" w:cs="Arial" w:eastAsia="Arial" w:hAnsi="Arial"/>
          <w:sz w:val="18"/>
          <w:szCs w:val="18"/>
          <w:color w:val="auto"/>
        </w:rPr>
        <w:t>(Proposal Four)</w:t>
      </w:r>
    </w:p>
    <w:p>
      <w:pPr>
        <w:spacing w:after="0" w:line="36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Pursuant to Luxembourg law, the Luxembourg Annual Accounts and the Consolidated Accounts must be submitted each year to the Annual Meeting of Shareholders for approval.</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Luxembourg Annual Accounts are prepared in accordance with Luxembourg GAAP and consist of a balance sheet, a profit and loss account and the notes to the Luxembourg Annual Accounts. There is no statement of movements in equity or statement of cash flow included in the Luxembourg Annual Accounts under Luxembourg GAAP; consequently, profits earned by the subsidiaries of Altisource are not included in Altisource’s Luxembourg Annual Accounts unless such amounts are distributed to Altisource. As of December 31, 2011, the Luxembourg Annual Accounts for Altisource show a balance sheet total of $78.9 million and a loss for the year then ended of $1.4 million.</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to these financial statements. The Consolidated Accounts present the financial position and results of operations for Altisource Portfolio Solutions S.A. (the parent entity) and all of its subsidiaries as if the individual entities were a single company. As of December 31, 2011, the Consolidated Accounts show equity of $165.9 million and net income for the year then ended of $78.3 million.</w:t>
      </w:r>
    </w:p>
    <w:p>
      <w:pPr>
        <w:spacing w:after="0" w:line="14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Following shareholder approval of the Luxembourg Statutory Accounts, they must be filed with the Luxembourg trade registry as public documents pursuant to Luxembourg law. If Altisource does not receive shareholder approval of the Luxembourg Statutory Accounts, we cannot make this filing.</w:t>
      </w:r>
    </w:p>
    <w:p>
      <w:pPr>
        <w:spacing w:after="0" w:line="8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Altisource’s Luxembourg Statutory Accounts for the year ended December 31, 2011 will be available to shareholders from April 15, 2012 at Altisource’s registered office.</w:t>
      </w:r>
    </w:p>
    <w:p>
      <w:pPr>
        <w:spacing w:after="0" w:line="207" w:lineRule="exact"/>
        <w:rPr>
          <w:sz w:val="20"/>
          <w:szCs w:val="20"/>
          <w:color w:val="auto"/>
        </w:rPr>
      </w:pPr>
    </w:p>
    <w:p>
      <w:pPr>
        <w:jc w:val="center"/>
        <w:ind w:left="260" w:right="1880"/>
        <w:spacing w:after="0" w:line="262"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THE LUXEMBOURG STATUTORY ACCOUNTS FOR THE YEAR ENDED DECEMBER 31, 2011.</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RECEIPT AND APPROVAL OF THE DIRECTORS’ REPORTS ON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LUXEMBOURG STATUTORY ACCOUNTS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Five)</w:t>
      </w:r>
    </w:p>
    <w:p>
      <w:pPr>
        <w:spacing w:after="0" w:line="16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Under Luxembourg law, the Board of Directors is required to prepare annual Directors’ reports for the Company’s Luxembourg Statutory Accounts (the “Directors’ Reports”). The Directors’ Reports present the figures for the relevant fiscal year, provide an explanation as to the results and certain other Company matters as required and make a proposal to the shareholders of Altisource as to the allocation of such results for such fiscal year.</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Directors’ Reports will be available to shareholders of Altisource from April 15, 2012 at Altisource’s registered office. Following shareholder approval of the Luxembourg Statutory Accounts, the Directors’ reports will be filed with the Luxembourg trade registry as public documents.</w:t>
      </w:r>
    </w:p>
    <w:p>
      <w:pPr>
        <w:spacing w:after="0" w:line="288" w:lineRule="exact"/>
        <w:rPr>
          <w:sz w:val="20"/>
          <w:szCs w:val="20"/>
          <w:color w:val="auto"/>
        </w:rPr>
      </w:pPr>
    </w:p>
    <w:p>
      <w:pPr>
        <w:jc w:val="center"/>
        <w:ind w:left="280" w:right="2440"/>
        <w:spacing w:after="0" w:line="262" w:lineRule="auto"/>
        <w:rPr>
          <w:sz w:val="20"/>
          <w:szCs w:val="20"/>
          <w:color w:val="auto"/>
        </w:rPr>
      </w:pPr>
      <w:r>
        <w:rPr>
          <w:rFonts w:ascii="Arial" w:cs="Arial" w:eastAsia="Arial" w:hAnsi="Arial"/>
          <w:sz w:val="18"/>
          <w:szCs w:val="18"/>
          <w:b w:val="1"/>
          <w:bCs w:val="1"/>
          <w:color w:val="auto"/>
        </w:rPr>
        <w:t>OUR BOARD OF DIRECTORS UNANIMOUSLY RECOMMENDS THAT YOU VOTE “FOR” THE RECEIPT AND APPROVAL OF THE DIRECTORS’ REPORTS FOR THE YEAR ENDED DECEMBER 31, 2011.</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ALLOCATION OF THE RESULTS OF THE YEAR ENDED DECEMBER 31, 2011</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(Proposal Six)</w:t>
      </w:r>
    </w:p>
    <w:p>
      <w:pPr>
        <w:spacing w:after="0" w:line="16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shareholders of Altisource must approve the allocation of Altisource’s results as determined by the Luxembourg Annual Accounts of Altisource each year. Luxembourg law requires that at least five percent (5%) of the net profits, if any, for the Luxembourg Annual Accounts be apportioned to a legal reserve; provided, however that this allocation shall cease to be compulsory under Luxembourg law when the reserve attains ten percent (10%) of the share capital of Altisource but shall again become compulsory as soon as the reserve amount falls below this threshold. As the Company made a net loss pursuant to its Luxembourg Annual Accounts for the year ended December 31, 2011, there is no requirement to make such allocation.</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2011, the Luxembourg Annual Accounts for Altisource show a balance sheet total of $78.9 million and a loss for the year then ended of $1.4 million. As noted in Proposal Four above, profits earned by subsidiaries of Altisource are not included in the calculation of net profits for Altisource’s Luxembourg Annual Accounts unless such profits have been distributed to Altisource.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proposes to allocate the loss reflected in the Luxembourg Annual Accounts to results brought forward.</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THAT YOU VOTE “FOR” THE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ALLOCATION OF THE RESULTS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THE YEAR ENDED DECEMBER 31, 2011.</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74" w:right="319" w:bottom="1440" w:gutter="0" w:footer="0" w:header="0"/>
        </w:sectPr>
      </w:pPr>
    </w:p>
    <w:bookmarkStart w:id="42" w:name="page43"/>
    <w:bookmarkEnd w:id="4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DISCHARGE OF EACH OF THE CURRENT AND PAST DIRECTORS OF ALTISOURCE</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PERFORMANCE OF THEIR MANDATE DURING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(Proposal Seven)</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Luxembourg law, shareholders must approve the individual discharge of all of the current and past Directors for the performance of their mandate during the relevant fiscal year. As required pursuant to Luxembourg law, after the adoption of the Luxembourg Statutory Accounts (as discussed in Proposal Six above), the shareholders of Altisource shall vote whether to discharge Altisource’s Directors for the performance of their mandate during the relevant fiscal year. If the shareholders grant the discharge of Directors for the relevant fiscal year, Altisource will not be able to initiate a liability claim against such Directors in connection with the performance of their mandate for the relevant fiscal year. However, such discharge will not be valid if the Luxembourg statutory accounts contain an omission or false information concerning Altisource’s position. Furthermore, such discharge will not be valid with respect to any acts taken by a Director which fall outside the scope of Altisource’s Articles of Association unless such actions have been disclosed to the shareholders and approved by them. For fiscal year 2011, Altisource believes none of the Directors have taken any actions outside the scope of Altisource’s Articles of Association.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During part or all of the fiscal year ended December 31, 2011, the following persons served as Directors: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William B. Shepro;</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 Michael Linn;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Roland Müller-Ineichen;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Timo Vättö; and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Silke Andresen-Kienz.</w:t>
      </w:r>
    </w:p>
    <w:p>
      <w:pPr>
        <w:spacing w:after="0" w:line="321" w:lineRule="exact"/>
        <w:rPr>
          <w:sz w:val="20"/>
          <w:szCs w:val="20"/>
          <w:color w:val="auto"/>
        </w:rPr>
      </w:pPr>
    </w:p>
    <w:p>
      <w:pPr>
        <w:jc w:val="center"/>
        <w:ind w:left="360" w:right="1680"/>
        <w:spacing w:after="0" w:line="310" w:lineRule="auto"/>
        <w:rPr>
          <w:sz w:val="20"/>
          <w:szCs w:val="20"/>
          <w:color w:val="auto"/>
        </w:rPr>
      </w:pPr>
      <w:r>
        <w:rPr>
          <w:rFonts w:ascii="Arial" w:cs="Arial" w:eastAsia="Arial" w:hAnsi="Arial"/>
          <w:sz w:val="16"/>
          <w:szCs w:val="16"/>
          <w:b w:val="1"/>
          <w:bCs w:val="1"/>
          <w:color w:val="auto"/>
        </w:rPr>
        <w:t>OUR BOARD OF DIRECTORS UNANIMOUSLY RECOMMENDS THAT YOU VOTE “FOR” THE DISCHARGE OF EACH OF THE CURRENT AND PAST DIRECTORS OF ALTISOURCE FOR THE PERFORMANCE OF THEIR MANDATE DURING THE YEAR ENDED DECEMBER 31, 2011.</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274"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RELATIONSHIPS AND RELATED PARTY TRANSACTIONS</w:t>
      </w:r>
    </w:p>
    <w:p>
      <w:pPr>
        <w:spacing w:after="0" w:line="17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The Board of Directors has adopted a policy and procedure for review, approval and monitoring of transactions involving Altisource and related persons (Directors and named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This policy and procedure is not limited to related person transactions that meet the threshold for disclosure under the relevant SEC rules, as it broadly covers any situation in which a conflict of interest may arise.</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of Directors if any such situation requires approval of the Board of Directors.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Altisource;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December 31, 2011, our Chairman owns or controls 13.68% of Ocwen’s common stock and 23.34% of our common stock. Therefore, transactions between the Company and Ocwen are related party transactions. For the year ended December 31, 2011, we generated $223.2 million of Mortgage Services, $0.3 million of Financial Services and $21.8 million of Technology Services segment revenue from Ocwen. Services provided to Ocwen included residential property valuation, real estate asset management and sales, trustee management services, property inspection and preservation, closing and insurance services, charge-off second mortgage collections, core technology back office support and multiple business technologies including our REALSuite™ of products. We provided all services at rates we believe to be comparable to market rates.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for the year ended December 31, 2011, Altisource billed Ocwen $2.6 million and Ocwen billed Altisource $1.9 million for services provided under a Transition Services Agreement.</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further information with regard to related party transactions between the Company and Ocwen, please see the Company’s Form 10-K filed on February 16, 2012.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Any proposal which a shareholder desires to have included in our proxy materials relating to our next Annual Meeting of Shareholders, which is scheduled to be held on May 15, 2013, must be received at our executive offices no later than November 30, 2012. All shareholder proposals for the 2013 Annual Meeting of Shareholders should be directed to our Corporate Secretary at Altisource Portfolio Solutions S.A., 291, route d’Arlon, L-1150 Luxembourg City, Grand Duchy of Luxembourg. We recommend that you send any shareholder proposal by certified mail, return-receipt requested.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any proposal that is not submitted for inclusion in the 2013 proxy statement, but is instead sought to be presented directly at the 2013 Annual Meeting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Shareholders, SEC rules permit management to vote proxies in its discretion if we:</w:t>
      </w:r>
    </w:p>
    <w:p>
      <w:pPr>
        <w:spacing w:after="0" w:line="84" w:lineRule="exact"/>
        <w:rPr>
          <w:sz w:val="20"/>
          <w:szCs w:val="20"/>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 notice of the proposal before the close of business on February 13, 2013 and advise shareholders in the 2013 proxy statement about the nature of the matter and how management intends to vote on such matter,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13,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4" w:name="page45"/>
    <w:bookmarkEnd w:id="44"/>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intent to present a proposal at the 2013 Annual Meeting of Shareholders should be directed to our Corporate Secretary at Altisource Portfolio Solutions S.A., 291, route d’Arlon, L-1150 Luxembourg City, Grand Duchy of Luxembourg.</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did not receive notice of any shareholder proposals relating to the 2012 Annual Meeting of Shareholders. At the 2012 Annual Meeting of Shareholders, our management may exercise discretionary authority when voting on any properly presented shareholder proposal that is not included as an agenda item in this proxy statement.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2011 was made available to shareholders on February 16, 2012. The annual report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w:t>
      </w:r>
    </w:p>
    <w:p>
      <w:pPr>
        <w:spacing w:after="0" w:line="13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our annual report on Form 10-K for the year ended December 31, 2011, required to be filed by us with the SEC under the Securities Exchange Act of 1934, as amended. Such requests should be directed to Investor Relations, Altisource Portfolio Solutions S.A., 291, route d’Arlon, L-1150 Luxembourg City, Grand Duchy of Luxembourg.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2011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approval of the selection of the independent auditor; (3) for the approval of a share repurchase program whereby Altisource may repurchase outstanding shares of its common stock within certain limits; (4) for the approval of the Company’s annual accounts prepared in accordance with Luxembourg GAAP (the “Luxembourg Annual Accounts”) and the Company’s consolidated financial statements prepared in accordance with U.S. GAAP including a footnote reconciliation of equity and net income to IFRS (the “Consolidated Accounts”), in each case for the year ended December 31, 2011 (together the “Luxembourg Statutory Accounts”); (5) for the proposal to receive and approve the Directors’ reports on the Luxembourg Statutory Accounts for the year ended December 31, 2011; (6) for the proposal to allocate the results of the year ended December 31, 2011; and (7) for the approval of the discharge of all of the current and past Directors of Altisource for the performance of their mandate during the year ended December 31, 2011. Should any matter not described above be properly presented at the meeting, the persons named in the proxy form will vote in accordance with their judgment.</w:t>
      </w:r>
    </w:p>
    <w:p>
      <w:pPr>
        <w:spacing w:after="0" w:line="12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broker, bank or other nominee may only deliver one (1) copy of this proxy statement and our 2011 annual report to multiple shareholders who share an address unless that nominee has received contrary instructions from one (1) or more of the shareholders. Shareholders at an address to which a single copy of this proxy statement and our 2011 annual report was sent may request a separate copy by contacting Investor Relations, Altisource Portfolio Solutions S.A., 291, route d’Arlon, L-1150 Luxembourg City, Grand Duchy of Luxembourg.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This proxy statement and our 2011 annual report may be viewed online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In addition, this proxy statement and our 2011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5" w:name="page46"/>
    <w:bookmarkEnd w:id="45"/>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ALTISOURCE PORTFOLIO SOLUTIONS S.A.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 PROXY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 BOX 9142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FARMINGDALE, NY 11735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-307975</wp:posOffset>
            </wp:positionV>
            <wp:extent cx="7289165" cy="77374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7737475"/>
                    </a:xfrm>
                    <a:prstGeom prst="rect">
                      <a:avLst/>
                    </a:prstGeom>
                    <a:noFill/>
                  </pic:spPr>
                </pic:pic>
              </a:graphicData>
            </a:graphic>
          </wp:anchor>
        </w:drawing>
      </w:r>
    </w:p>
    <w:p>
      <w:pPr>
        <w:ind w:right="120"/>
        <w:spacing w:after="0" w:line="271" w:lineRule="auto"/>
        <w:rPr>
          <w:sz w:val="20"/>
          <w:szCs w:val="20"/>
          <w:color w:val="auto"/>
        </w:rPr>
      </w:pPr>
      <w:r>
        <w:rPr>
          <w:rFonts w:ascii="Arial" w:cs="Arial" w:eastAsia="Arial" w:hAnsi="Arial"/>
          <w:sz w:val="12"/>
          <w:szCs w:val="12"/>
          <w:color w:val="auto"/>
        </w:rPr>
        <w:t>Use the lnternet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If you would like to reduce the costs incurred by Altisource Portfolio Solutions S.A.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jc w:val="both"/>
        <w:ind w:right="14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240"/>
        <w:spacing w:after="0" w:line="22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60" w:space="720"/>
            <w:col w:w="5200"/>
          </w:cols>
          <w:pgMar w:left="440" w:top="464" w:right="379" w:bottom="1440" w:gutter="0" w:footer="0" w:header="0"/>
        </w:sectPr>
      </w:pP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496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40" w:type="dxa"/>
            <w:vAlign w:val="bottom"/>
            <w:gridSpan w:val="6"/>
          </w:tcPr>
          <w:p>
            <w:pPr>
              <w:jc w:val="right"/>
              <w:ind w:right="20"/>
              <w:spacing w:after="0"/>
              <w:rPr>
                <w:sz w:val="20"/>
                <w:szCs w:val="20"/>
                <w:color w:val="auto"/>
              </w:rPr>
            </w:pPr>
            <w:r>
              <w:rPr>
                <w:rFonts w:ascii="Arial" w:cs="Arial" w:eastAsia="Arial" w:hAnsi="Arial"/>
                <w:sz w:val="14"/>
                <w:szCs w:val="14"/>
                <w:color w:val="auto"/>
                <w:w w:val="99"/>
              </w:rPr>
              <w:t>KEEP THIS PORTION FOR YOUR RECORDS</w:t>
            </w: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80" w:type="dxa"/>
            <w:vAlign w:val="bottom"/>
            <w:gridSpan w:val="6"/>
          </w:tcPr>
          <w:p>
            <w:pPr>
              <w:ind w:left="400"/>
              <w:spacing w:after="0"/>
              <w:rPr>
                <w:sz w:val="20"/>
                <w:szCs w:val="20"/>
                <w:color w:val="auto"/>
              </w:rPr>
            </w:pPr>
            <w:r>
              <w:rPr>
                <w:rFonts w:ascii="Arial" w:cs="Arial" w:eastAsia="Arial" w:hAnsi="Arial"/>
                <w:sz w:val="14"/>
                <w:szCs w:val="14"/>
                <w:b w:val="1"/>
                <w:bCs w:val="1"/>
                <w:color w:val="auto"/>
                <w:w w:val="99"/>
              </w:rPr>
              <w:t>THIS PROXY CARD IS VALID ONLY WHEN SIGNED AND DATED.</w:t>
            </w:r>
          </w:p>
        </w:tc>
        <w:tc>
          <w:tcPr>
            <w:tcW w:w="2940" w:type="dxa"/>
            <w:vAlign w:val="bottom"/>
            <w:gridSpan w:val="6"/>
          </w:tcPr>
          <w:p>
            <w:pPr>
              <w:jc w:val="right"/>
              <w:ind w:right="20"/>
              <w:spacing w:after="0"/>
              <w:rPr>
                <w:sz w:val="20"/>
                <w:szCs w:val="20"/>
                <w:color w:val="auto"/>
              </w:rPr>
            </w:pPr>
            <w:r>
              <w:rPr>
                <w:rFonts w:ascii="Arial" w:cs="Arial" w:eastAsia="Arial" w:hAnsi="Arial"/>
                <w:sz w:val="14"/>
                <w:szCs w:val="14"/>
                <w:color w:val="auto"/>
                <w:w w:val="97"/>
              </w:rPr>
              <w:t>DETACH AND RETURN THIS PORTION ONLY</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auto"/>
            </w:tcBorders>
            <w:gridSpan w:val="3"/>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60" w:type="dxa"/>
            <w:vAlign w:val="bottom"/>
            <w:gridSpan w:val="3"/>
          </w:tcPr>
          <w:p>
            <w:pPr>
              <w:ind w:left="120"/>
              <w:spacing w:after="0"/>
              <w:rPr>
                <w:sz w:val="20"/>
                <w:szCs w:val="20"/>
                <w:color w:val="auto"/>
              </w:rPr>
            </w:pPr>
            <w:r>
              <w:rPr>
                <w:rFonts w:ascii="Arial" w:cs="Arial" w:eastAsia="Arial" w:hAnsi="Arial"/>
                <w:sz w:val="14"/>
                <w:szCs w:val="14"/>
                <w:b w:val="1"/>
                <w:bCs w:val="1"/>
                <w:color w:val="auto"/>
              </w:rPr>
              <w:t>ALTISOURCE PORTFOLIO SOLUTIONS S.A.</w:t>
            </w:r>
          </w:p>
        </w:tc>
        <w:tc>
          <w:tcPr>
            <w:tcW w:w="1500" w:type="dxa"/>
            <w:vAlign w:val="bottom"/>
            <w:vMerge w:val="restart"/>
          </w:tcPr>
          <w:p>
            <w:pPr>
              <w:jc w:val="center"/>
              <w:ind w:left="887"/>
              <w:spacing w:after="0"/>
              <w:rPr>
                <w:sz w:val="20"/>
                <w:szCs w:val="20"/>
                <w:color w:val="auto"/>
              </w:rPr>
            </w:pPr>
            <w:r>
              <w:rPr>
                <w:rFonts w:ascii="Arial" w:cs="Arial" w:eastAsia="Arial" w:hAnsi="Arial"/>
                <w:sz w:val="14"/>
                <w:szCs w:val="14"/>
                <w:b w:val="1"/>
                <w:bCs w:val="1"/>
                <w:color w:val="auto"/>
                <w:w w:val="97"/>
              </w:rPr>
              <w:t>For</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Withhold</w:t>
            </w: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For All</w:t>
            </w:r>
          </w:p>
        </w:tc>
        <w:tc>
          <w:tcPr>
            <w:tcW w:w="240" w:type="dxa"/>
            <w:vAlign w:val="bottom"/>
          </w:tcPr>
          <w:p>
            <w:pPr>
              <w:spacing w:after="0"/>
              <w:rPr>
                <w:sz w:val="20"/>
                <w:szCs w:val="20"/>
                <w:color w:val="auto"/>
              </w:rPr>
            </w:pPr>
          </w:p>
        </w:tc>
        <w:tc>
          <w:tcPr>
            <w:tcW w:w="4440" w:type="dxa"/>
            <w:vAlign w:val="bottom"/>
            <w:tcBorders>
              <w:right w:val="single" w:sz="8" w:color="auto"/>
            </w:tcBorders>
            <w:gridSpan w:val="7"/>
            <w:vMerge w:val="restart"/>
          </w:tcPr>
          <w:p>
            <w:pPr>
              <w:spacing w:after="0"/>
              <w:rPr>
                <w:sz w:val="20"/>
                <w:szCs w:val="20"/>
                <w:color w:val="auto"/>
              </w:rPr>
            </w:pPr>
            <w:r>
              <w:rPr>
                <w:rFonts w:ascii="Arial" w:cs="Arial" w:eastAsia="Arial" w:hAnsi="Arial"/>
                <w:sz w:val="14"/>
                <w:szCs w:val="14"/>
                <w:color w:val="auto"/>
                <w:w w:val="98"/>
              </w:rPr>
              <w:t>To withhold authority to vote for any individual nominee(s), mark “For All</w:t>
            </w: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440" w:type="dxa"/>
            <w:vAlign w:val="bottom"/>
            <w:tcBorders>
              <w:right w:val="single" w:sz="8" w:color="auto"/>
            </w:tcBorders>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00" w:type="dxa"/>
            <w:vAlign w:val="bottom"/>
          </w:tcPr>
          <w:p>
            <w:pPr>
              <w:jc w:val="center"/>
              <w:ind w:left="887"/>
              <w:spacing w:after="0"/>
              <w:rPr>
                <w:sz w:val="20"/>
                <w:szCs w:val="20"/>
                <w:color w:val="auto"/>
              </w:rPr>
            </w:pPr>
            <w:r>
              <w:rPr>
                <w:rFonts w:ascii="Arial" w:cs="Arial" w:eastAsia="Arial" w:hAnsi="Arial"/>
                <w:sz w:val="14"/>
                <w:szCs w:val="14"/>
                <w:b w:val="1"/>
                <w:bCs w:val="1"/>
                <w:color w:val="auto"/>
              </w:rPr>
              <w:t>All</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All</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Except</w:t>
            </w:r>
          </w:p>
        </w:tc>
        <w:tc>
          <w:tcPr>
            <w:tcW w:w="240" w:type="dxa"/>
            <w:vAlign w:val="bottom"/>
          </w:tcPr>
          <w:p>
            <w:pPr>
              <w:spacing w:after="0"/>
              <w:rPr>
                <w:sz w:val="14"/>
                <w:szCs w:val="14"/>
                <w:color w:val="auto"/>
              </w:rPr>
            </w:pPr>
          </w:p>
        </w:tc>
        <w:tc>
          <w:tcPr>
            <w:tcW w:w="4440" w:type="dxa"/>
            <w:vAlign w:val="bottom"/>
            <w:tcBorders>
              <w:right w:val="single" w:sz="8" w:color="auto"/>
            </w:tcBorders>
            <w:gridSpan w:val="7"/>
          </w:tcPr>
          <w:p>
            <w:pPr>
              <w:spacing w:after="0"/>
              <w:rPr>
                <w:sz w:val="20"/>
                <w:szCs w:val="20"/>
                <w:color w:val="auto"/>
              </w:rPr>
            </w:pPr>
            <w:r>
              <w:rPr>
                <w:rFonts w:ascii="Arial" w:cs="Arial" w:eastAsia="Arial" w:hAnsi="Arial"/>
                <w:sz w:val="14"/>
                <w:szCs w:val="14"/>
                <w:color w:val="auto"/>
              </w:rPr>
              <w:t>Except” and write the number(s) of the nominee(s) on the line below.</w:t>
            </w:r>
          </w:p>
        </w:tc>
        <w:tc>
          <w:tcPr>
            <w:tcW w:w="0" w:type="dxa"/>
            <w:vAlign w:val="bottom"/>
          </w:tcPr>
          <w:p>
            <w:pPr>
              <w:spacing w:after="0"/>
              <w:rPr>
                <w:sz w:val="1"/>
                <w:szCs w:val="1"/>
                <w:color w:val="auto"/>
              </w:rPr>
            </w:pPr>
          </w:p>
        </w:tc>
      </w:tr>
      <w:tr>
        <w:trPr>
          <w:trHeight w:val="147"/>
        </w:trPr>
        <w:tc>
          <w:tcPr>
            <w:tcW w:w="4960" w:type="dxa"/>
            <w:vAlign w:val="bottom"/>
            <w:gridSpan w:val="4"/>
          </w:tcPr>
          <w:p>
            <w:pPr>
              <w:ind w:left="120"/>
              <w:spacing w:after="0" w:line="147" w:lineRule="exact"/>
              <w:rPr>
                <w:sz w:val="20"/>
                <w:szCs w:val="20"/>
                <w:color w:val="auto"/>
              </w:rPr>
            </w:pPr>
            <w:r>
              <w:rPr>
                <w:rFonts w:ascii="Arial" w:cs="Arial" w:eastAsia="Arial" w:hAnsi="Arial"/>
                <w:sz w:val="14"/>
                <w:szCs w:val="14"/>
                <w:b w:val="1"/>
                <w:bCs w:val="1"/>
                <w:color w:val="auto"/>
              </w:rPr>
              <w:t>The Board of Directors recommends you vote FOR the following:</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ind w:left="120"/>
              <w:spacing w:after="0"/>
              <w:rPr>
                <w:sz w:val="20"/>
                <w:szCs w:val="20"/>
                <w:color w:val="auto"/>
              </w:rPr>
            </w:pPr>
            <w:r>
              <w:rPr>
                <w:rFonts w:ascii="Arial" w:cs="Arial" w:eastAsia="Arial" w:hAnsi="Arial"/>
                <w:sz w:val="14"/>
                <w:szCs w:val="14"/>
                <w:color w:val="auto"/>
              </w:rPr>
              <w:t>1.</w:t>
            </w:r>
          </w:p>
        </w:tc>
        <w:tc>
          <w:tcPr>
            <w:tcW w:w="3180" w:type="dxa"/>
            <w:vAlign w:val="bottom"/>
            <w:gridSpan w:val="2"/>
          </w:tcPr>
          <w:p>
            <w:pPr>
              <w:ind w:left="240"/>
              <w:spacing w:after="0"/>
              <w:rPr>
                <w:sz w:val="20"/>
                <w:szCs w:val="20"/>
                <w:color w:val="auto"/>
              </w:rPr>
            </w:pPr>
            <w:r>
              <w:rPr>
                <w:rFonts w:ascii="Arial" w:cs="Arial" w:eastAsia="Arial" w:hAnsi="Arial"/>
                <w:sz w:val="14"/>
                <w:szCs w:val="14"/>
                <w:color w:val="auto"/>
              </w:rPr>
              <w:t>Election of Directors</w:t>
            </w:r>
          </w:p>
        </w:tc>
        <w:tc>
          <w:tcPr>
            <w:tcW w:w="1500" w:type="dxa"/>
            <w:vAlign w:val="bottom"/>
          </w:tcPr>
          <w:p>
            <w:pPr>
              <w:jc w:val="center"/>
              <w:ind w:left="907"/>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3180" w:type="dxa"/>
            <w:vAlign w:val="bottom"/>
            <w:gridSpan w:val="2"/>
          </w:tcPr>
          <w:p>
            <w:pPr>
              <w:ind w:left="240"/>
              <w:spacing w:after="0"/>
              <w:rPr>
                <w:sz w:val="20"/>
                <w:szCs w:val="20"/>
                <w:color w:val="auto"/>
              </w:rPr>
            </w:pPr>
            <w:r>
              <w:rPr>
                <w:rFonts w:ascii="Arial" w:cs="Arial" w:eastAsia="Arial" w:hAnsi="Arial"/>
                <w:sz w:val="14"/>
                <w:szCs w:val="14"/>
                <w:b w:val="1"/>
                <w:bCs w:val="1"/>
                <w:color w:val="auto"/>
              </w:rPr>
              <w:t>Nominees:</w:t>
            </w:r>
          </w:p>
        </w:tc>
        <w:tc>
          <w:tcPr>
            <w:tcW w:w="1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4"/>
                <w:szCs w:val="14"/>
                <w:color w:val="auto"/>
              </w:rPr>
              <w:t>01)</w:t>
            </w:r>
          </w:p>
        </w:tc>
        <w:tc>
          <w:tcPr>
            <w:tcW w:w="2700" w:type="dxa"/>
            <w:vAlign w:val="bottom"/>
          </w:tcPr>
          <w:p>
            <w:pPr>
              <w:ind w:left="60"/>
              <w:spacing w:after="0"/>
              <w:rPr>
                <w:sz w:val="20"/>
                <w:szCs w:val="20"/>
                <w:color w:val="auto"/>
              </w:rPr>
            </w:pPr>
            <w:r>
              <w:rPr>
                <w:rFonts w:ascii="Arial" w:cs="Arial" w:eastAsia="Arial" w:hAnsi="Arial"/>
                <w:sz w:val="14"/>
                <w:szCs w:val="14"/>
                <w:color w:val="auto"/>
              </w:rPr>
              <w:t>William C. Erbey</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80" w:type="dxa"/>
            <w:vAlign w:val="bottom"/>
          </w:tcPr>
          <w:p>
            <w:pPr>
              <w:ind w:left="240"/>
              <w:spacing w:after="0" w:line="149" w:lineRule="exact"/>
              <w:rPr>
                <w:sz w:val="20"/>
                <w:szCs w:val="20"/>
                <w:color w:val="auto"/>
              </w:rPr>
            </w:pPr>
            <w:r>
              <w:rPr>
                <w:rFonts w:ascii="Arial" w:cs="Arial" w:eastAsia="Arial" w:hAnsi="Arial"/>
                <w:sz w:val="14"/>
                <w:szCs w:val="14"/>
                <w:color w:val="auto"/>
              </w:rPr>
              <w:t>02)</w:t>
            </w:r>
          </w:p>
        </w:tc>
        <w:tc>
          <w:tcPr>
            <w:tcW w:w="2700" w:type="dxa"/>
            <w:vAlign w:val="bottom"/>
          </w:tcPr>
          <w:p>
            <w:pPr>
              <w:ind w:left="60"/>
              <w:spacing w:after="0" w:line="149" w:lineRule="exact"/>
              <w:rPr>
                <w:sz w:val="20"/>
                <w:szCs w:val="20"/>
                <w:color w:val="auto"/>
              </w:rPr>
            </w:pPr>
            <w:r>
              <w:rPr>
                <w:rFonts w:ascii="Arial" w:cs="Arial" w:eastAsia="Arial" w:hAnsi="Arial"/>
                <w:sz w:val="14"/>
                <w:szCs w:val="14"/>
                <w:color w:val="auto"/>
              </w:rPr>
              <w:t>William B. Shepro</w:t>
            </w: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80" w:type="dxa"/>
            <w:vAlign w:val="bottom"/>
          </w:tcPr>
          <w:p>
            <w:pPr>
              <w:ind w:left="240"/>
              <w:spacing w:after="0" w:line="149" w:lineRule="exact"/>
              <w:rPr>
                <w:sz w:val="20"/>
                <w:szCs w:val="20"/>
                <w:color w:val="auto"/>
              </w:rPr>
            </w:pPr>
            <w:r>
              <w:rPr>
                <w:rFonts w:ascii="Arial" w:cs="Arial" w:eastAsia="Arial" w:hAnsi="Arial"/>
                <w:sz w:val="14"/>
                <w:szCs w:val="14"/>
                <w:color w:val="auto"/>
              </w:rPr>
              <w:t>03)</w:t>
            </w:r>
          </w:p>
        </w:tc>
        <w:tc>
          <w:tcPr>
            <w:tcW w:w="2700" w:type="dxa"/>
            <w:vAlign w:val="bottom"/>
          </w:tcPr>
          <w:p>
            <w:pPr>
              <w:ind w:left="60"/>
              <w:spacing w:after="0" w:line="149" w:lineRule="exact"/>
              <w:rPr>
                <w:sz w:val="20"/>
                <w:szCs w:val="20"/>
                <w:color w:val="auto"/>
              </w:rPr>
            </w:pPr>
            <w:r>
              <w:rPr>
                <w:rFonts w:ascii="Arial" w:cs="Arial" w:eastAsia="Arial" w:hAnsi="Arial"/>
                <w:sz w:val="14"/>
                <w:szCs w:val="14"/>
                <w:color w:val="auto"/>
              </w:rPr>
              <w:t>W. Michael Linn</w:t>
            </w: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80" w:type="dxa"/>
            <w:vAlign w:val="bottom"/>
          </w:tcPr>
          <w:p>
            <w:pPr>
              <w:ind w:left="240"/>
              <w:spacing w:after="0" w:line="149" w:lineRule="exact"/>
              <w:rPr>
                <w:sz w:val="20"/>
                <w:szCs w:val="20"/>
                <w:color w:val="auto"/>
              </w:rPr>
            </w:pPr>
            <w:r>
              <w:rPr>
                <w:rFonts w:ascii="Arial" w:cs="Arial" w:eastAsia="Arial" w:hAnsi="Arial"/>
                <w:sz w:val="14"/>
                <w:szCs w:val="14"/>
                <w:color w:val="auto"/>
              </w:rPr>
              <w:t>04)</w:t>
            </w:r>
          </w:p>
        </w:tc>
        <w:tc>
          <w:tcPr>
            <w:tcW w:w="2700" w:type="dxa"/>
            <w:vAlign w:val="bottom"/>
          </w:tcPr>
          <w:p>
            <w:pPr>
              <w:ind w:left="60"/>
              <w:spacing w:after="0" w:line="149" w:lineRule="exact"/>
              <w:rPr>
                <w:sz w:val="20"/>
                <w:szCs w:val="20"/>
                <w:color w:val="auto"/>
              </w:rPr>
            </w:pPr>
            <w:r>
              <w:rPr>
                <w:rFonts w:ascii="Arial" w:cs="Arial" w:eastAsia="Arial" w:hAnsi="Arial"/>
                <w:sz w:val="14"/>
                <w:szCs w:val="14"/>
                <w:color w:val="auto"/>
              </w:rPr>
              <w:t>Roland Müller-Ineichen</w:t>
            </w: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480" w:type="dxa"/>
            <w:vAlign w:val="bottom"/>
          </w:tcPr>
          <w:p>
            <w:pPr>
              <w:ind w:left="240"/>
              <w:spacing w:after="0"/>
              <w:rPr>
                <w:sz w:val="20"/>
                <w:szCs w:val="20"/>
                <w:color w:val="auto"/>
              </w:rPr>
            </w:pPr>
            <w:r>
              <w:rPr>
                <w:rFonts w:ascii="Arial" w:cs="Arial" w:eastAsia="Arial" w:hAnsi="Arial"/>
                <w:sz w:val="14"/>
                <w:szCs w:val="14"/>
                <w:color w:val="auto"/>
              </w:rPr>
              <w:t>05)</w:t>
            </w:r>
          </w:p>
        </w:tc>
        <w:tc>
          <w:tcPr>
            <w:tcW w:w="2700" w:type="dxa"/>
            <w:vAlign w:val="bottom"/>
          </w:tcPr>
          <w:p>
            <w:pPr>
              <w:ind w:left="60"/>
              <w:spacing w:after="0"/>
              <w:rPr>
                <w:sz w:val="20"/>
                <w:szCs w:val="20"/>
                <w:color w:val="auto"/>
              </w:rPr>
            </w:pPr>
            <w:r>
              <w:rPr>
                <w:rFonts w:ascii="Arial" w:cs="Arial" w:eastAsia="Arial" w:hAnsi="Arial"/>
                <w:sz w:val="14"/>
                <w:szCs w:val="14"/>
                <w:color w:val="auto"/>
              </w:rPr>
              <w:t>Timo Vättö</w:t>
            </w: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9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5"/>
              </w:rPr>
              <w:t>The Board of Directors recommends you vote FOR the following proposals: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For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98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36"/>
        </w:trPr>
        <w:tc>
          <w:tcPr>
            <w:tcW w:w="496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0" w:type="dxa"/>
            <w:vAlign w:val="bottom"/>
          </w:tcPr>
          <w:p>
            <w:pPr>
              <w:ind w:left="120"/>
              <w:spacing w:after="0"/>
              <w:rPr>
                <w:sz w:val="20"/>
                <w:szCs w:val="20"/>
                <w:color w:val="auto"/>
              </w:rPr>
            </w:pPr>
            <w:r>
              <w:rPr>
                <w:rFonts w:ascii="Arial" w:cs="Arial" w:eastAsia="Arial" w:hAnsi="Arial"/>
                <w:sz w:val="14"/>
                <w:szCs w:val="14"/>
                <w:color w:val="auto"/>
              </w:rPr>
              <w:t>2.</w:t>
            </w:r>
          </w:p>
        </w:tc>
        <w:tc>
          <w:tcPr>
            <w:tcW w:w="8900" w:type="dxa"/>
            <w:vAlign w:val="bottom"/>
            <w:gridSpan w:val="9"/>
          </w:tcPr>
          <w:p>
            <w:pPr>
              <w:ind w:left="80"/>
              <w:spacing w:after="0"/>
              <w:rPr>
                <w:sz w:val="20"/>
                <w:szCs w:val="20"/>
                <w:color w:val="auto"/>
              </w:rPr>
            </w:pPr>
            <w:r>
              <w:rPr>
                <w:rFonts w:ascii="Arial" w:cs="Arial" w:eastAsia="Arial" w:hAnsi="Arial"/>
                <w:sz w:val="14"/>
                <w:szCs w:val="14"/>
                <w:color w:val="auto"/>
                <w:w w:val="92"/>
              </w:rPr>
              <w:t>Proposal to approve the appointment by the Audit Committee of our Board of Directors of Deloitte &amp; Touche LLP to be our independent registered certified</w:t>
            </w:r>
          </w:p>
        </w:tc>
        <w:tc>
          <w:tcPr>
            <w:tcW w:w="380" w:type="dxa"/>
            <w:vAlign w:val="bottom"/>
          </w:tcPr>
          <w:p>
            <w:pPr>
              <w:jc w:val="center"/>
              <w:ind w:right="77"/>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Borders>
              <w:right w:val="single" w:sz="8" w:color="auto"/>
            </w:tcBorders>
            <w:gridSpan w:val="3"/>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80" w:type="dxa"/>
            <w:vAlign w:val="bottom"/>
          </w:tcPr>
          <w:p>
            <w:pPr>
              <w:spacing w:after="0"/>
              <w:rPr>
                <w:sz w:val="11"/>
                <w:szCs w:val="11"/>
                <w:color w:val="auto"/>
              </w:rPr>
            </w:pPr>
          </w:p>
        </w:tc>
        <w:tc>
          <w:tcPr>
            <w:tcW w:w="8900" w:type="dxa"/>
            <w:vAlign w:val="bottom"/>
            <w:gridSpan w:val="9"/>
          </w:tcPr>
          <w:p>
            <w:pPr>
              <w:ind w:left="60"/>
              <w:spacing w:after="0" w:line="137" w:lineRule="exact"/>
              <w:rPr>
                <w:sz w:val="20"/>
                <w:szCs w:val="20"/>
                <w:color w:val="auto"/>
              </w:rPr>
            </w:pPr>
            <w:r>
              <w:rPr>
                <w:rFonts w:ascii="Arial" w:cs="Arial" w:eastAsia="Arial" w:hAnsi="Arial"/>
                <w:sz w:val="14"/>
                <w:szCs w:val="14"/>
                <w:color w:val="auto"/>
                <w:w w:val="92"/>
              </w:rPr>
              <w:t>public accounting firm for the year ending December 31, 2012 and Deloitte Audit S.à r.l. to be our certified auditor for all statutory accounts as required by</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Luxembourg law for the same period</w:t>
            </w: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0" w:type="dxa"/>
            <w:vAlign w:val="bottom"/>
          </w:tcPr>
          <w:p>
            <w:pPr>
              <w:ind w:left="120"/>
              <w:spacing w:after="0"/>
              <w:rPr>
                <w:sz w:val="20"/>
                <w:szCs w:val="20"/>
                <w:color w:val="auto"/>
              </w:rPr>
            </w:pPr>
            <w:r>
              <w:rPr>
                <w:rFonts w:ascii="Arial" w:cs="Arial" w:eastAsia="Arial" w:hAnsi="Arial"/>
                <w:sz w:val="14"/>
                <w:szCs w:val="14"/>
                <w:color w:val="auto"/>
              </w:rPr>
              <w:t>3.</w:t>
            </w:r>
          </w:p>
        </w:tc>
        <w:tc>
          <w:tcPr>
            <w:tcW w:w="8900" w:type="dxa"/>
            <w:vAlign w:val="bottom"/>
            <w:gridSpan w:val="9"/>
          </w:tcPr>
          <w:p>
            <w:pPr>
              <w:ind w:left="80"/>
              <w:spacing w:after="0"/>
              <w:rPr>
                <w:sz w:val="20"/>
                <w:szCs w:val="20"/>
                <w:color w:val="auto"/>
              </w:rPr>
            </w:pPr>
            <w:r>
              <w:rPr>
                <w:rFonts w:ascii="Arial" w:cs="Arial" w:eastAsia="Arial" w:hAnsi="Arial"/>
                <w:sz w:val="14"/>
                <w:szCs w:val="14"/>
                <w:color w:val="auto"/>
                <w:w w:val="90"/>
              </w:rPr>
              <w:t>Proposal to approve a share repurchase program whereby Altisource Portfolio Solutions S.A. may repurchase outstanding shares of its common stock within</w:t>
            </w:r>
          </w:p>
        </w:tc>
        <w:tc>
          <w:tcPr>
            <w:tcW w:w="380" w:type="dxa"/>
            <w:vAlign w:val="bottom"/>
          </w:tcPr>
          <w:p>
            <w:pPr>
              <w:jc w:val="center"/>
              <w:ind w:right="77"/>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Borders>
              <w:right w:val="single" w:sz="8" w:color="auto"/>
            </w:tcBorders>
            <w:gridSpan w:val="3"/>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certain limits</w:t>
            </w: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Pr>
          <w:p>
            <w:pPr>
              <w:ind w:left="120"/>
              <w:spacing w:after="0"/>
              <w:rPr>
                <w:sz w:val="20"/>
                <w:szCs w:val="20"/>
                <w:color w:val="auto"/>
              </w:rPr>
            </w:pPr>
            <w:r>
              <w:rPr>
                <w:rFonts w:ascii="Arial" w:cs="Arial" w:eastAsia="Arial" w:hAnsi="Arial"/>
                <w:sz w:val="14"/>
                <w:szCs w:val="14"/>
                <w:color w:val="auto"/>
              </w:rPr>
              <w:t>4.</w:t>
            </w:r>
          </w:p>
        </w:tc>
        <w:tc>
          <w:tcPr>
            <w:tcW w:w="8900" w:type="dxa"/>
            <w:vAlign w:val="bottom"/>
            <w:gridSpan w:val="9"/>
          </w:tcPr>
          <w:p>
            <w:pPr>
              <w:ind w:left="80"/>
              <w:spacing w:after="0"/>
              <w:rPr>
                <w:sz w:val="20"/>
                <w:szCs w:val="20"/>
                <w:color w:val="auto"/>
              </w:rPr>
            </w:pPr>
            <w:r>
              <w:rPr>
                <w:rFonts w:ascii="Arial" w:cs="Arial" w:eastAsia="Arial" w:hAnsi="Arial"/>
                <w:sz w:val="14"/>
                <w:szCs w:val="14"/>
                <w:color w:val="auto"/>
                <w:w w:val="93"/>
              </w:rPr>
              <w:t>Proposal to approve Altisource Portfolio Solutions S.A.’s annual accounts prepared in accordance with Luxembourg GAAP and its consolidated financial</w:t>
            </w:r>
          </w:p>
        </w:tc>
        <w:tc>
          <w:tcPr>
            <w:tcW w:w="380" w:type="dxa"/>
            <w:vAlign w:val="bottom"/>
          </w:tcPr>
          <w:p>
            <w:pPr>
              <w:jc w:val="center"/>
              <w:ind w:right="77"/>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Borders>
              <w:right w:val="single" w:sz="8" w:color="auto"/>
            </w:tcBorders>
            <w:gridSpan w:val="3"/>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80" w:type="dxa"/>
            <w:vAlign w:val="bottom"/>
          </w:tcPr>
          <w:p>
            <w:pPr>
              <w:spacing w:after="0"/>
              <w:rPr>
                <w:sz w:val="11"/>
                <w:szCs w:val="11"/>
                <w:color w:val="auto"/>
              </w:rPr>
            </w:pPr>
          </w:p>
        </w:tc>
        <w:tc>
          <w:tcPr>
            <w:tcW w:w="8900" w:type="dxa"/>
            <w:vAlign w:val="bottom"/>
            <w:gridSpan w:val="9"/>
          </w:tcPr>
          <w:p>
            <w:pPr>
              <w:ind w:left="60"/>
              <w:spacing w:after="0" w:line="137" w:lineRule="exact"/>
              <w:rPr>
                <w:sz w:val="20"/>
                <w:szCs w:val="20"/>
                <w:color w:val="auto"/>
              </w:rPr>
            </w:pPr>
            <w:r>
              <w:rPr>
                <w:rFonts w:ascii="Arial" w:cs="Arial" w:eastAsia="Arial" w:hAnsi="Arial"/>
                <w:sz w:val="14"/>
                <w:szCs w:val="14"/>
                <w:color w:val="auto"/>
                <w:w w:val="93"/>
              </w:rPr>
              <w:t>statements prepared in accordance with U.S. GAAP including a footnote reconciliation of equity and net income to IFRS, in each case for the year ended</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4680" w:type="dxa"/>
            <w:vAlign w:val="bottom"/>
            <w:gridSpan w:val="3"/>
          </w:tcPr>
          <w:p>
            <w:pPr>
              <w:ind w:left="60"/>
              <w:spacing w:after="0"/>
              <w:rPr>
                <w:sz w:val="20"/>
                <w:szCs w:val="20"/>
                <w:color w:val="auto"/>
              </w:rPr>
            </w:pPr>
            <w:r>
              <w:rPr>
                <w:rFonts w:ascii="Arial" w:cs="Arial" w:eastAsia="Arial" w:hAnsi="Arial"/>
                <w:sz w:val="14"/>
                <w:szCs w:val="14"/>
                <w:color w:val="auto"/>
              </w:rPr>
              <w:t>December 31, 2011 (together the “Luxembourg Statutory Accounts”)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280" w:type="dxa"/>
            <w:vAlign w:val="bottom"/>
          </w:tcPr>
          <w:p>
            <w:pPr>
              <w:ind w:left="120"/>
              <w:spacing w:after="0"/>
              <w:rPr>
                <w:sz w:val="20"/>
                <w:szCs w:val="20"/>
                <w:color w:val="auto"/>
              </w:rPr>
            </w:pPr>
            <w:r>
              <w:rPr>
                <w:rFonts w:ascii="Arial" w:cs="Arial" w:eastAsia="Arial" w:hAnsi="Arial"/>
                <w:sz w:val="14"/>
                <w:szCs w:val="14"/>
                <w:color w:val="auto"/>
              </w:rPr>
              <w:t>5.</w:t>
            </w:r>
          </w:p>
        </w:tc>
        <w:tc>
          <w:tcPr>
            <w:tcW w:w="7860" w:type="dxa"/>
            <w:vAlign w:val="bottom"/>
            <w:gridSpan w:val="8"/>
          </w:tcPr>
          <w:p>
            <w:pPr>
              <w:ind w:left="80"/>
              <w:spacing w:after="0"/>
              <w:rPr>
                <w:sz w:val="20"/>
                <w:szCs w:val="20"/>
                <w:color w:val="auto"/>
              </w:rPr>
            </w:pPr>
            <w:r>
              <w:rPr>
                <w:rFonts w:ascii="Arial" w:cs="Arial" w:eastAsia="Arial" w:hAnsi="Arial"/>
                <w:sz w:val="14"/>
                <w:szCs w:val="14"/>
                <w:color w:val="auto"/>
                <w:w w:val="93"/>
              </w:rPr>
              <w:t>Proposal to receive and approve the Directors’ reports on the Luxembourg Statutory Accounts for the year ended December 31, 2011</w:t>
            </w:r>
          </w:p>
        </w:tc>
        <w:tc>
          <w:tcPr>
            <w:tcW w:w="1040" w:type="dxa"/>
            <w:vAlign w:val="bottom"/>
          </w:tcPr>
          <w:p>
            <w:pPr>
              <w:spacing w:after="0"/>
              <w:rPr>
                <w:sz w:val="24"/>
                <w:szCs w:val="24"/>
                <w:color w:val="auto"/>
              </w:rPr>
            </w:pPr>
          </w:p>
        </w:tc>
        <w:tc>
          <w:tcPr>
            <w:tcW w:w="380" w:type="dxa"/>
            <w:vAlign w:val="bottom"/>
          </w:tcPr>
          <w:p>
            <w:pPr>
              <w:jc w:val="center"/>
              <w:ind w:right="77"/>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Borders>
              <w:right w:val="single" w:sz="8" w:color="auto"/>
            </w:tcBorders>
            <w:gridSpan w:val="3"/>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tcPr>
          <w:p>
            <w:pPr>
              <w:ind w:left="120"/>
              <w:spacing w:after="0"/>
              <w:rPr>
                <w:sz w:val="20"/>
                <w:szCs w:val="20"/>
                <w:color w:val="auto"/>
              </w:rPr>
            </w:pPr>
            <w:r>
              <w:rPr>
                <w:rFonts w:ascii="Arial" w:cs="Arial" w:eastAsia="Arial" w:hAnsi="Arial"/>
                <w:sz w:val="14"/>
                <w:szCs w:val="14"/>
                <w:color w:val="auto"/>
              </w:rPr>
              <w:t>6.</w:t>
            </w:r>
          </w:p>
        </w:tc>
        <w:tc>
          <w:tcPr>
            <w:tcW w:w="4680" w:type="dxa"/>
            <w:vAlign w:val="bottom"/>
            <w:gridSpan w:val="3"/>
          </w:tcPr>
          <w:p>
            <w:pPr>
              <w:ind w:left="80"/>
              <w:spacing w:after="0"/>
              <w:rPr>
                <w:sz w:val="20"/>
                <w:szCs w:val="20"/>
                <w:color w:val="auto"/>
              </w:rPr>
            </w:pPr>
            <w:r>
              <w:rPr>
                <w:rFonts w:ascii="Arial" w:cs="Arial" w:eastAsia="Arial" w:hAnsi="Arial"/>
                <w:sz w:val="14"/>
                <w:szCs w:val="14"/>
                <w:color w:val="auto"/>
              </w:rPr>
              <w:t>Proposal to allocate the results of the year ended December 31, 2011</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jc w:val="center"/>
              <w:ind w:right="77"/>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Borders>
              <w:right w:val="single" w:sz="8" w:color="auto"/>
            </w:tcBorders>
            <w:gridSpan w:val="3"/>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9"/>
        </w:trPr>
        <w:tc>
          <w:tcPr>
            <w:tcW w:w="280" w:type="dxa"/>
            <w:vAlign w:val="bottom"/>
          </w:tcPr>
          <w:p>
            <w:pPr>
              <w:ind w:left="120"/>
              <w:spacing w:after="0"/>
              <w:rPr>
                <w:sz w:val="20"/>
                <w:szCs w:val="20"/>
                <w:color w:val="auto"/>
              </w:rPr>
            </w:pPr>
            <w:r>
              <w:rPr>
                <w:rFonts w:ascii="Arial" w:cs="Arial" w:eastAsia="Arial" w:hAnsi="Arial"/>
                <w:sz w:val="14"/>
                <w:szCs w:val="14"/>
                <w:color w:val="auto"/>
              </w:rPr>
              <w:t>7.</w:t>
            </w:r>
          </w:p>
        </w:tc>
        <w:tc>
          <w:tcPr>
            <w:tcW w:w="8900" w:type="dxa"/>
            <w:vAlign w:val="bottom"/>
            <w:gridSpan w:val="9"/>
          </w:tcPr>
          <w:p>
            <w:pPr>
              <w:ind w:left="80"/>
              <w:spacing w:after="0"/>
              <w:rPr>
                <w:sz w:val="20"/>
                <w:szCs w:val="20"/>
                <w:color w:val="auto"/>
              </w:rPr>
            </w:pPr>
            <w:r>
              <w:rPr>
                <w:rFonts w:ascii="Arial" w:cs="Arial" w:eastAsia="Arial" w:hAnsi="Arial"/>
                <w:sz w:val="14"/>
                <w:szCs w:val="14"/>
                <w:color w:val="auto"/>
                <w:w w:val="90"/>
              </w:rPr>
              <w:t>Proposal to discharge each of the current and past Directors of Altisource Portfolio Solutions S.A. for the performance of their mandate during the year ended</w:t>
            </w:r>
          </w:p>
        </w:tc>
        <w:tc>
          <w:tcPr>
            <w:tcW w:w="380" w:type="dxa"/>
            <w:vAlign w:val="bottom"/>
          </w:tcPr>
          <w:p>
            <w:pPr>
              <w:jc w:val="center"/>
              <w:ind w:right="77"/>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Borders>
              <w:right w:val="single" w:sz="8" w:color="auto"/>
            </w:tcBorders>
            <w:gridSpan w:val="3"/>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December 31, 2011</w:t>
            </w: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8.</w:t>
            </w:r>
          </w:p>
        </w:tc>
        <w:tc>
          <w:tcPr>
            <w:tcW w:w="786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color w:val="auto"/>
                <w:w w:val="95"/>
              </w:rPr>
              <w:t>In their discretion, upon such other matters that may properly come before the meeting or any adjournment or adjournments thereof</w:t>
            </w:r>
          </w:p>
        </w:tc>
        <w:tc>
          <w:tcPr>
            <w:tcW w:w="10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center"/>
              <w:ind w:right="77"/>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Borders>
              <w:bottom w:val="single" w:sz="8" w:color="auto"/>
              <w:right w:val="single" w:sz="8" w:color="auto"/>
            </w:tcBorders>
            <w:gridSpan w:val="3"/>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auto"/>
            </w:tcBorders>
            <w:gridSpan w:val="6"/>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98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20" w:type="dxa"/>
            <w:vAlign w:val="bottom"/>
            <w:tcBorders>
              <w:left w:val="single" w:sz="8" w:color="auto"/>
            </w:tcBorders>
            <w:gridSpan w:val="6"/>
          </w:tcPr>
          <w:p>
            <w:pPr>
              <w:ind w:left="120"/>
              <w:spacing w:after="0" w:line="225" w:lineRule="exact"/>
              <w:rPr>
                <w:sz w:val="20"/>
                <w:szCs w:val="20"/>
                <w:color w:val="auto"/>
              </w:rPr>
            </w:pPr>
            <w:r>
              <w:rPr>
                <w:rFonts w:ascii="Arial" w:cs="Arial" w:eastAsia="Arial" w:hAnsi="Arial"/>
                <w:sz w:val="11"/>
                <w:szCs w:val="11"/>
                <w:color w:val="auto"/>
              </w:rPr>
              <w:t xml:space="preserve">For address changes and/or comments, please check this box and write them on the back where  </w:t>
            </w:r>
            <w:r>
              <w:rPr>
                <w:rFonts w:ascii="MS PGothic" w:cs="MS PGothic" w:eastAsia="MS PGothic" w:hAnsi="MS PGothic"/>
                <w:sz w:val="26"/>
                <w:szCs w:val="26"/>
                <w:color w:val="auto"/>
                <w:vertAlign w:val="subscript"/>
              </w:rPr>
              <w:t>☐</w:t>
            </w:r>
          </w:p>
        </w:tc>
        <w:tc>
          <w:tcPr>
            <w:tcW w:w="480" w:type="dxa"/>
            <w:vAlign w:val="bottom"/>
          </w:tcPr>
          <w:p>
            <w:pPr>
              <w:spacing w:after="0"/>
              <w:rPr>
                <w:sz w:val="19"/>
                <w:szCs w:val="19"/>
                <w:color w:val="auto"/>
              </w:rPr>
            </w:pPr>
          </w:p>
        </w:tc>
        <w:tc>
          <w:tcPr>
            <w:tcW w:w="2780" w:type="dxa"/>
            <w:vAlign w:val="bottom"/>
            <w:gridSpan w:val="3"/>
          </w:tcPr>
          <w:p>
            <w:pPr>
              <w:ind w:left="100"/>
              <w:spacing w:after="0"/>
              <w:rPr>
                <w:sz w:val="20"/>
                <w:szCs w:val="20"/>
                <w:color w:val="auto"/>
              </w:rPr>
            </w:pPr>
            <w:r>
              <w:rPr>
                <w:rFonts w:ascii="Arial" w:cs="Arial" w:eastAsia="Arial" w:hAnsi="Arial"/>
                <w:sz w:val="14"/>
                <w:szCs w:val="14"/>
                <w:color w:val="auto"/>
                <w:w w:val="92"/>
              </w:rPr>
              <w:t>Please sign exactly as your name(s) appear(s)</w:t>
            </w:r>
          </w:p>
        </w:tc>
        <w:tc>
          <w:tcPr>
            <w:tcW w:w="920" w:type="dxa"/>
            <w:vAlign w:val="bottom"/>
            <w:gridSpan w:val="2"/>
          </w:tcPr>
          <w:p>
            <w:pPr>
              <w:ind w:left="80"/>
              <w:spacing w:after="0"/>
              <w:rPr>
                <w:sz w:val="20"/>
                <w:szCs w:val="20"/>
                <w:color w:val="auto"/>
              </w:rPr>
            </w:pPr>
            <w:r>
              <w:rPr>
                <w:rFonts w:ascii="Arial" w:cs="Arial" w:eastAsia="Arial" w:hAnsi="Arial"/>
                <w:sz w:val="14"/>
                <w:szCs w:val="14"/>
                <w:color w:val="auto"/>
                <w:w w:val="93"/>
              </w:rPr>
              <w:t>hereon. When</w:t>
            </w:r>
          </w:p>
        </w:tc>
        <w:tc>
          <w:tcPr>
            <w:tcW w:w="98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4"/>
                <w:szCs w:val="14"/>
                <w:color w:val="auto"/>
                <w:w w:val="91"/>
              </w:rPr>
              <w:t>signing as</w:t>
            </w:r>
          </w:p>
        </w:tc>
        <w:tc>
          <w:tcPr>
            <w:tcW w:w="0" w:type="dxa"/>
            <w:vAlign w:val="bottom"/>
          </w:tcPr>
          <w:p>
            <w:pPr>
              <w:spacing w:after="0"/>
              <w:rPr>
                <w:sz w:val="1"/>
                <w:szCs w:val="1"/>
                <w:color w:val="auto"/>
              </w:rPr>
            </w:pPr>
          </w:p>
        </w:tc>
      </w:tr>
      <w:tr>
        <w:trPr>
          <w:trHeight w:val="137"/>
        </w:trPr>
        <w:tc>
          <w:tcPr>
            <w:tcW w:w="760" w:type="dxa"/>
            <w:vAlign w:val="bottom"/>
            <w:tcBorders>
              <w:left w:val="single" w:sz="8" w:color="auto"/>
            </w:tcBorders>
            <w:gridSpan w:val="2"/>
          </w:tcPr>
          <w:p>
            <w:pPr>
              <w:ind w:left="120"/>
              <w:spacing w:after="0" w:line="137" w:lineRule="exact"/>
              <w:rPr>
                <w:sz w:val="20"/>
                <w:szCs w:val="20"/>
                <w:color w:val="auto"/>
              </w:rPr>
            </w:pPr>
            <w:r>
              <w:rPr>
                <w:rFonts w:ascii="Arial" w:cs="Arial" w:eastAsia="Arial" w:hAnsi="Arial"/>
                <w:sz w:val="14"/>
                <w:szCs w:val="14"/>
                <w:color w:val="auto"/>
              </w:rPr>
              <w:t>indicated.</w:t>
            </w:r>
          </w:p>
        </w:tc>
        <w:tc>
          <w:tcPr>
            <w:tcW w:w="2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80" w:type="dxa"/>
            <w:vAlign w:val="bottom"/>
            <w:tcBorders>
              <w:right w:val="single" w:sz="8" w:color="auto"/>
            </w:tcBorders>
            <w:gridSpan w:val="8"/>
          </w:tcPr>
          <w:p>
            <w:pPr>
              <w:ind w:left="100"/>
              <w:spacing w:after="0" w:line="137" w:lineRule="exact"/>
              <w:rPr>
                <w:sz w:val="20"/>
                <w:szCs w:val="20"/>
                <w:color w:val="auto"/>
              </w:rPr>
            </w:pPr>
            <w:r>
              <w:rPr>
                <w:rFonts w:ascii="Arial" w:cs="Arial" w:eastAsia="Arial" w:hAnsi="Arial"/>
                <w:sz w:val="14"/>
                <w:szCs w:val="14"/>
                <w:color w:val="auto"/>
              </w:rPr>
              <w:t>attorney, executor, administrator or other fiduciary, please give full title as</w:t>
            </w: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80" w:type="dxa"/>
            <w:vAlign w:val="bottom"/>
            <w:tcBorders>
              <w:right w:val="single" w:sz="8" w:color="auto"/>
            </w:tcBorders>
            <w:gridSpan w:val="8"/>
          </w:tcPr>
          <w:p>
            <w:pPr>
              <w:ind w:left="100"/>
              <w:spacing w:after="0" w:line="149" w:lineRule="exact"/>
              <w:rPr>
                <w:sz w:val="20"/>
                <w:szCs w:val="20"/>
                <w:color w:val="auto"/>
              </w:rPr>
            </w:pPr>
            <w:r>
              <w:rPr>
                <w:rFonts w:ascii="Arial" w:cs="Arial" w:eastAsia="Arial" w:hAnsi="Arial"/>
                <w:sz w:val="14"/>
                <w:szCs w:val="14"/>
                <w:color w:val="auto"/>
                <w:w w:val="99"/>
              </w:rPr>
              <w:t>such. Joint owners should each sign personally. All holders must sign. If a</w:t>
            </w:r>
          </w:p>
        </w:tc>
        <w:tc>
          <w:tcPr>
            <w:tcW w:w="0" w:type="dxa"/>
            <w:vAlign w:val="bottom"/>
          </w:tcPr>
          <w:p>
            <w:pPr>
              <w:spacing w:after="0"/>
              <w:rPr>
                <w:sz w:val="1"/>
                <w:szCs w:val="1"/>
                <w:color w:val="auto"/>
              </w:rPr>
            </w:pPr>
          </w:p>
        </w:tc>
      </w:tr>
      <w:tr>
        <w:trPr>
          <w:trHeight w:val="149"/>
        </w:trPr>
        <w:tc>
          <w:tcPr>
            <w:tcW w:w="3460" w:type="dxa"/>
            <w:vAlign w:val="bottom"/>
            <w:tcBorders>
              <w:left w:val="single" w:sz="8" w:color="auto"/>
            </w:tcBorders>
            <w:gridSpan w:val="3"/>
            <w:vMerge w:val="restart"/>
          </w:tcPr>
          <w:p>
            <w:pPr>
              <w:ind w:left="120"/>
              <w:spacing w:after="0"/>
              <w:rPr>
                <w:sz w:val="20"/>
                <w:szCs w:val="20"/>
                <w:color w:val="auto"/>
              </w:rPr>
            </w:pPr>
            <w:r>
              <w:rPr>
                <w:rFonts w:ascii="Arial" w:cs="Arial" w:eastAsia="Arial" w:hAnsi="Arial"/>
                <w:sz w:val="14"/>
                <w:szCs w:val="14"/>
                <w:color w:val="auto"/>
              </w:rPr>
              <w:t>Please indicate if you plan to attend this meeting.</w:t>
            </w:r>
          </w:p>
        </w:tc>
        <w:tc>
          <w:tcPr>
            <w:tcW w:w="1500" w:type="dxa"/>
            <w:vAlign w:val="bottom"/>
            <w:vMerge w:val="restart"/>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12"/>
                <w:szCs w:val="12"/>
                <w:color w:val="auto"/>
              </w:rPr>
            </w:pPr>
          </w:p>
        </w:tc>
        <w:tc>
          <w:tcPr>
            <w:tcW w:w="4680" w:type="dxa"/>
            <w:vAlign w:val="bottom"/>
            <w:tcBorders>
              <w:right w:val="single" w:sz="8" w:color="auto"/>
            </w:tcBorders>
            <w:gridSpan w:val="8"/>
          </w:tcPr>
          <w:p>
            <w:pPr>
              <w:ind w:left="100"/>
              <w:spacing w:after="0" w:line="149" w:lineRule="exact"/>
              <w:rPr>
                <w:sz w:val="20"/>
                <w:szCs w:val="20"/>
                <w:color w:val="auto"/>
              </w:rPr>
            </w:pPr>
            <w:r>
              <w:rPr>
                <w:rFonts w:ascii="Arial" w:cs="Arial" w:eastAsia="Arial" w:hAnsi="Arial"/>
                <w:sz w:val="14"/>
                <w:szCs w:val="14"/>
                <w:color w:val="auto"/>
                <w:w w:val="96"/>
              </w:rPr>
              <w:t>corporation or partnership, please sign in full corporate or partnership name,</w:t>
            </w:r>
          </w:p>
        </w:tc>
        <w:tc>
          <w:tcPr>
            <w:tcW w:w="0" w:type="dxa"/>
            <w:vAlign w:val="bottom"/>
          </w:tcPr>
          <w:p>
            <w:pPr>
              <w:spacing w:after="0"/>
              <w:rPr>
                <w:sz w:val="1"/>
                <w:szCs w:val="1"/>
                <w:color w:val="auto"/>
              </w:rPr>
            </w:pPr>
          </w:p>
        </w:tc>
      </w:tr>
      <w:tr>
        <w:trPr>
          <w:trHeight w:val="162"/>
        </w:trPr>
        <w:tc>
          <w:tcPr>
            <w:tcW w:w="3460" w:type="dxa"/>
            <w:vAlign w:val="bottom"/>
            <w:tcBorders>
              <w:left w:val="single" w:sz="8" w:color="auto"/>
            </w:tcBorders>
            <w:gridSpan w:val="3"/>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color w:val="auto"/>
              </w:rPr>
              <w:t>by authorized officer.</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Borders>
              <w:lef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00" w:type="dxa"/>
            <w:vAlign w:val="bottom"/>
          </w:tcPr>
          <w:p>
            <w:pPr>
              <w:ind w:left="1020"/>
              <w:spacing w:after="0"/>
              <w:rPr>
                <w:sz w:val="20"/>
                <w:szCs w:val="20"/>
                <w:color w:val="auto"/>
              </w:rPr>
            </w:pPr>
            <w:r>
              <w:rPr>
                <w:rFonts w:ascii="Arial" w:cs="Arial" w:eastAsia="Arial" w:hAnsi="Arial"/>
                <w:sz w:val="14"/>
                <w:szCs w:val="14"/>
                <w:color w:val="auto"/>
              </w:rPr>
              <w:t>Yes</w:t>
            </w:r>
          </w:p>
        </w:tc>
        <w:tc>
          <w:tcPr>
            <w:tcW w:w="960" w:type="dxa"/>
            <w:vAlign w:val="bottom"/>
            <w:gridSpan w:val="2"/>
          </w:tcPr>
          <w:p>
            <w:pPr>
              <w:ind w:left="420"/>
              <w:spacing w:after="0"/>
              <w:rPr>
                <w:sz w:val="20"/>
                <w:szCs w:val="20"/>
                <w:color w:val="auto"/>
              </w:rPr>
            </w:pPr>
            <w:r>
              <w:rPr>
                <w:rFonts w:ascii="Arial" w:cs="Arial" w:eastAsia="Arial" w:hAnsi="Arial"/>
                <w:sz w:val="14"/>
                <w:szCs w:val="14"/>
                <w:color w:val="auto"/>
              </w:rPr>
              <w:t>No</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bottom w:val="single" w:sz="8" w:color="auto"/>
            </w:tcBorders>
            <w:gridSpan w:val="3"/>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tcBorders>
              <w:bottom w:val="single" w:sz="8" w:color="auto"/>
            </w:tcBorders>
            <w:gridSpan w:val="2"/>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60" w:type="dxa"/>
            <w:vAlign w:val="bottom"/>
            <w:tcBorders>
              <w:left w:val="single" w:sz="8" w:color="auto"/>
              <w:bottom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Signature [PLEASE SIGN WITHIN BOX]</w:t>
            </w:r>
          </w:p>
        </w:tc>
        <w:tc>
          <w:tcPr>
            <w:tcW w:w="150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Date</w:t>
            </w: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Signature (Joint Owners)</w:t>
            </w: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Date</w:t>
            </w: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40" w:top="464" w:right="37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526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8526145"/>
                    </a:xfrm>
                    <a:prstGeom prst="rect">
                      <a:avLst/>
                    </a:prstGeom>
                    <a:noFill/>
                  </pic:spPr>
                </pic:pic>
              </a:graphicData>
            </a:graphic>
          </wp:anchor>
        </w:drawing>
        <w:t>Important Notice Regarding the Availability of Proxy Materials for the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Notice and Proxy Statement and Form 10-K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291, route d’Arlon, L-1150 Luxembourg City, Grand Duchy of Luxembourg</w:t>
      </w:r>
    </w:p>
    <w:p>
      <w:pPr>
        <w:spacing w:after="0" w:line="15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REVOCABLE PROXY</w:t>
      </w:r>
    </w:p>
    <w:p>
      <w:pPr>
        <w:spacing w:after="0" w:line="185"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auto"/>
        </w:rPr>
        <w:t>THIS PROXY IS SOLICITED ON BEHALF OF THE BOARD OF DIRECTORS OF ALTISOURCE PORTFOLIO SOLUTIONS S.A. FOR USE ONLY AT THE ANNUAL MEETING OF SHAREHOLDERS TO BE HELD ON MAY 16, 2012, AND AT ANY ADJOURNMENT THEREOF.</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undersigned hereby appoints William C. Erbey, William B. Shepro and Kevin J. Wilcox, or any of them, as proxy, with full powers of substitution, and hereby authorizes them to represent and vote, as designated on the reverse side, all the shares of common stock (“Common Stock”) of Altisource Portfolio Solutions S.A. (the “Company”) held of record by the undersigned on March 15, 2012 at the Annual Meeting of Shareholders to be held at the offices of the Company located at 291, route d’Arlon, L-1150 Luxembourg City, Grand Duchy of Luxembourg on Wednesday, May 16, 2012, at 9:00 a.m., Central European Time and at any adjournment thereof. Shares of Common Stock of the Company will be voted as specified.</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you execute and return this proxy without specific voting instructions, this proxy will be voted FOR the election of each of the Board of Directors’ nominees to the Board of Directors; FOR the approval of the appointment of Deloitte &amp; Touche LLP to be our independent registered certified public accounting firm for 2012 and Deloitte Audit S.à r.l. to be our certified auditor for all statutory accounts as required by Luxembourg law for the same period; FOR the approval of a share repurchase program whereby Altisource Portfolio Solutions S.A. may repurchase outstanding shares of its Common Stock within certain limits; FOR the approval of the Company’s annual accounts prepared in accordance with Luxembourg GAAP and the Company’s consolidated financial statements prepared in accordance with U.S. GAAP including a footnote reconciliation of equity and net income to IFRS, in each case for the year ended December 31, 2011 (together the “Luxembourg Statutory Accounts”); FOR the receipt and approval of the Directors’ report on the Luxembourg Statutory Accounts for the year ended December 31, 2011; FOR the allocation of the results of the year ended December 31, 2011; and FOR the approval of the discharge of each of the current and past Directors of Altisource for the performance of their mandate during the year ended December 31, 2011. You may revoke this proxy at any time prior to the time it is voted at the Annual Meeting.</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acknowledges receipt of the Notice of Annual Meeting of Shareholders of Altisource Portfolio Solutions S.A. to be held on May 16, 2012, or any adjournment thereof, a Proxy Statement for the Annual Meeting and the 2011 Annual Report to Shareholders of the Company prior to the signing of this proxy.</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Continued and to be dated and signed on the reverse side</w:t>
      </w:r>
    </w:p>
    <w:sectPr>
      <w:pgSz w:w="11900" w:h="16838" w:orient="portrait"/>
      <w:cols w:equalWidth="0" w:num="1">
        <w:col w:w="11000"/>
      </w:cols>
      <w:pgMar w:left="460" w:top="8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lvl w:ilvl="1">
      <w:lvlJc w:val="left"/>
      <w:lvlText w:val="%2)"/>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4"/>
    </w:lvl>
  </w:abstractNum>
  <w:abstractNum w:abstractNumId="7">
    <w:nsid w:val="8EDBDAB"/>
    <w:multiLevelType w:val="hybridMultilevel"/>
    <w:lvl w:ilvl="0">
      <w:lvlJc w:val="left"/>
      <w:lvlText w:val="☐"/>
      <w:numFmt w:val="bullet"/>
      <w:start w:val="1"/>
    </w:lvl>
    <w:lvl w:ilvl="1">
      <w:lvlJc w:val="left"/>
      <w:lvlText w:val="%2)"/>
      <w:numFmt w:val="decimal"/>
      <w:start w:val="5"/>
    </w:lvl>
  </w:abstractNum>
  <w:abstractNum w:abstractNumId="8">
    <w:nsid w:val="79838CB2"/>
    <w:multiLevelType w:val="hybridMultilevel"/>
    <w:lvl w:ilvl="0">
      <w:lvlJc w:val="left"/>
      <w:lvlText w:val="☐"/>
      <w:numFmt w:val="bullet"/>
      <w:start w:val="1"/>
    </w:lvl>
    <w:lvl w:ilvl="1">
      <w:lvlJc w:val="left"/>
      <w:lvlText w:val="%2)"/>
      <w:numFmt w:val="decimal"/>
      <w:start w:val="1"/>
    </w:lvl>
  </w:abstractNum>
  <w:abstractNum w:abstractNumId="9">
    <w:nsid w:val="4353D0CD"/>
    <w:multiLevelType w:val="hybridMultilevel"/>
    <w:lvl w:ilvl="0">
      <w:lvlJc w:val="left"/>
      <w:lvlText w:val="%1)"/>
      <w:numFmt w:val="decimal"/>
      <w:start w:val="2"/>
    </w:lvl>
  </w:abstractNum>
  <w:abstractNum w:abstractNumId="10">
    <w:nsid w:val="B03E0C6"/>
    <w:multiLevelType w:val="hybridMultilevel"/>
    <w:lvl w:ilvl="0">
      <w:lvlJc w:val="left"/>
      <w:lvlText w:val="%1)"/>
      <w:numFmt w:val="decimal"/>
      <w:start w:val="3"/>
    </w:lvl>
  </w:abstractNum>
  <w:abstractNum w:abstractNumId="11">
    <w:nsid w:val="189A769B"/>
    <w:multiLevelType w:val="hybridMultilevel"/>
    <w:lvl w:ilvl="0">
      <w:lvlJc w:val="left"/>
      <w:lvlText w:val="%1)"/>
      <w:numFmt w:val="decimal"/>
      <w:start w:val="4"/>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3"/>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3"/>
    </w:lvl>
    <w:lvl w:ilvl="1">
      <w:lvlJc w:val="left"/>
      <w:lvlText w:val="%2"/>
      <w:numFmt w:val="upperLetter"/>
      <w:start w:val="1"/>
    </w:lvl>
  </w:abstractNum>
  <w:abstractNum w:abstractNumId="30">
    <w:nsid w:val="5072367"/>
    <w:multiLevelType w:val="hybridMultilevel"/>
    <w:lvl w:ilvl="0">
      <w:lvlJc w:val="left"/>
      <w:lvlText w:val="%1."/>
      <w:numFmt w:val="upperLetter"/>
      <w:start w:val="1"/>
    </w:lvl>
  </w:abstractNum>
  <w:abstractNum w:abstractNumId="31">
    <w:nsid w:val="3804823E"/>
    <w:multiLevelType w:val="hybridMultilevel"/>
    <w:lvl w:ilvl="0">
      <w:lvlJc w:val="left"/>
      <w:lvlText w:val="%1."/>
      <w:numFmt w:val="upperLetter"/>
      <w:start w:val="2"/>
    </w:lvl>
  </w:abstractNum>
  <w:abstractNum w:abstractNumId="32">
    <w:nsid w:val="77465F01"/>
    <w:multiLevelType w:val="hybridMultilevel"/>
    <w:lvl w:ilvl="0">
      <w:lvlJc w:val="left"/>
      <w:lvlText w:val="%1."/>
      <w:numFmt w:val="upperLetter"/>
      <w:start w:val="2"/>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3"/>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2019-12-09T20:31:08Z</dcterms:created>
  <dcterms:modified xsi:type="dcterms:W3CDTF">2019-12-09T20:31:08Z</dcterms:modified>
</cp:coreProperties>
</file>