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103505</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92710</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color w:val="auto"/>
        </w:rPr>
        <w:t>(Mark One)</w:t>
      </w:r>
    </w:p>
    <w:p>
      <w:pPr>
        <w:spacing w:after="0" w:line="37" w:lineRule="exact"/>
        <w:rPr>
          <w:sz w:val="24"/>
          <w:szCs w:val="24"/>
          <w:color w:val="auto"/>
        </w:rPr>
      </w:pPr>
    </w:p>
    <w:p>
      <w:pPr>
        <w:ind w:left="1380" w:hanging="562"/>
        <w:spacing w:after="0"/>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4" w:lineRule="exact"/>
        <w:rPr>
          <w:sz w:val="24"/>
          <w:szCs w:val="24"/>
          <w:color w:val="auto"/>
        </w:rPr>
      </w:pPr>
    </w:p>
    <w:p>
      <w:pPr>
        <w:ind w:left="1380" w:hanging="562"/>
        <w:spacing w:after="0"/>
        <w:tabs>
          <w:tab w:leader="none" w:pos="13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64770</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1123" w:right="339" w:bottom="1440" w:gutter="0" w:footer="0" w:header="0"/>
        </w:sectPr>
      </w:pPr>
    </w:p>
    <w:p>
      <w:pPr>
        <w:spacing w:after="0" w:line="140"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98-0554932</w:t>
      </w:r>
    </w:p>
    <w:p>
      <w:pPr>
        <w:spacing w:after="0" w:line="28" w:lineRule="exact"/>
        <w:rPr>
          <w:sz w:val="24"/>
          <w:szCs w:val="24"/>
          <w:color w:val="auto"/>
        </w:rPr>
      </w:pPr>
    </w:p>
    <w:p>
      <w:pPr>
        <w:sectPr>
          <w:pgSz w:w="11900" w:h="16838" w:orient="portrait"/>
          <w:cols w:equalWidth="0" w:num="2">
            <w:col w:w="7360" w:space="720"/>
            <w:col w:w="3160"/>
          </w:cols>
          <w:pgMar w:left="320" w:top="1123" w:right="33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3" w:lineRule="exact"/>
        <w:rPr>
          <w:sz w:val="24"/>
          <w:szCs w:val="24"/>
          <w:color w:val="auto"/>
        </w:rPr>
      </w:pPr>
    </w:p>
    <w:p>
      <w:pPr>
        <w:sectPr>
          <w:pgSz w:w="11900" w:h="16838" w:orient="portrait"/>
          <w:cols w:equalWidth="0" w:num="2">
            <w:col w:w="6720" w:space="720"/>
            <w:col w:w="3800"/>
          </w:cols>
          <w:pgMar w:left="320" w:top="11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33, Boulevard Prince Henri</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L-1724 Luxembourg</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Grand Duchy of Luxembourg</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(352) 2060 2055</w:t>
      </w:r>
    </w:p>
    <w:p>
      <w:pPr>
        <w:sectPr>
          <w:pgSz w:w="11900" w:h="16838" w:orient="portrait"/>
          <w:cols w:equalWidth="0" w:num="1">
            <w:col w:w="11240"/>
          </w:cols>
          <w:pgMar w:left="320" w:top="1123"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81915</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80" w:type="dxa"/>
            <w:vAlign w:val="bottom"/>
            <w:tcBorders>
              <w:top w:val="single" w:sz="8" w:color="auto"/>
            </w:tcBorders>
          </w:tcPr>
          <w:p>
            <w:pPr>
              <w:jc w:val="center"/>
              <w:ind w:left="899"/>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ASPS</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60"/>
        </w:trPr>
        <w:tc>
          <w:tcPr>
            <w:tcW w:w="3680" w:type="dxa"/>
            <w:vAlign w:val="bottom"/>
          </w:tcPr>
          <w:p>
            <w:pPr>
              <w:spacing w:after="0"/>
              <w:rPr>
                <w:sz w:val="22"/>
                <w:szCs w:val="22"/>
                <w:color w:val="auto"/>
              </w:rPr>
            </w:pPr>
          </w:p>
        </w:tc>
        <w:tc>
          <w:tcPr>
            <w:tcW w:w="3660" w:type="dxa"/>
            <w:vAlign w:val="bottom"/>
            <w:gridSpan w:val="5"/>
          </w:tcPr>
          <w:p>
            <w:pPr>
              <w:jc w:val="center"/>
              <w:ind w:left="14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900" w:type="dxa"/>
            <w:vAlign w:val="bottom"/>
          </w:tcPr>
          <w:p>
            <w:pPr>
              <w:spacing w:after="0"/>
              <w:rPr>
                <w:sz w:val="22"/>
                <w:szCs w:val="22"/>
                <w:color w:val="auto"/>
              </w:rPr>
            </w:pPr>
          </w:p>
        </w:tc>
      </w:tr>
      <w:tr>
        <w:trPr>
          <w:trHeight w:val="212"/>
        </w:trPr>
        <w:tc>
          <w:tcPr>
            <w:tcW w:w="3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900" w:type="dxa"/>
            <w:vAlign w:val="bottom"/>
          </w:tcPr>
          <w:p>
            <w:pPr>
              <w:spacing w:after="0"/>
              <w:rPr>
                <w:sz w:val="18"/>
                <w:szCs w:val="18"/>
                <w:color w:val="auto"/>
              </w:rPr>
            </w:pPr>
          </w:p>
        </w:tc>
      </w:tr>
    </w:tbl>
    <w:p>
      <w:pPr>
        <w:ind w:right="3560"/>
        <w:spacing w:after="0" w:line="22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72"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23" w:right="339" w:bottom="1440" w:gutter="0" w:footer="0" w:header="0"/>
          <w:type w:val="continuous"/>
        </w:sectPr>
      </w:pPr>
    </w:p>
    <w:p>
      <w:pPr>
        <w:spacing w:after="0" w:line="78" w:lineRule="exact"/>
        <w:rPr>
          <w:sz w:val="24"/>
          <w:szCs w:val="24"/>
          <w:color w:val="auto"/>
        </w:r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8"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jc w:val="both"/>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2"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2023 was $55,147,580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 2024, there were 26,569,887 outstanding shares of the registrant’s common stock (excluding 3,392,861 shares held as treasury stock).</w:t>
      </w:r>
    </w:p>
    <w:p>
      <w:pPr>
        <w:spacing w:after="0" w:line="10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jc w:val="both"/>
        <w:spacing w:after="0" w:line="223"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30, 2023 are incorporated by reference into Part III of this report. Such Definitive Proxy Statement will be filed with the Securities</w:t>
      </w:r>
    </w:p>
    <w:p>
      <w:pPr>
        <w:spacing w:after="0"/>
        <w:rPr>
          <w:sz w:val="20"/>
          <w:szCs w:val="20"/>
          <w:color w:val="auto"/>
        </w:rPr>
      </w:pPr>
      <w:r>
        <w:rPr>
          <w:rFonts w:ascii="Times New Roman" w:cs="Times New Roman" w:eastAsia="Times New Roman" w:hAnsi="Times New Roman"/>
          <w:sz w:val="14"/>
          <w:szCs w:val="14"/>
          <w:color w:val="auto"/>
        </w:rPr>
        <w:t>and Exchange Commission not later than 120 days after the conclusion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ALTISOURCE PORTFOLIO SOLUTIONS S.A.</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8"/>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426"/>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ISSUER PURCHASES OF EQUITY SECURITIES</w:t>
            </w:r>
          </w:p>
        </w:tc>
        <w:tc>
          <w:tcPr>
            <w:tcW w:w="29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020" w:type="dxa"/>
            <w:vAlign w:val="bottom"/>
            <w:gridSpan w:val="3"/>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80" w:type="dxa"/>
            <w:vAlign w:val="bottom"/>
            <w:gridSpan w:val="4"/>
            <w:shd w:val="clear" w:color="auto" w:fill="0000FF"/>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2060" w:type="dxa"/>
            <w:vAlign w:val="bottom"/>
            <w:gridSpan w:val="3"/>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960" w:type="dxa"/>
            <w:vAlign w:val="bottom"/>
            <w:gridSpan w:val="2"/>
          </w:tcPr>
          <w:p>
            <w:pPr>
              <w:spacing w:after="0"/>
              <w:rPr>
                <w:sz w:val="18"/>
                <w:szCs w:val="18"/>
                <w:color w:val="auto"/>
              </w:rPr>
            </w:pPr>
          </w:p>
        </w:tc>
        <w:tc>
          <w:tcPr>
            <w:tcW w:w="4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[RESERVED]</w:t>
            </w:r>
          </w:p>
        </w:tc>
        <w:tc>
          <w:tcPr>
            <w:tcW w:w="3600" w:type="dxa"/>
            <w:vAlign w:val="bottom"/>
            <w:gridSpan w:val="6"/>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540" w:type="dxa"/>
            <w:vAlign w:val="bottom"/>
            <w:gridSpan w:val="5"/>
          </w:tcPr>
          <w:p>
            <w:pPr>
              <w:spacing w:after="0"/>
              <w:rPr>
                <w:sz w:val="2"/>
                <w:szCs w:val="2"/>
                <w:color w:val="auto"/>
              </w:rPr>
            </w:pPr>
          </w:p>
        </w:tc>
        <w:tc>
          <w:tcPr>
            <w:tcW w:w="1100" w:type="dxa"/>
            <w:vAlign w:val="bottom"/>
            <w:gridSpan w:val="4"/>
            <w:shd w:val="clear" w:color="auto" w:fill="0000FF"/>
          </w:tcPr>
          <w:p>
            <w:pPr>
              <w:spacing w:after="0"/>
              <w:rPr>
                <w:sz w:val="2"/>
                <w:szCs w:val="2"/>
                <w:color w:val="auto"/>
              </w:rPr>
            </w:pPr>
          </w:p>
        </w:tc>
        <w:tc>
          <w:tcPr>
            <w:tcW w:w="780" w:type="dxa"/>
            <w:vAlign w:val="bottom"/>
            <w:gridSpan w:val="4"/>
          </w:tcPr>
          <w:p>
            <w:pPr>
              <w:spacing w:after="0"/>
              <w:rPr>
                <w:sz w:val="2"/>
                <w:szCs w:val="2"/>
                <w:color w:val="auto"/>
              </w:rPr>
            </w:pPr>
          </w:p>
        </w:tc>
        <w:tc>
          <w:tcPr>
            <w:tcW w:w="700" w:type="dxa"/>
            <w:vAlign w:val="bottom"/>
            <w:gridSpan w:val="2"/>
          </w:tcPr>
          <w:p>
            <w:pPr>
              <w:spacing w:after="0"/>
              <w:rPr>
                <w:sz w:val="2"/>
                <w:szCs w:val="2"/>
                <w:color w:val="auto"/>
              </w:rPr>
            </w:pPr>
          </w:p>
        </w:tc>
        <w:tc>
          <w:tcPr>
            <w:tcW w:w="206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320" w:type="dxa"/>
            <w:vAlign w:val="bottom"/>
          </w:tcPr>
          <w:p>
            <w:pPr>
              <w:spacing w:after="0"/>
              <w:rPr>
                <w:sz w:val="13"/>
                <w:szCs w:val="13"/>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III</w:t>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10.</w:t>
      </w:r>
      <w:r>
        <w:rPr>
          <w:sz w:val="20"/>
          <w:szCs w:val="20"/>
          <w:color w:val="auto"/>
        </w:rPr>
        <w:tab/>
      </w:r>
      <w:r>
        <w:rPr>
          <w:rFonts w:ascii="Times New Roman" w:cs="Times New Roman" w:eastAsia="Times New Roman" w:hAnsi="Times New Roman"/>
          <w:sz w:val="17"/>
          <w:szCs w:val="17"/>
          <w:u w:val="single" w:color="auto"/>
          <w:color w:val="0000FF"/>
        </w:rPr>
        <w:t>DIRECTORS, EXECUTIVE OFFICERS AND CORPORATE GOVERNANCE</w:t>
      </w:r>
    </w:p>
    <w:p>
      <w:pPr>
        <w:spacing w:after="0" w:line="27"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11.</w:t>
      </w:r>
      <w:r>
        <w:rPr>
          <w:sz w:val="20"/>
          <w:szCs w:val="20"/>
          <w:color w:val="auto"/>
        </w:rPr>
        <w:tab/>
      </w:r>
      <w:r>
        <w:rPr>
          <w:rFonts w:ascii="Times New Roman" w:cs="Times New Roman" w:eastAsia="Times New Roman" w:hAnsi="Times New Roman"/>
          <w:sz w:val="17"/>
          <w:szCs w:val="17"/>
          <w:u w:val="single" w:color="auto"/>
          <w:color w:val="0000FF"/>
        </w:rPr>
        <w:t>EXECUTIVE COMPENSATION</w:t>
      </w:r>
    </w:p>
    <w:p>
      <w:pPr>
        <w:spacing w:after="0" w:line="23" w:lineRule="exact"/>
        <w:rPr>
          <w:sz w:val="20"/>
          <w:szCs w:val="20"/>
          <w:color w:val="auto"/>
        </w:rPr>
      </w:pPr>
    </w:p>
    <w:p>
      <w:pPr>
        <w:ind w:left="2020" w:hanging="1524"/>
        <w:spacing w:after="0" w:line="234" w:lineRule="auto"/>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12.</w:t>
      </w:r>
      <w:r>
        <w:rPr>
          <w:sz w:val="20"/>
          <w:szCs w:val="20"/>
          <w:color w:val="auto"/>
        </w:rPr>
        <w:tab/>
      </w: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9" w:lineRule="exact"/>
        <w:rPr>
          <w:sz w:val="20"/>
          <w:szCs w:val="20"/>
          <w:color w:val="auto"/>
        </w:rPr>
      </w:pPr>
    </w:p>
    <w:p>
      <w:pPr>
        <w:sectPr>
          <w:pgSz w:w="11900" w:h="16838" w:orient="portrait"/>
          <w:cols w:equalWidth="0" w:num="2">
            <w:col w:w="10020" w:space="640"/>
            <w:col w:w="580"/>
          </w:cols>
          <w:pgMar w:left="320" w:top="121"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3920" w:type="dxa"/>
            <w:vAlign w:val="bottom"/>
            <w:tcBorders>
              <w:top w:val="single" w:sz="8" w:color="0000FF"/>
            </w:tcBorders>
          </w:tcPr>
          <w:p>
            <w:pPr>
              <w:spacing w:after="0"/>
              <w:rPr>
                <w:sz w:val="19"/>
                <w:szCs w:val="19"/>
                <w:color w:val="auto"/>
              </w:rPr>
            </w:pPr>
          </w:p>
        </w:tc>
        <w:tc>
          <w:tcPr>
            <w:tcW w:w="3760" w:type="dxa"/>
            <w:vAlign w:val="bottom"/>
            <w:tcBorders>
              <w:top w:val="single" w:sz="8" w:color="0000FF"/>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20"/>
        </w:trPr>
        <w:tc>
          <w:tcPr>
            <w:tcW w:w="7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20"/>
        </w:trPr>
        <w:tc>
          <w:tcPr>
            <w:tcW w:w="7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600" w:type="dxa"/>
            <w:vAlign w:val="bottom"/>
            <w:gridSpan w:val="2"/>
          </w:tcPr>
          <w:p>
            <w:pPr>
              <w:spacing w:after="0"/>
              <w:rPr>
                <w:sz w:val="18"/>
                <w:szCs w:val="18"/>
                <w:color w:val="auto"/>
              </w:rPr>
            </w:pPr>
          </w:p>
        </w:tc>
        <w:tc>
          <w:tcPr>
            <w:tcW w:w="8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88</w:t>
            </w: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Borders>
              <w:bottom w:val="single" w:sz="8" w:color="0000FF"/>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2"/>
        </w:trPr>
        <w:tc>
          <w:tcPr>
            <w:tcW w:w="4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94</w:t>
            </w:r>
          </w:p>
        </w:tc>
      </w:tr>
      <w:tr>
        <w:trPr>
          <w:trHeight w:val="749"/>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or unless the context requires otherwise “Altisource,” the “Company,” “we,” “us” or “our” mean Altisource Portfolio Solutions S.A., a Luxembourg société anonyme, or public limited liability company, and its subsidiaries.</w:t>
      </w:r>
    </w:p>
    <w:p>
      <w:pPr>
        <w:spacing w:after="0" w:line="1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Altisource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accounting principles generally accepted in the United States of America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Servicer and Real Estate </w:t>
      </w:r>
      <w:r>
        <w:rPr>
          <w:rFonts w:ascii="Times New Roman" w:cs="Times New Roman" w:eastAsia="Times New Roman" w:hAnsi="Times New Roman"/>
          <w:sz w:val="18"/>
          <w:szCs w:val="18"/>
          <w:color w:val="auto"/>
        </w:rPr>
        <w:t>segment provides loan servicers and real estate investors with solutions and technologies that span the mortgage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68" w:lineRule="exact"/>
        <w:rPr>
          <w:sz w:val="20"/>
          <w:szCs w:val="20"/>
          <w:color w:val="auto"/>
        </w:rPr>
      </w:pPr>
    </w:p>
    <w:p>
      <w:pPr>
        <w:jc w:val="both"/>
        <w:ind w:left="660" w:right="20"/>
        <w:spacing w:after="0" w:line="230" w:lineRule="auto"/>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online real estate auction platform and real estate auction, real estate brokerage and asset management services.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68"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 automated residential valuation model and analytics solution).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Origination </w:t>
      </w:r>
      <w:r>
        <w:rPr>
          <w:rFonts w:ascii="Times New Roman" w:cs="Times New Roman" w:eastAsia="Times New Roman" w:hAnsi="Times New Roman"/>
          <w:sz w:val="18"/>
          <w:szCs w:val="18"/>
          <w:color w:val="auto"/>
        </w:rPr>
        <w:t>segment provides originators with solutions and technologies that span the mortgage origination lifecycle. Within the Origination segment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Corporate and Financial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left="340" w:hanging="332"/>
        <w:spacing w:after="0" w:line="24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total Company loss from operations by $16.4 million in 2023 compared to 2022 by (1) improving operating income as a percentage of service revenue in the Servicer and Real Estate and Origination segments (together, “Business Segments”) to 19.1% in 2023 from 13.2% in 2022, and</w:t>
      </w:r>
    </w:p>
    <w:p>
      <w:pPr>
        <w:ind w:left="340" w:right="20" w:hanging="8"/>
        <w:spacing w:after="0" w:line="241" w:lineRule="auto"/>
        <w:tabs>
          <w:tab w:leader="none" w:pos="62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Corporate and Others operating loss as a percentage of total Company service revenue to (31.4)% in 2023 from (36.1)% in 2022, primarily through efficiency initiatives and cost savings measures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senior secured term loans (“SSTL”) and revolving credit facility to, among other things, extend the maturity dates to April 2025, with options to extend both to April 2026, subject to certain terms and conditions</w:t>
      </w:r>
    </w:p>
    <w:p>
      <w:pPr>
        <w:spacing w:after="0" w:line="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$38.8 million in net proceeds from the sale of common stock and used $30 million to partially repay the SSTL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year with $32.5 million of cash and cash equivalents, $15.0 million available under a revolving credit facility and $191.6 million of net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Segments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face of serious market headwinds for both Business Segments, service revenue in the Servicer and Real Estate segment was only down 4% and service revenue in the Origination segment outperformed the overall market with a decline of 11% compared to a 36% decline in industrywide residential origination volume</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income from operations in the Business Segments by $7.0 million to $26.1 million, representing 19.1% of service revenue, in 2023 compared to $19.0 million, representing 13.2% of service revenue, in 2022, primarily through efficiency and cost cutting initiatives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2023 with a weighted average sales pipeline between $43 million and $53 million of potential estimated revenue on a stabilized basis based upon forecasted probability of closing (comprised of between $27 million and $33 million in the Servicer and Real Estate segment and between $16 million and $20 million in the Origination segment)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2023 sales wins which we estimate represent potential annualized revenue on a stabilized basis of $58.4 million for the Servicer and Real Estate segment and $10.3 million for the Origination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4% lower in 2023 compared to 2022 (and 31% lower than the same pre-COVID-19 period in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8% higher in 2023 compared to 2022 (and 46% lower than the same pre-COVID-19 period in 2019)</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early-stage mortgage delinquencies (30-days late) increased by 15% and borrowers who have missed two payments (60-days past due) increased by 16% in December 2023 compared to December 2022</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decreased by 36% in 2023 compared to 2022</w:t>
      </w:r>
    </w:p>
    <w:p>
      <w:pPr>
        <w:spacing w:after="0" w:line="6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seriously delinquent mortgage rate (90+ day past due and loans in foreclosure) decreased to 1.3% in December 2023 compared to 1.6% in December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include large financial institutions, government-sponsored enterprises (“GSEs”), banks, asset managers, servicers, investors, property management firms, real estate brokerages, insurance companies, mortgage bankers, originators, correspondent and private money lenders.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Ocwen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Ocwen was our largest customer, accounting for 44%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2023 and 2022, we recognized revenue from Ocwen of $63.2 million and $63.5 million, respectively. Revenue from Ocwen as a percentage of segment and consolidated revenue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8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MSRs owner selects Altisource as the service provider. For the years ended December 31, 2023 and 2022, we recognized $9.2 million and $9.5 million, respectively, of such revenue. These amounts are not included in deriving revenue from Ocwen and revenue from Ocwen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Ocwen totaled $3.4 million, $2.2 million of which was billed and $1.2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accounts receivable from Ocwen totaled $4.0 million, $3.2 million of which was billed and $0.8 million of which was unbilled.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Rithm</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(formerly New Residential Investment Corp.) is an asset manager focused on the real estate and financial services industries.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has disclosed that Rithm is a significant client of Ocwen’s. As of December 31, 2023, Ocwen reported that approximately 16% of loans serviced and subserviced by Ocwen (measured in unpaid principal balance (“UPB”)) and approximately 67% of all delinquent loans that Ocwen services were related to Rithm MSRs or rights to MSRs (the “Subject MSRs”).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purchases brokerage services for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revenue from Rithm of $2.8 million and $3.2 million, respectively, under the Brokerage Agreement. For the years ended December 31, 2023 and 2022, we recognized additional revenue of $12.6 million and $13.0 million, respectively, relating to the Subject MSRs when a party other than Rithm selects Altisource as the service provider.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predominantly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sales and marketing focus areas are to:</w:t>
      </w:r>
    </w:p>
    <w:p>
      <w:pPr>
        <w:spacing w:after="0" w:line="171"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existing customers by cross-selling additional services and growing the volume of existing services we provide. We believe our customer relationships represent meaningful growth opportunities for us.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customer relationships by leveraging our comprehensive suite of services, performance and controls. We believe there are meaningful growth opportunities to sell our suite of services to new customers.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highly regulated nature of the industries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we deem necessary and appropriate, have obtained licenses from third parties to intellectual property relating to our services, processes and businesses. These intellectual property rights are important factors in the success of our businesses.</w:t>
      </w:r>
    </w:p>
    <w:p>
      <w:pPr>
        <w:spacing w:after="0" w:line="112"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As of December 31, 2023, we have been awarded five patents that expire in 2025, one patent that expires in 2026, one patent that expires in 2027, one patent that expires in 2029, one patent that expires in 2030. In addition, we have registered trademarks in a number of jurisdictions including the United States, the European Union (“EU”), India and five other jurisdictions. These trademarks generally can be renewed indefinitely, provided they are being used in commerce.</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20"/>
        <w:spacing w:after="0" w:line="438" w:lineRule="auto"/>
        <w:rPr>
          <w:sz w:val="20"/>
          <w:szCs w:val="20"/>
          <w:color w:val="auto"/>
        </w:rPr>
      </w:pPr>
      <w:r>
        <w:rPr>
          <w:rFonts w:ascii="Times New Roman" w:cs="Times New Roman" w:eastAsia="Times New Roman" w:hAnsi="Times New Roman"/>
          <w:sz w:val="18"/>
          <w:szCs w:val="18"/>
          <w:color w:val="auto"/>
        </w:rPr>
        <w:t xml:space="preserve">certain of our services, including combining it with proprietary data we generate to further enhance data and metrics in connection with our services. </w:t>
      </w:r>
      <w:r>
        <w:rPr>
          <w:rFonts w:ascii="Times New Roman" w:cs="Times New Roman" w:eastAsia="Times New Roman" w:hAnsi="Times New Roman"/>
          <w:sz w:val="18"/>
          <w:szCs w:val="18"/>
          <w:b w:val="1"/>
          <w:bCs w:val="1"/>
          <w:color w:val="auto"/>
        </w:rPr>
        <w:t>Market and Competition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consumer confidence, natural disasters and pandemics, and responses to such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mortgage servicers and mortgage originators are highly competitive and generally consist of national companies, in-house providers and a large number of regional and local providers. We typically compete based upon product and service awareness and offerings, product performance and service delivery, quality and control environment, technology integration and support, national coverage, price, financial strength, reputation and customer service.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buyers and sellers of home for investment are highly competitive and generally consist of several national companies, a large number of regional and local providers and start-up companies. We typically compete based upon product and service awareness and offerings, product performance and service delivery, national coverage, ease of transacting, price, quality and control environment, technology integration and support, customer service and personal service.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have greater financial resources, brand recognition, alternative or disruptive products and technology and other competitive advantages. We cannot determine our market share with certainty, but believe for mortgage servicers we have a modest share of the market, and for the others we have a relatively small market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Amendment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9, 2023, we executed Amendment No. 2 (the “Second Amendment”) to the Credit Agreement effective February 14, 2023 (as amended by the Second Amendment, the “Amended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certain key terms of the Second Amendment and the Amended Credit Agreement.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term loans under the Amended Credit Agreement is April 30, 2025</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par paydown that we make on the term loans (excluding amortization and other required payments) in the aggregate using proceeds from issuances of equity interest or from junior indebtedness prior to February 14, 2024 ("Aggregate Paydowns”) is equal to or greater than $30 million, then (subject to the representations and warranties being true and correct as of such date and there being no default or event of default being in existence as of such date) the maturity date of the term loans may be extended to April 30, 2026, at our option subject to Company's payment of a 2% payment-in-kind extension fee.</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amortization of the term loans under the Amended Credit Agreement is 1.00% per year through April 30, 2025 and, if the maturity date is extended, 1% per month during the 12 month extension period.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term loans will initially be Secured Overnight Financing Rate (“SOFR”) plus 5.00% per annum payable in cash plus 5.00% per annum payable in kind (“PIK”). The PIK component of the interest rate is subject to adjustment based on the amount of Aggregate Paydowns as set forth in the table below: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6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4"/>
                <w:szCs w:val="14"/>
                <w:b w:val="1"/>
                <w:bCs w:val="1"/>
                <w:color w:val="auto"/>
              </w:rPr>
              <w:t>PIK Component of Interest</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3520" w:type="dxa"/>
            <w:vAlign w:val="bottom"/>
            <w:tcBorders>
              <w:bottom w:val="single" w:sz="8" w:color="auto"/>
            </w:tcBorders>
          </w:tcPr>
          <w:p>
            <w:pPr>
              <w:jc w:val="center"/>
              <w:ind w:left="140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 million</w:t>
            </w:r>
          </w:p>
        </w:tc>
        <w:tc>
          <w:tcPr>
            <w:tcW w:w="3520" w:type="dxa"/>
            <w:vAlign w:val="bottom"/>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6"/>
              </w:rPr>
              <w:t>5.00%</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 million+ but less than below</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6"/>
              </w:rPr>
              <w:t>4.50%</w:t>
            </w: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million+ but less than below</w:t>
            </w:r>
          </w:p>
        </w:tc>
        <w:tc>
          <w:tcPr>
            <w:tcW w:w="3520" w:type="dxa"/>
            <w:vAlign w:val="bottom"/>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6"/>
              </w:rPr>
              <w:t>3.75%</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 million+ but less than below</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6"/>
              </w:rPr>
              <w:t>3.50%</w:t>
            </w: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$45 million+ but less than below</w:t>
            </w:r>
          </w:p>
        </w:tc>
        <w:tc>
          <w:tcPr>
            <w:tcW w:w="3520" w:type="dxa"/>
            <w:vAlign w:val="bottom"/>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6"/>
              </w:rPr>
              <w:t>3.00%</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 million+ but less than below</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6"/>
              </w:rPr>
              <w:t>2.50%</w:t>
            </w: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$55 million+ but less than below</w:t>
            </w:r>
          </w:p>
        </w:tc>
        <w:tc>
          <w:tcPr>
            <w:tcW w:w="3520" w:type="dxa"/>
            <w:vAlign w:val="bottom"/>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6"/>
              </w:rPr>
              <w:t>2.00%</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$60 million+ but less than below</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million+ but less than below</w:t>
            </w:r>
          </w:p>
        </w:tc>
        <w:tc>
          <w:tcPr>
            <w:tcW w:w="3520" w:type="dxa"/>
            <w:vAlign w:val="bottom"/>
            <w:shd w:val="clear" w:color="auto" w:fill="CCEEFF"/>
          </w:tcPr>
          <w:p>
            <w:pPr>
              <w:jc w:val="center"/>
              <w:ind w:left="1401"/>
              <w:spacing w:after="0"/>
              <w:rPr>
                <w:sz w:val="20"/>
                <w:szCs w:val="20"/>
                <w:color w:val="auto"/>
              </w:rPr>
            </w:pPr>
            <w:r>
              <w:rPr>
                <w:rFonts w:ascii="Times New Roman" w:cs="Times New Roman" w:eastAsia="Times New Roman" w:hAnsi="Times New Roman"/>
                <w:sz w:val="16"/>
                <w:szCs w:val="16"/>
                <w:color w:val="auto"/>
                <w:w w:val="96"/>
              </w:rPr>
              <w:t>0.50%</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$70 million+</w:t>
            </w:r>
          </w:p>
        </w:tc>
        <w:tc>
          <w:tcPr>
            <w:tcW w:w="35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6"/>
              </w:rPr>
              <w:t>0.00%</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end of any calendar quarter, (i) our amount of unencumbered cash and cash equivalents on a consolidated basis plus (ii) the undrawn commitment amount under our revolving credit facility is, or is forecast as of the end of the immediately subsequent calendar quarter to be, less than $35 million, then up to 2.00% in interest otherwise payable in cash in the following quarter may be paid in kind at our election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Amended Credit Agreement received warrants (the “Warrants”) to purchase 3,223,851 shares of Altisource common stock (the “Warrant Shares”). The number of Warrant Shares is subject to reduction based on the amount of Aggregate Paydowns as set forth in the table below.</w:t>
      </w:r>
    </w:p>
    <w:p>
      <w:pPr>
        <w:spacing w:after="0" w:line="48"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624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34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Warrant Shares</w:t>
            </w:r>
          </w:p>
        </w:tc>
      </w:tr>
      <w:tr>
        <w:trPr>
          <w:trHeight w:val="23"/>
        </w:trPr>
        <w:tc>
          <w:tcPr>
            <w:tcW w:w="62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 million</w:t>
            </w:r>
          </w:p>
        </w:tc>
        <w:tc>
          <w:tcPr>
            <w:tcW w:w="3340" w:type="dxa"/>
            <w:vAlign w:val="bottom"/>
            <w:shd w:val="clear" w:color="auto" w:fill="CCEEFF"/>
          </w:tcPr>
          <w:p>
            <w:pPr>
              <w:jc w:val="center"/>
              <w:ind w:left="1221"/>
              <w:spacing w:after="0"/>
              <w:rPr>
                <w:sz w:val="20"/>
                <w:szCs w:val="20"/>
                <w:color w:val="auto"/>
              </w:rPr>
            </w:pPr>
            <w:r>
              <w:rPr>
                <w:rFonts w:ascii="Times New Roman" w:cs="Times New Roman" w:eastAsia="Times New Roman" w:hAnsi="Times New Roman"/>
                <w:sz w:val="16"/>
                <w:szCs w:val="16"/>
                <w:color w:val="auto"/>
                <w:w w:val="99"/>
              </w:rPr>
              <w:t>3,223,851</w:t>
            </w:r>
          </w:p>
        </w:tc>
      </w:tr>
      <w:tr>
        <w:trPr>
          <w:trHeight w:val="22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 million+ but less than below</w:t>
            </w:r>
          </w:p>
        </w:tc>
        <w:tc>
          <w:tcPr>
            <w:tcW w:w="3340" w:type="dxa"/>
            <w:vAlign w:val="bottom"/>
          </w:tcPr>
          <w:p>
            <w:pPr>
              <w:jc w:val="center"/>
              <w:ind w:left="1221"/>
              <w:spacing w:after="0"/>
              <w:rPr>
                <w:sz w:val="20"/>
                <w:szCs w:val="20"/>
                <w:color w:val="auto"/>
              </w:rPr>
            </w:pPr>
            <w:r>
              <w:rPr>
                <w:rFonts w:ascii="Times New Roman" w:cs="Times New Roman" w:eastAsia="Times New Roman" w:hAnsi="Times New Roman"/>
                <w:sz w:val="16"/>
                <w:szCs w:val="16"/>
                <w:color w:val="auto"/>
                <w:w w:val="99"/>
              </w:rPr>
              <w:t>2,578,743</w:t>
            </w:r>
          </w:p>
        </w:tc>
      </w:tr>
      <w:tr>
        <w:trPr>
          <w:trHeight w:val="23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million+</w:t>
            </w:r>
          </w:p>
        </w:tc>
        <w:tc>
          <w:tcPr>
            <w:tcW w:w="3340" w:type="dxa"/>
            <w:vAlign w:val="bottom"/>
            <w:shd w:val="clear" w:color="auto" w:fill="CCEEFF"/>
          </w:tcPr>
          <w:p>
            <w:pPr>
              <w:jc w:val="center"/>
              <w:ind w:left="1221"/>
              <w:spacing w:after="0"/>
              <w:rPr>
                <w:sz w:val="20"/>
                <w:szCs w:val="20"/>
                <w:color w:val="auto"/>
              </w:rPr>
            </w:pPr>
            <w:r>
              <w:rPr>
                <w:rFonts w:ascii="Times New Roman" w:cs="Times New Roman" w:eastAsia="Times New Roman" w:hAnsi="Times New Roman"/>
                <w:sz w:val="16"/>
                <w:szCs w:val="16"/>
                <w:color w:val="auto"/>
                <w:w w:val="99"/>
              </w:rPr>
              <w:t>1,612,705</w:t>
            </w:r>
          </w:p>
        </w:tc>
      </w:tr>
    </w:tbl>
    <w:p>
      <w:pPr>
        <w:spacing w:after="0" w:line="117"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are subject to a lock-up agreement, subject to customary exceptions, ending on February 16, 2024</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Amended Credit Agreement were paid an amendment fee equal to 1.0%, substantially all of which was paid in cash at closing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of the affirmative and negative covenants, mandatory prepayments, events of default and other terms to which we are subject under the Amended Credit Agreement have been modified including in many cases to be more restrictive or to reduce certain permissions previously available to us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$30 million of Aggregate Paydowns made by Company during the year ended December 31, 2023, the maturity date may be extended to April 30, 2026 at the Company's option (subject to conditions described above), the PIK component of the interest rate decreased to 3.75%, the number of Warrant Shares decreased to 1,612,705 and there is no contractual amortization due until the April 30, 2025 maturity date. If the maturity date is extended to April 30, 2026, the Company is required to make mandatory repayments of $5.2 million in the first quarter of 2026 with the remaining balance due at the April 2026 maturity</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outstanding amount of our SSTL was $224.1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Revolver Amendment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9, 2023, we entered into Amendment No. 1 (the “First Revolver Amendment”) to our revolving credit facility (the “Revolver”) effective February 14, 2023. The First Revolver Amendment establishes the credit available under our revolving credit facility at $15 million, extends the facility termination and maturity date to coincide with the maturity date of the term loans under the Amended Credit Agreement, and increases the interest rate under our revolving credit facility to 10% per annum payable in cash and 3% per annum PIK. A usage fee of $0.75 million will be payable upon the initial drawing under our revolving credit facility following the effectiveness of the First Revolver Amendment. Our revolving credit facility is secured by a first-priority lien on substantially all of our assets, which lien will be pari passu with liens securing the term loans under the Amended Credit Agreement, and our revolving credit facility will continue to be guaranteed by Altisource and substantially all of our material subsidiaries. As of December 31, 2023, there are no outstanding amounts under the First Revolver Amendment and the First Amendment Revolver has never been drawn.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the following number of 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India</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Uruguay</w:t>
            </w: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Luxembourg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COVID-19 pandemic and related measures and the rapid rise in mortgage interest rates, the seasonal impact to revenue may not follow historical patterns.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the business of our customers are or may be subject to extensive scrutiny and regulation by federal, state and local governmental authorities including the Federal Trade Commission (“FTC”), the CFPB, the Securities and Exchange Commission (“SEC”), the Department of Housing and Urban Development (“HUD”), the Treasury Department, various federal and state banking, financial and consumer regulators and the state and local agencies that license or oversee certain of our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We also must comply with a number of federal, state and local laws, which may include, among others:</w:t>
      </w:r>
    </w:p>
    <w:p>
      <w:pPr>
        <w:spacing w:after="0" w:line="13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(“ADA”);</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Homeowner Bill of Rights (“CHBR”);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(“CAN-SPAM”);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(“ECOA”);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and Accurate Credit Transactions Act (“FACTA”);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(“FCRA”);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Housing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(“FTC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(“GLBA”);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Affordable Refinance Program (“HARP”);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Mortgage Disclosure Act (“HMDA”);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Ownership and Equity Protection Act (“HOEPA”);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Housing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Real Property Actions and Proceedings Law (“RPAPL”);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Estate Settlement Procedures Act (“RESPA”);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 and Fair Enforcement for Mortgage Licensing (“SAFE”)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(“SCRA”);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(“TCPA”);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Lending Act (“TILA”);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Deceptive or Abusive Acts and Practices statutes (“UDAAP”);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state laws addressing consumer data privacy, use or disclosure.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the requirements of the Foreign Corrupt Practices Act (“FCPA”) and comparable foreign laws due to our activities in foreign jurisdictions.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federal and state laws regarding privacy and data security, we are also subject to data protection laws in the countries in which we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certain of our entities are or may be subject to the EU General Data Protection Regulation (“GDPR”).</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licensing and regulation as a provider of certain services including, among others,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Times New Roman" w:cs="Times New Roman" w:eastAsia="Times New Roman" w:hAnsi="Times New Roman"/>
          <w:sz w:val="18"/>
          <w:szCs w:val="18"/>
          <w:i w:val="1"/>
          <w:iCs w:val="1"/>
          <w:u w:val="single" w:color="auto"/>
          <w:color w:val="380BB5"/>
        </w:rPr>
        <w:t>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Internet address is </w:t>
      </w:r>
      <w:r>
        <w:rPr>
          <w:rFonts w:ascii="Times New Roman" w:cs="Times New Roman" w:eastAsia="Times New Roman" w:hAnsi="Times New Roman"/>
          <w:sz w:val="18"/>
          <w:szCs w:val="18"/>
          <w:i w:val="1"/>
          <w:iCs w:val="1"/>
          <w:u w:val="single" w:color="auto"/>
          <w:color w:val="380BB5"/>
        </w:rPr>
        <w:t>www.altisource.com</w:t>
      </w:r>
      <w:r>
        <w:rPr>
          <w:rFonts w:ascii="Times New Roman" w:cs="Times New Roman" w:eastAsia="Times New Roman" w:hAnsi="Times New Roman"/>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The risks and uncertainties described below address the most materials risks, of which we are currently aware but are not the only ones we face. Therefore, the following risk factors should not be considered a complete list of potential risks that we may face.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risk factor described in this Annual Report on Form 10-K or in any of our other SEC filings, or any risk not currently known to us or that we currently anticipate to be immaterial may, by itself, or together with other factors, materially adversely affect our business, reputation, prospects, competitive position, liquidity, results of operations, capital position or financial condition, including by materially increasing our expenses or decreasing our revenues or profits, which could result in material losses. If any of these risks occur, the trading price of our common stock could decline, and investors could lose all or part of their investment.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insurance coverage may be applicable to help address certain risks that may result in losses, recovery pursuant to our insurance policies may not be available, and available insurance may be insufficient to compensate for damages, expenses, fines, penalties, and other losses we may incur as a result of these and other risks.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ITEM 1A, unless the context otherwise clearly indicates, references to our “services” include any services, products or solutions provided, or made available, by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and extended reduction in the demand for our default-related services due to the continued low number of residential mortgage foreclosures, extended time periods from foreclosure starts to sales, the reduction in rates of foreclosures starts converting to foreclosure sales and reduced supply of Real Estates Owned inventory resulting from loss mitigation and borrower relief measures, fiscal policies, and other relevant economic conditions.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 a significant portion of our revenue in connection with providing services to two customers.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reduce or limit the use of online default real estate auctions or otherwise reduce the volume or rate of success of such auctions can negatively impact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agreement with Rithm is terminated, expires, is breached, or suffers a significant reduction in volume we could be adversely affected.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disruptions, failures, defects or inadequacies, delays or difficulties in implementing software or hardware changes, acts of vandalism or the introduction of harmful code could negatively impact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use services, products, data and infrastructure provided by third parties to maintain and grow our businesses.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detect fraudulent activity, which could impact our services, our clients or third parties and could adversely affect our reputation and our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databases contain our proprietary information, the proprietary information of third parties and personal information of our customers, consumers, vendors and employees. Our failure to comply with applicable information management requirements or best practices or the legal rights of individuals about whom we collect or process personal information, or an unauthorized disclosure or processing of information, or our failure to comply with required disclosures or notifications related to unauthorized disclosure or processing of information, could subject us to adverse publicity, investigations, fines, costly government enforcement actions or private litigation and expenses.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continuity and disaster recovery plans and other adjustments to business may not be sufficient to anticipate impacts of, or address or adequately recover from, business interruptions or a pandemic.</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underwriting loss limitation methods we use may not be effective or sufficient.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material agreements to which we are currently a party or into which we may enter in the future, the formation by shareholders of Altisource of a “group” with beneficial ownership of a defined percentage of the combined voting power or economic interest of Altisource capital stock exceeding a defined percentage may give rise to a termination event or an event of default.</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employees and contractors work from locations other than our facilities, which could negatively impact our control environment or productivity and create additional risks.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vendors for many aspects of our business. If our vendor oversight activities are ineffective, we may fail to meet customer or regulatory requirements. We may face difficulties sourcing required vendors or supplies or managing our relationships with vendors.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extensive use of contractors in certain of our lines of business. If we are required to reclassify contractors as employees, we may incur fines and penalties and additional costs and taxes.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guarantee that we will be able to continue to implement appropriate measures to manage potential conflicts of interest.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relevant industry experience and relationships of certain members of our Board of Directors, executive officers and other key personnel.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to attract, motivate and retain skilled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our operations in multiple countries subjects us to risks endemic to those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sales represented by our awarded business or sales pipeline.</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adapt our services to changes in technology or in the marketplace related to mortgage servicing or origination, changing requirements of governmental authorities, GSEs and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involves potential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to accelerate growth initiatives involve potential risks.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market conditions that reduce residential real estate sales or values or mortgage origination volumes could negatively impact demand for our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residential mortgage delinquencies, defaults or foreclosures in the United States can negatively affect demand for certain of our services.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that impact residential foreclosures or the supply, sale price or sale of REO could negatively impact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real estate brokerage commission structures or rates paid for residential property transactions could negatively impact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pay dividends on our common stock so any returns would be limited to the potential appreciation of our stock.</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take advantage of specified reduced disclosure requirements applicable to a “smaller reporting company” under Regulation S-K, and the information that we provide to stockholders may be different than they might receive from other public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stock may be volatile.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sufficient cash flow or access the capital markets or our borrowing capacity is reduced, our liquidity and competitive position may be negatively affected.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and the variable interest rate on our term loan makes us sensitive to the effects of our current financial performance and interest rate increases; our level of debt and provisions in our senior secured term loan and revolving credit facility could limit our ability to react to changes in the economy or our industry.</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or terms contained in our senior secured term loan agreements or our credit facility, including as a result of events beyond our control, could result in an event of default.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exercise the option to extend the maturity of our loan agreements (Amended Credit Agreement and Revolver) from April 2025 to April 2026. We may be unable to repay or refinance the balance of our loans under the Amended Credit Agreement or Revolver upon maturity, particularly if cash from operations fails to significantly improve, assets are not readily available for sale and sold or we are unable to timely refinance on favorable terms or at all.</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net operating loss recognized by one of our Luxembourg subsidiaries. We may not be able to fully utilize this deferred tax asset before the net operating loss expires.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escrow funds we hold at financial institutions could be lost and not recoverable.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shareholders under Luxembourg law may differ in certain respects from the rights afforded to shareholders of companies organized under laws in other jurisdictions.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Luxembourg tax law could have a negative impact on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business of our customers are subject to extensive scrutiny and legal requirements.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US sanctions, including blocking certain activities in Sanctioned Countries, could expose the company to penalties and other adverse consequences.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licensing and regulation as a provider of certain services and our failure to maintain licensing or to comply with licensing or regulatory requirements could adversely impact our ability to continue performing the services in compliance with the applicable legal or contractual requirements.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by our customers of applicable legal requirements in the selection or use of our services could generate legal liability or additional expense for us.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customers are subject to governmental oversight, regulations, orders, judgments or settlements which may impose certain obligations and limitations on their use of our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regulations, and the interpretation thereof, in the countries, states and local jurisdictions in which we operate periodically change and our operations and intercompany arrangements are subject to the tax laws of various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experience a significant and extended reduction in the demand for our default-related services due to the continued reduction in residential mortgage foreclosures, extended time periods from foreclosure starts to sales, the reduction in rates of foreclosure starts converting to foreclosure sales and reduced supply of REO inventory resulting from loss mitigation and borrower relief measures, fiscal policies, and other relevant economic conditions.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Actions taken by federal, state and local governments, GSEs and mortgage servicers in connection with the COVID-19 pandemic continue to have a profound impact on our business, our customers, and the industries in which we operate. In response to the COVID-19 pandemic, beginning in March 2020, various governmental entities and servicers implemented unprecedented foreclosure and eviction moratoriums, forbearance programs and loss mitigation measures to help mitigate the impact to borrowers and renters (collectively, “Relief Measures”). The Federal government’s foreclosure moratorium expired on July 1, 2021 and the CFPB’s temporary loss mitigation measures expired on December 31, 2021. Despite the expiration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certain other governmental measures, we believe servicers are proceeding slowly with foreclosure initiations for borrowers in default. Industrywide foreclosure starts were 4% lower in 2023 compared to 2022, and 31% lower than the same pre-COVID-19 period in 2019. The average length of time loans in foreclosure have been delinquent extended to 34 months in 2023 from 29 months in 2019.</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Industrywide foreclosure sales were 8% higher in 2023 compared to 2022, and 46% lower than the same pre-COVID-19 period in 2019. Foreclosure sales as a percentage of foreclosure inventory has declined to 37% in 2023 from 51% in 2019. The decline in foreclosure initiations and foreclosure sales throughout the pandemic, partially offset by the restart of the default market, significantly decreased default related referrals to us and continues to negatively impact virtually all of our default related services revenue.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we will continue to experience significant impacts of the Relief Measures and cannot predict when those impacts may begin to abate. Based on the expirations of certain Relief Measures, we believe the demand for our Default business will grow, but our estimate may not be correct and is subject to macro and micro economic factors that could negatively impact us. We estimate that in today’s environment it typically takes on average two years to convert foreclosure initiations to foreclosure sales and six months to market and sell the REO, but multiple factors could impact this estimate. The extent and duration of the impact of the Relief Measures and societal responses will depend on future developments which remain highly uncertain. As a result, it is difficult to predict the impact on our business and the timing for the recovery of the default market, if it recovers at all.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Volatile or uncertain economic conditions caused by the COVID-19 pandemic and its consequences, as well as governmental fiscal policies and other relevant economic conditions, have and may continue to affect our customers and the markets we serve, causing customers to reduce, defer or eliminate spending on our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earn a significant portion of our revenue in connection with providing services to two customers.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earned from providing services to Ocwen and Rithm. If either party substantially reduces the scope or volume of services acquired from us, or otherwise ceases using us as a vendor, it would negatively impact our business. For example, we could experience a reduction in scope or volume of business as a direct or indirect result of the existence or outcome of regulatory matters impacting one or more of these clients, a change in the servicing relationship between these clients, a reduction in the MSRs for which Ocwen or Rithm acts as a servicer or subservicer or controls the rights to designate service providers, or a change in the contractual relationship between Altisource and Ocwen or Rithm. In addition, providing services to these customers affords us the opportunity to provide certain services to third parties and the loss of these customers or reduction in the quantity of services provided to these customers would also result in the loss or reduction of these additional revenue streams. For example, we may have the opportunity to earn commissions or fees from, or we may be able to provide on-line auction services, title insurance and escrow services, or other services to, buyers on certain real estate transactions, and the loss or reduction in the number of these customers would also prevent us from offering these additional services related to the underlying transaction. Customer concentration also exposes us to concentrated credit risk, as a significant portion of our accounts receivable may be from one or both of these customers.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characteristics of the portfolios of properties on which we provide services for either of these customers were to significantly change, for example to become less delinquent, more rural or lower value, this could impact the type and volume of services that we provide, increase our costs of doing business, or reduce the value of commissions or fees we earn.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concentration or relationships with these two customers may be viewed as a risk or otherwise negatively by other customers or potential customers, impeding our efforts to retain customers or obtain new customers.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that reduce or limit the use of online default real estate auctions or otherwise reduce the volume or rate of success of such auctions can negatively impact our auction marketplace, real estate brokerage and related default services.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GSE, servicer or investor actions or action by others that restrict online real estate auctions (foreclosure and REO), reduce the permissible fees or direct the use of auction providers other than us, could negatively impact demand for our auction marketplace, real estate brokerage and related services, and negatively impact our ability to meet certain contractual performance metrics, including those related to aging of assets, time on market and sale price compared to valuation. If we fail to satisfy applicable performance metrics or perform in a manner satisfactory to our customers, such customers may reduce the services they acquire from us or otherwise terminate us as a provider.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entered into a brokerage agreement with Rithm’s licensed brokerage subsidiary. If the agreement is terminated, expires, is breached or if there is a significant reduction in the volume of services that we provide pursuant to such agreement, our business and results of operations could be adversely affected.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28, 2017, Altisource, through its licensed subsidiaries, entered into the Brokerage Agreement with Rithm which extends through August 2025 (“Brokerage Agreement”). Under this agreement and related amendments, Altisource is the exclusive provider (with certain exceptions) of brokerage services for REO associated with the certain MSR through August 2025, irrespective of the subservicer, as long as Rithm owns such MSRs. The Brokerage Agreement may be terminated by Rithm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Rithm, voluntary or involuntary bankruptcy, appointment of a receiver, disclosure in a Form 10-K or Form 10-Q that there is significant uncertainty about Altisource’s ability to continue as a going concern, failure to maintain a specified level of cash and an unapproved change of control. Rithm could decide to not renew or extend the term of the Brokerage Agreement upon its termination in August 2025, in which case Rithm may elect to use a brokerage service provider other than the Altisource subsidiaries for some or all of its REO. If any one of these termination events occurs and the Brokerage Agreement is terminated or if the Brokerage Agreement is not renewed or extended, Altisource’s business and results of operations could be adversely affected.</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Rithm operational changes, breach of the Brokerage Agreement or other actions that reduce the number of properties converting to REO status could: (i) reduce the volume of services that we provide on the applicable MSRs pursuant to our agreements with Ocwen, and (ii) reduce the volume of services that we provide pursuant to the Brokerage Agreement.</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Technology disruptions, failures, defects or inadequacies, delays or difficulties in implementing software or hardware changes, acts of vandalism or the introduction of harmful code could damage our business operations and increase our costs.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rely on critical technology to provide certain of our services. We rely on our proprietary technology in our Hubzu real estate marketing, Equator, Equator.com, NestRange, LOLA, REALSynergy, RentRange, Trelix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Connect, Vendorly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platforms. Certain of our proprietary technology includes licensed open source and third-party code or may be created or maintained by using artificial intelligence, low-code or other coding techniques that contain inherent risks. We also leverage third-party technology to provide certain of our services, including using third-party order management and billing technology, and using third-party technology to access data or take actions, such as governmental filings, and externally hosted and managed data centers and operating environments. Disruptions, failures, defects or inadequacies in our technology or third-party technology or related services we utilize, delays or errors in developing or maintaining our technology, or acts of vandalism, misuse or malicious use of our solutions, system attacks or the introduction of malicious code in technology we utilize, the use of outdated or unsupported open source or third-party code, or the use of defective, compromised or insecure code may interrupt or delay our ability to provide products or services to our customers, impact our ability to satisfy performance requirements, or cause the loss, corruption or disclosure of data. We may be a target for network hackers or others with malicious intent due to our storage and processing of consumer information as part of providing our services or as a result of operating public-facing technology platforms, including, for example, our Hubzu marketing platform. Any sustained and repeated disruptions in these services may have an adverse impact on our and our customers’ business and results of operations and, in the case of acts of vandalism or introduction of harmful code, could necessitate improvements to our physical and cybersecurity practices that may require an investment of money, time and resources.</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Many of our services and processes require effective interoperation with internal and external technology platforms and services, and failures in such interoperation could have a negative impact on our operations and the operations of our customers.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customers may require changes and improvements to the systems we provide to them to manage the volume and complexity, laws or regulations of their businesses, or to interoperate with other systems, which changes and improvements may be unfeasible, unsuccessful, costly or time-consuming to implement or may create disruptions in our provision of services to customers. Our customers may refuse to agree to modifications to technology or infrastructure that we provide to them or that interoperate with the technology or infrastructure we provide to them that we may believe are desirable to improve the reliability, performance, efficiency or cost in delivering. Additionally, the improper implementation or use of Altisource technology, such as Equator, by customers could adversely impact the operation of that technology, and potentially cause harm to our reputation, loss of customers, negative publicity or exposure to liability claims or government investigations or 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our ability to use services, products, data and infrastructure provided by third parties to maintain and grow our businesses.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certain third parties to provide services, products and solutions including certain data, infrastructure, technology, systems and functionality including a third-party hosted and managed data center and operating environment (collectively, “Inputs”) critical to our services, including our Hubzu real estate marketing, Equator, Field Services, NestRange, RentRange, Trelix Connect, Vendorly, and other solutions. The failure of such third parties to provide or make available the Inputs in accordance with applicable requirements could negatively impact our ability to provide our services or perform transactions and to meet our obligations. In addition, these third parties could cease providing or reduce the availability, type, details or other aspects of the Inputs, and change the pricing, performance or functionality of the Inputs. If such Inputs become unavailable or too expensive and we are unable to obtain suitable alternatives and efficiently and effectively integrate these alternatives into our service offerings or infrastructure, we could experience service disruptions, increased costs and reduced quality of our services.</w:t>
      </w:r>
    </w:p>
    <w:p>
      <w:pPr>
        <w:spacing w:after="0" w:line="1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successfully detect fraudulent activity, which could impact our services, our clients or third parties and could adversely affect our reputation and our results of operations.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provision of certain services in connection with real estate-related transactions relies upon information provided by employees and third parties, including our vendors, and upon certain technology systems. The provisions of such services could be negatively impacted by fraudulent or incorrect information provided by employees or third parties. Vulnerabilities in technology systems on which we rely to provide certain services could permit employees or third parties to introduce fraudulent information into those systems or otherwise compromise those systems, impacting our ability to provide services without error. If we are not able to detect that information on which we rely to provide services is inaccurate or fraudulent, or that systems are compromised, we may take actions in providing certain services which could damage third parties or our clients. Employees and third parties have in the past conducted, and may attempt in the future to conduct, fraudulent activity, which may result in, among others, transferring funds to fraudulent actors, paying for services which were not performed or failed to meet applicable requirements, disbursing construction funds when applicable conditions have not been satisfied, selling real estate for below market values, issuing title insurance based on fraudulent ownership documentation, underwriting mortgage applications based on fraudulent information and insuring fraudulent mortgages. Persistent and pervasive fraudulent activity may harm our client relationships and our reputation and could result in financial loss, thereby adversely affecting our business and results of operations</w:t>
      </w:r>
      <w:r>
        <w:rPr>
          <w:rFonts w:ascii="Calibri" w:cs="Calibri" w:eastAsia="Calibri" w:hAnsi="Calibri"/>
          <w:sz w:val="19"/>
          <w:szCs w:val="19"/>
          <w:color w:val="auto"/>
        </w:rPr>
        <w:t>.</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Company’s databases contain our proprietary information, the proprietary information of third parties and personal information of our customers, consumers, vendors and employees. Our failure to comply with applicable information management requirements or best practices or the legal rights of individuals about whom we collect or process personal information, or an unauthorized disclosure or processing of information, or our failure to comply with required disclosures or notifications related to unauthorized disclosure or processing of information, could subject us to adverse publicity, investigations, fines, costly government enforcement actions or private litigation and expenses.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collect, store, process, transfer and dispose in tangible and electronic forms customer, consumer, vendor and employee personal information (“PI”). We and our vendors rely on processes that are intended to provide necessary notices, processes and controls regarding the collection, storage, processing and destruction of PI, and to permit subjects to exercise their legal rights concerning their PI in our possession. If those notices, processes or controls are not sufficient, or our processes or controls experience an error or other disruption, we or our vendors may fail to comply with applicable requirements concerning PI. In addition, we rely on the security of our facilities, networks, databases, systems, processes and controls, and, in certain circumstances, third parties, such as vendors, to protect PI. If such facilities, networks, databases, systems, processes and controls, or those of our customers or vendors, are not effective, are outdated or compromised, or do not exist, or if we, our customers or vendors fail to detect or respond to attacks or intrusions, unauthorized parties may gain access to our networks or databases or information, or those of our customers or vendors with which we interconnect or share information, and they may be able to steal, publish, delete, or modify PI. In addition, employees may intentionally or inadvertently process PI in an unauthorized manner or cause data or security breaches that result in unauthorized release of such PI. Further, our efforts to process, delete or destroy PI may not be consistent with our disclosed policies or may not be successful, resulting in the theft or unintentional disclosure of PI, including when disposing of media on which PI may be stored. In such circumstances, our business could be harmed and we could be liable to our customers, employees or vendors, or to regulators, consumers or other parties, as well as be subject to disclosure or notification requirements, and regulatory or other actions for breaching applicable laws, failing to make or provide required disclosures or notifications,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inadequacy, disruption or failure of our business continuity or disaster recovery plans and procedures in response to significant business or system disruption could adversely affect our business.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continuity and disaster recovery plans and other adjustments to business may not be sufficient to anticipate impacts of, or address or adequately recover from, business interruptions or a pandemic, or may not be implemented on a timely or error free basis in response to business interruptions or a pandemic, resulting in negative operational impacts and errors.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insurance underwriting loss limitation methods we use may not be effective or sufficient.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through its subsidiary Association of Certified Mortgage Originators Risk Retention Group, Inc., provides certified loan insurance to its customers. Altisource reduces a portion of its risk of insurance loss through third-party reinsurance. The incidence and severity of claims against insurance policies are inherently unpredictable. Although we attempt to manage our exposure to insurance underwriting risk through the use of disciplined underwriting controls and the purchase of third-party reinsurance, we maintain first loss exposure and the frequency and severity of claims could be greater than contemplated in our pricing and risk management methods and our controls and mitigation efforts may not be effective or sufficient.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counterparty risk when purchasing reinsurance from third-party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Under certain material agreements to which we are currently a party or into which we may enter in the future, the formation by shareholders of Altisource of a “group” with beneficial ownership of a defined percentage of the combined voting power or economic interest of Altisource capital stock exceeding a defined percentage may give rise to a termination event or an event of default.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certain of our material agreements a change of control would be deemed to occur if, among other things, a “group” (as that term is used in Sections 13(d) and 14(d) of the Exchange Act) is formed by shareholders holding beneficial ownership of a defined percentage of the combined voting power or economic interest of our capital stock. The Brokerage Agreement with Rithm’s licensed brokerage subsidiary contains a similar provision, and we may enter into material agreements in the future that contain similar provisions. The formation of a “group” could occur without the involvement of or input by us, and we are not in a position to prevent such an event from occurring. Such a change of control could constitute a termination event or an event of default under these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majority of our employees and contractors work from locations other than in our facilities, which could negatively impact our control environment or productivity and create additional risks for our business, including increasing our risk for cybersecurity breaches or failures.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workforce works from locations other than our facilities (“Remote Work Environment”). We may incur significant costs associated with the Remote Work Environment and we may not be able to increase our fees to cover the additional costs. Employing a Remote Work Environment could decrease workforce productivity, including due to a lower level of oversight, supervision or monitoring, increased distractions, impediments to real-time communication or other challenges to effective collaboration, use of slower residential internet connections, the instability, inadequacy or unavailability of our network, unstable electrical services or unreliable internet access. We also may face increased data privacy and security risks resulting from the use of non-Altisource networks to access information and to provide services.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risks to our systems and data as well as customer, vendor and borrower data include increased phishing activities targeting our workforce, vendors and counterparties in transactions and the possibility of attacks on our systems or systems of our remote workforce. A Remote Work Environment could also negatively impact certain controls, such as our financial reporting systems, internal control over financial reporting and disclosure controls and procedures, and controls designed to detect or prevent misconduct. If any reduction in productivity or data privacy or cybersecurity failures or breaches or issues with our controls occurs, we may incur additional costs to address such issues and our financial condition and results may be adversely impacted.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Remote Work Environment may result in difficulties creating and maintaining current and accurate records of where our employees are working. Such uncertainty in employee location may subject us to risks related to taxing jurisdictions or maintaining certain licenses.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rely on vendors for many aspects of our business. If our vendor oversight activities are ineffective, we may fail to meet customer or regulatory requirements. We may face difficulties sourcing required vendors or supplies or managing our relationships with vendors.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vendors to provide goods and services in relation to many aspects of our operations, including field services providers and certain providers of web-based services or software as services. Our dependence on these vendors makes our operations vulnerable to the unavailability of such vendors, the pricing and quality of services and products offered by such vendors, solvency of those vendors, security failures of those vendors, deficiencies and failures of business continuity and disaster recovery plans and efforts of such vendors, and such vendors’ failure to perform adequately under our agreements with them. In addition, where a vendor provides services or products that we are required to provide under a contract with a customer, we are generally responsible for such performance and could be held accountable by the customer for any failure of performance by our vendors or related defects. If our vendor sourcing efforts are not effective or if we are otherwise not able to secure an appropriate supply and quality of vendors, services or supplies, if vendors are unable to hire or retain employees or acquire supplies or are prohibited or prevented from performing the services or providing the products for which we contract, including as the result of restrictions imposed by state or local governments or health departments, we may be unable to provide services or compliant services or services may become more expensive. If our vendor oversight activities are ineffective, if a vendor fails to provide the services or products that we require or expect or fails to meet contractual requirements, such as service levels or compliance with applicable laws, or a vendor engages in misconduct, the failure or misconduct could negatively impact our business by adversely affecting our ability to serve our customers or subjecting us to litigation and regulatory risk for ineffective vendor oversight. Furthermore, the failure to obtain services or products at anticipated pricing could impact our cost structure and the prices of our services and we may not be able to increase our fees to cover the additional costs.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vendors, we may lose customers or may no longer be granted referrals for certain services or could be subject to adverse regulatory action.</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make extensive use of contractors in certain of our lines of business. If we are required to reclassify contractors as employees, we may incur fines and penalties and additional costs and taxes.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number of contractors provide services in our operations for which we do not pay or withhold any federal, state or local employment tax or provide employee benefits. These contractors may be retained by us or retained by vendors providing services to us. There are a number of tests used in determining whether an individual is an employee or a contractor. There can be no assurance that we are in compliance, or that legislative, judicial or regulatory (including tax) authorities will not introduce proposals or assert interpretations of existing rules and regulations that would change, or at least challenge, the classification of our contractors. The United States Internal Revenue Service or other United States federal or state authorities or similar authorities of a foreign government may determine that we or our vendors have misclassified our contractors for employment tax or other purposes and, as a result, seek additional taxes from us, require us to pay certain compensation or benefits to wrongly classified employees, or attempt to impose fines or penalties. In addition, contractors, or contractors or employees of our vendors, may assert claims that they are our employees and seek to recover compensation, benefits, damages and penalties from us. If we are required to pay employer taxes, pay backup withholding compensation, benefits, damages or penalties with respect to or on behalf of our contractors or contractors or employees of our vendors, our operating costs will increase.</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could have conflicts of interest with Ocwen, Rithm, Deer Park Road Management Company L.P., or affiliates of the foregoing, and/or certain of our shareholders, members of management, employees and members of our Board of Directors, which may be resolved in a manner adverse to us.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significant business relationships with and provide services to Ocwen and to Rithm, and we have business relationships with certain companies in which William C. Erbey has invested. We also have a revolving credit facility with a fund managed by Deer Park Road Management Company L.P. (together with its affiliates and managed funds, “Deer Park”), and Deer Park owns Altisource debt as a lender pursuant to our senior secured term loan agreement, as amended and restated with an effective date of February 14, 2023 (the “Amended Credit Agreement”). Deer Park and William C. Erbey (directly or through trust or investment vehicles in which he has sole voting and investment power) have disclosed that they own equity interests in Altisource representing approximately 16% and 23%, respectively, of Altisource’s outstanding common stock as of December 31, 2023. As of December 31, 2023, Deer Park owned approximately 18% of Altisource’s debt under the Amended Credit Agreement and held 292 thousand warrants received in connection with the February 2023 debt amendment. Certain members of our management and independent members of our Board of Directors (or entities affiliated with such members of the Board of Directors) have direct or beneficial equity interests in one or more of Altisource, Ocwen and Rithm, including in one instance, equity interests in both Ocwen (estimated to be approximately 8%) and Altisource (approximately 16%) as well as debt of both of these companies. Such interests and relationships could create, or appear to create, potential conflicts of interest with respect to matters involving or affecting us and Ocwen, Rithm, Deer Park, William C. Erbey or their affiliates. There can be no assurance that we will implement measures that will enable us to manage such potential conflicts. There can be no assurance that any current or future measures that may be implemented to manage potential conflicts will be effective or that we will be able to manage or resolve all potential conflicts with Ocwen, Rithm, Deer Park, William C. Erbey or their affiliates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that the resolution will be no less favorable to us than if we were dealing with another third-party that has none of the connections we have with Ocwen, Rithm, Deer Park or William C. Erbey. There can be no guarantee that we will be able to continue to implement appropriate measures to manage these potential conflicts of interest.</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success depends on the relevant industry experience and relationships of certain members of our Board of Directors, executive officers and other key personnel.</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or play a substantial role in our relationship with certain customers. We are dependent on the services of members of our Board of Directors and key executives at our corporate headquarters and personnel at each of our lines of business and support groups. In addition, certain members of our Board of Directors, executive officers or other key employees have relationships with certain customers or vendors that facilitate our business and operations. The loss of the services of any of these members of our Board of Directors, executives or key personnel could have an adverse effect on our business and results of operations or relationships with certain customers or vendors.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our substance and leadership as a Luxembourg company, we seek to convene at least one Board of Directors meeting in Luxembourg each year and our executive management is largely based in Luxembourg. The travel required by our directors to Luxembourg, and potential future restrictions on and requirements for such travel, may serve as an impediment to attract and retain directors and director candidates. Our Luxembourg location can also make it difficult to attract and retain executive officers and other senior leadership and to achieve diversity and succession planning in such roles.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difficulties to attract, motivate and retain skilled employees.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labor intensive and places significant importance on our ability to recruit, engage, train and retain skilled employees. Additionally, demand for qualified professionals with experience in certain businesses or technologies may exceed available supply. Our ability to recruit and train employees is critical to achieving our growth objective. Further, some of our business operations require recruiting and retaining employees with certain professional licenses, particularly in the United States. An increase in demand for professionals licensed to work in our origination, real estate brokerage and auction, and default business, and significant turnover in those areas, may negatively impact our ability to attract and retain such professionals. We face inflationary wage pressures which may continue for an extended period. We may continue to encounter significant challenges in attracting and retaining employees as needed to satisfy demand or growth expectations for our services, or to be able to limit compensation related costs to make operations economically viable. We may not be able to attract and retain skilled employees. We may face an increase in wages or other costs of attracting, training or retaining skilled employees. In addition, attrition of current employees may negatively impact our ability to provide services of a quality or volume that satisfy applicable contractual obligations or that support our planned growth or expansion of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presence of our operations in multiple countries subjects us to risks endemic to those countries.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employees and operations outside of the United States, in countries such as Luxembourg, India and Uruguay. The occurrence of natural disasters, epidemics or other health emergencies, or political or economic instability impacting these countries, could interfere with work performed by these labor sources or could result in us having to replace or reduce these labor sources.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jurisdictions that have experienced corruption, bribery and other similar practices from time-to-time. We are subject to the Foreign Corrupt Practices Act and similar anti-corruption laws in other jurisdictions, and the failure to comply with these laws could result in substantial penalties.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practice of utilizing labor based in foreign countries has at times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realize sales represented by our awarded business or sales pipeline.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business and financial planning, we make assumptions about the quantity and timing of services that our customers and prospective customers will order from us. In many instances, however, our customers may not be obligated to acquire our services or may only be obligated to acquire our services to the extent the customer can make use of such services. Our volume of sales may not materialize to the extent our customers or prospect customers elect to use providers of services other than us, or if economic, industry or company specific conditions exist such that our customers or prospect customers do not require the assumed quantity of services or reduce the fees paid for the services. For example, economic conditions and restrictions instituted by governmental authorities, GSEs, servicers or investors, or the sale, consolidation or failure of current or potential customers, may negatively impact the quantity or timing of customer demand for our services despite the existence of an agreement. Our customers may use more than one provider for given services resulting in such customers varying over time the quantity or mix of services acquired from us versus other providers. Even in cases where our customer contracts require minimum purchases by a customer, we may be unable or we may determine that it is inadvisable for us to seek to enforce or collect upon the contractual minimums.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fail to adapt our services to changes in technology or in the marketplace related to mortgage servicing or origination, changing requirements of governmental authorities, GSEs and customers. Customers may seek to reduce reliance upon the number of service providers.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for our services are characterized by constant technological and other changes, our customers’ and competitors’ frequent introduction of new services, and evolving industry standards and government regulations. We are currently in the process of, and from time to time will be, developing and introducing new services and technologies and improvements to existing services and technologies. Our future success will be significantly affected by our ability to complete our current efforts and in the future enhance, our services and technologies, and to develop and introduce new services that address changes in technology or applicable marketplaces or the increasingly sophisticated needs of our customers and their customers, as well as our ability to reduce costs by relying on cloud architecture and other infrastructure advancements. These efforts may include implementing new real estate auction and marketing capabilities, as well as technological and other modifications to increase efficiency and flexibility in supplying our default-related and origination services. These initiatives carry the risks associated with any new technology or service development effort, including cost overruns, delays in delivery and performance effectiveness. There can be no assurance that we will continue with our current efforts and be successful in developing, enhancing, marketing, selling and implementing new and improved technology or services. In addition, we may experience difficulties that could delay or prevent the successful development, enhancement, introduction and marketing of technologies or services. Our technology and services and their enhancements may also not adequately meet the demands of the marketplace or governmental authorities and achieve market acceptance.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of our default-related services and origination services may seek to reduce the number of service providers employed through vendor consolidation, insourcing (providing the services itself) or by other means. Such changes could reduce the demand for our services or control over the prices we are able to charge for our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expansion involves potential risks.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Entry into new business sectors, expansion beyond our core services, and organic growth initiatives may not result in the anticipated benefits, may take longer or be more costly than expected, which may adversely affect our financial results, ability to conduct investments in other businesses, reputation and growth prospects. We may not accurately identify market needs. New products and services may not function as intended or achieve anticipated rates of market adoption or commercial success. Because of the obligations to maintain a minimum cash threshold in the Cooperative Brokerage Agreement and restrictions in our Amended Credit Agreement, we may not be able to provide adequate funding to new initiatives.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Newly-developed businesses, products, services or initiatives may have lower or negative margins. Growth related investments may increase our costs and lower our margins in the short term and potentially over longer periods. We may not be able to recoup our investments in such initiatives or achieve anticipated financial returns, and such initiatives may negatively impact our ability to identify or pursue other potential opportunities.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to accelerate growth initiatives involve potential risks.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strategy has included the acquisition of complementary businesses from time to time. In the future, we may consider acquisitions of or merger with other businesses that we believe could complement our business, offer us greater access in our current markets or offer us greater access and expertise in other asset types and markets that are related to ours, but we do not currently serve. Our ability to pursue additional acquisitions in the future depends on our access to sufficient capital (equity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and/or debt) to fund the acquisition and subsequent integration. Because of the obligations to maintain a minimum cash threshold in the Cooperative Brokerage Agreement and restrictions in our Amended Credit Agreement, we may not be able to secure adequate capital as needed on terms that are acceptable to us, or at all.</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We may have particular integration risks as we are a Luxembourg-domiciled company, resulting in numerous changes that may need to be made immediately or promptly following closing of such an acquisition. In addition, any acquisition may result in the incurrence of additional amortization expense of related intangible assets, which could reduce our profitability.</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properly and timely integrate any acquired business may result in our inability to realize the expected value from the acquisition, which can lead us to generate less revenue and/or earnings than anticipated, and/or sell or otherwise dispose of the acquired business at a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and market conditions that reduce residential real estate sales or values or mortgage origination volumes could negatively impact demand for our services.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Economic or market fluctuations such as a decrease in sales or sales prices of residential properties or an increase in sales transaction timelines could reduce the demand for certain of our services related to marketing and real estate sale transactions, including services ancillary to such transactions, such as closing services and title insurance services. Typically, the volume of residential property sales decline and transaction timelines increase as residential mortgage interest rates increase, financing options and availability for borrowers decline or consumer confidence falls. A reduction in the volume of real estate transactions or the sales price of real estate could negatively impact our residential real estate brokerage and auction businesses which earn commission fees that are generally set as a percentage based on the property sale price. Demand for services from other businesses, such as mortgage origination, valuation, title and closing, may also decline as a result of a reduction in real estate transaction volumes including from increasing residential mortgage interest rates. Home price appreciation typically increases equity in the borrowers’ homes providing borrowers with more options to avoid foreclosure and, therefore, reducing foreclosure auction and REO referrals and ancillary services such as closing and title insurance services.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or market fluctuations that reduce the volume or value of residential mortgage origination or re-financings could decrease the demand for our mortgage origination and mortgage insurance related services, including those provided to members of the Lenders One mortgage cooperative. An increase in residential mortgage interest rates or a decline in financing available for borrowers as a result of an inflationary environment or government action responding to the same could result in a decrease in such demand. Increasing housing prices could also reduce the number of sale transactions resulting in a decrease in new mortgage origination.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reduction in residential mortgage delinquencies, defaults or foreclosures in the United States can negatively affect demand for certain of our services.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certain services to residential mortgage servicers and subservicers, as well as government sponsored entities, federal agencies and others, to protect, preserve, manage and potentially dispose of properties securing residential mortgage loans, when such loans become delinquent, default, undergo foreclosure or become a REO asset. Rates of residential mortgage delinquencies, defaults and foreclosures can be negatively impacted by numerous factors, including strengthening economic conditions, increasing housing equity from rising home values, decreasing residential mortgage interest rates, a reduction in the number of residential mortgages outstanding or a reduction in home ownership levels or governmental or servicer action. National servicing standards, federal and state government scrutiny and regulation, requirements specifying loan loss mitigation, modification and foreclosure procedures, rules instituted by governmental authorities, GSEs, servicers or investors preventing actions related to loan delinquencies and foreclosures, including moratoriums on foreclosures and mortgage payment forbearance plans, may also reduce the number of mortgage loans entering the foreclosure process or suspend pending foreclosure and eviction actions. Such conditions could negatively impact demand for our default services. Reductions in the rates of residential mortgage delinquencies, defaults, foreclosures and REO would likely reduce demand for our services related to non-judicial foreclosures, inspecting, maintaining, valuing, marketing and selling such assets.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faced with an extended period of decline in demand for and revenue from certain of our services as a result of economic conditions, borrower loss mitigation or relief measures, or due to government, GSE, servicer or investor restrictions related to loan delinquencies and foreclosures, including moratoriums on foreclosures and mortgage payment forbearance plans, we may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 unable to sufficiently adjust our cost structure, in our operations that provide such impacted services or at the corporate level, to avoid negative impacts to net revenue or profits. We also may be unable to maintain our ability to offer such services in the future. The expiration dates of certain requirements, loss mitigation or relief measures that impact demand for our services may be indefinite or extended in the future making it difficult to predict when such requirements or measures may end. In response to such conditions, we may be required to modify or suspend such operations which could negatively impact our ability to timely respond to an increase in demand for such services or to provide such services in the future, or which could cause us to incur significant expense to restart or scale such services in response to an increase in demand.</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Developments that impact residential foreclosures or the supply, sale price or sale of REO could negatively affect demand for certain of our default-related services and negatively impact our ability to meet certain contractual performance metrics.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Reduction in residential foreclosures or the supply or sales of REO in the United States could reduce the demand for and volume of certain of our services, including foreclosure trustee, foreclosure auction, REO asset management, REO property inspection and preservation, real estate brokerage, real estate auction and marketing services, as well as sales of REO, especially in cases where more loans are resolved prior to foreclosure or sold at foreclosure auctions and therefore do not convert to REO. The reduced supply of REO or sales of REO could also impact our ability to meet certain contractually required service metrics, including those metrics tied to satisfying certain conversion percentage requirements as the size of the applicable population declines and the population of REO that remains is often the most difficult to sell. Reduced volumes may make it more difficult to provide services in an economic manner, undermine beneficial efficiencies, and increase the risks and costs of securing vendors to provide required services and products on a smaller scale.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effectively manage rapid or unanticipated increases in foreclosures or the supply, sale price or sale of REO which could negatively impact our ability to satisfy service level metrics that are tied to conversion rates or other percentage requirements. For example, if a service metric specifies that a certain percentage of the total population of REO is to be sold within a defined period of time, a rapid increase in the total REO population may increase the risk of failing to meet the defined percentage metric during the period required to prepare the newly added REO to be marketed.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service metrics which may be impacted include those related to REO conversion rates, aging of REO, time on market and sale price compared to valuation. If we fail to satisfy applicable performance metrics or perform in a manner satisfactory to our customers, such customers may reduce the services they acquire from us or otherwise terminate us as a service provider.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real estate brokerage commission structures or rates paid for residential property transactions could negatively impact 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real estate brokerage commission structures or rates paid for residential property transactions as a result of litigation, claims, settlements, governmental regulations or other reasons, which reduce real estate brokerage compensation or limit commission sharing or cooperative commissions amongst among brokerages or brokers, could negatively impact the value of commissions to which we are entitled or receive and could negatively impact certain contractual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never pay dividends on our common stock so any returns would be limited to the potential appreciation of our stock.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we will declare or pay any cash dividends for the foreseeable future. In addition, the terms of applicable debt agreements may preclude us from paying dividends. Any return to stockholders will therefore be limited to the potential appreciation of their stock.</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take advantage of specified reduced disclosure requirements applicable to a “smaller reporting company” under Regulation S-K, and the information that we provide to stockholders may be different than they might receive from other public companies.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under Regulation S-K. As a smaller reporting company, we may take advantage of specified reduced disclosure and other requirements that are otherwise applicable generally to public companies. These provisions include, among other things, scaled disclosure requirements, including simplified executive compensation disclosures in our filings, exemption from the provisions of Section 404(b) of the Sarbanes-Oxley Act requiring that 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registered accounting firm provide an attestation report on the effectiveness of internal control over financial reporting and certain other decreased disclosure obligations in our SEC filings.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continue to take advantage of certain of the scaled disclosure requirements of smaller reporting companies. We may continue to take advantage of these allowances until we are no longer a smaller reporting company. Therefore, the information that we provide stockholders may be different than one might get from other public companies. Further, if some investors find our shares of common stock less attractive as a result, there may be a less active trading market for our shares of common stock and the market price of such shares of common stock may be more volatile.</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Although we are currently eligible to file new short form registration statements on Form S-3, we cannot guarantee we will remain eligible to do so. If we were to lose such eligibility, it may impair our ability to raise capital on terms favorable to us, in a timely manner or at all.</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of 1933, as amended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newly register securities for resale may also be limited as a result of the loss of Form S-3 eligibility with respect to such registrations.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regulations limit the amount of funds we may raise during any 12-month period pursuant to our shelf registration statement on Form S-3</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public float was less than $75 million as of the date of filing of this Annual Report on Form 10-K. As a result, under General Instruction I.B.6 to Form S-3, the amount of funds we can raise through primary public offerings of securities, in any 12-month period using our registration statement on Form S-3 is limited to one-third of the aggregate market value of the shares of our common stock held by our non-affiliates. We are subject to this limitation until such time as our public float exceeds $75 million. If we are required to file a new registration statement on another form, we may incur additional costs and be subject to delays due to review by the SEC. As of January 23, 2024, our public float (i.e., the aggregate market value of our outstanding equity securities held by non-affiliates) was approximately $48.8 million, based on 15.3 million shares of outstanding common stock held by non-affiliates and on the closing price of $3.20 per share of our common stock as reported on Nasdaq on January 23, 2024 (a date within 60 days of the date hereof), as calculated in accordance with General Instruction I.B.6 of Form S-3. In addition, during the 12 calendar month period that ends on the date of this filing of this Annual Report on Form 10-K, we had offered and sold $20.1 million of our common stock pursuant to the prospectus supplement dated September 7, 2023. After giving effect to the $16.3 million offering limit imposed by General Instruction I.B.6 of Form S-3, and after deducting the shares we sold within the preceding 12 months, as of the date of filing this Annual Report, we may sell $0 shares of our common stock at this time under our shelf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and trading volume of our stock may be volatile.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Stock markets in general have experienced substantial volatility that has often been unrelated to the operating performance of individual companies or our sector. These broad market fluctuations, in addition to our operating performance, may also adversely affect the trading price of our common stock.</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issue common stock, warrants or other securities, the trading price of our common stock or other Company securities could experience significant volatility or be negatively impacted.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 of our securities could be diluted.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new shares of common stock or other forms of securities which could dilute the economic and voting interests of current shareholders. We may issue warrants and holders of outstanding warrants may exercise their warrant rights to acquire Company securities, which actions would dilute the economic and voting interests of current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Our Indebtedness and Capital Structure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or access the capital markets or our borrowing capacity is reduced, our liquidity and competitive position will be negatively affected.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extended period of reduced demand for all or certain of our default-related services could negatively impact our cash flow such that we may need to use unrestricted cash on hand to satisfy our obligations, which would reduce our cash balance negatively impacting our liquidity.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liquidity would be adversely affected by any inability to access the capital markets, volatility in the capital markets, unforeseen outflows of cash, funding for contingencies and increased regulatory liquidity requirements.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borrow money could be limited, or our cost of borrowing could increase, due to volatility in the capital markets, worsening terms on which credit is available or limitations in our loan agreements. In addition, our financial results, reduced revenue or cash flow, or volatility in the markets which we support, could negatively impact our customer and prospective customer relationships, as well as our ability to borrow or our ability to continue to satisfy the covenants and terms of our loan agreements. If we were to have a default under our loan agreements, we would not be able borrow additional funds under our existing agreements and our lenders could seek to enforce the remedies available to them under our loan agreements. A reduction in our ability to borrow funds to support our operations or a reduction in cash flow would also reduce our ability to pursue our business strategy to diversify and grow our customer base.</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level of debt and the variable interest rate on our term loan makes us sensitive to the effects of our current financial performance and interest rate increases; our level of debt and provisions in our Amended Credit Agreement and revolving credit facility could limit our ability to react to changes in the economy or our industry.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term loans under the Amended Credit Agreement make us more vulnerable to changes in our results of operations because a portion of our cash flows from operations and current cash on the balance sheet is dedicated to servicing our debt and is not available for other purposes. Our term loans under the Amended Credit Agreement, and the Revolver (amended with an effective date of February 14, 2023) are secured by virtually all of our assets. From time to time, our debt under the Amended Credit Agreement may trade at a substantial discount to face value.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raise additional debt is limited, and in many circumstances is subject to lender approval and could require modification of certain of the loan agreements. The provisions of our Amended Credit Agreement could have other negative consequences to us including the following:</w:t>
      </w:r>
    </w:p>
    <w:p>
      <w:pPr>
        <w:spacing w:after="0" w:line="54" w:lineRule="exact"/>
        <w:rPr>
          <w:sz w:val="20"/>
          <w:szCs w:val="20"/>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money for our working capital, capital expenditures and debt service requirements or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operations, our business or the industry in which we compete;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use 50% of our excess cash flow, as defined in the Amended Credit Agreement, to repay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use 75% of the first $50 million of net proceeds received from equity issuances or capital contributions to repay debt;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by limiting our ability to invest in our business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our indebtedness depends on our ability to generate cash in the future. As a result of the low default, foreclosure and REO levels and declining origination volumes in the recent rising interest rate environment, our cash flows were and remain severely impacted. There can be no assurance that we will be able to achieve historical levels of revenues and cash flows (adjusted for businesses sold or discontinued). If we do not generate sufficient cash flows and do not have sufficient cash on hand to meet our debt service and working capital requirements, we may need to seek additional financing, raise equity or sell assets, and our ability to take these actions may be limited by the terms of the Amended Credit Agreement, Revolver or the market. We may not be able to refinance our existing indebtedness when it becomes due or obtain alternative financing on terms that are acceptable to us, or at all. Without any such financing, we could be forced to sell assets or reduce costs under unfavorable circumstances to make up for any shortfall in our payment obligations. Even if necessary, we may not be able to sell assets or reduce costs quickly enough or for sufficient amounts to enable us to meet our obligations.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meet our debt service requirements could result in an event of default under our loans agreement which, if not cured or waived, would result in the holders of the defaulted debt causing all outstanding amounts with respect to that debt to be immediately due and payable and potentially permitting lenders to execute applicable security interests, negatively impacting our future operations or ability to engage in other favorable business activities. An event of default under the loan agreements would provide certain of our customers, including Ocwen and Rithm, with the ability to terminate our agreements.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Amended Credit Agreement contains covenants that limit our flexibility in planning for, or reacting to changes in, our business and our industry, including limitations on incurring additional indebtedness, making investments, adding new product lines, disposing or selling of assets, granting liens and merging or consolidating with other companies. Complying with these covenants may impair our ability to finance our future operations or capital needs or to engage in other favorable business activities.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with the covenants or terms contained in our Amended Credit Agreement or Revolver, including as a result of events beyond our control, could result in an event of default.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Credit Agreement requires us to comply with various operational, reporting and other covenants or terms including, among other things, limiting us from engaging in certain types of transactions. If we do not have appropriate controls, or the controls we implement fail or are not effective, we could experience an event of default under our Amended Credit Agreement or Revolver. If we experience an event of default under our Amended Credit Agreement or Revolver that is not cured or waived, it could result in the debt being called and immediately due and payable in full. a going concern uncertainty, which in turn could provide certain of our customers the ability to terminate our agreements and allow the holders of the defaulted debt to cause all amounts outstanding with respect to that debt to be immediately due and payable or choose to execute on applicable security interests. Our assets or cash flows may not be sufficient to fully repay borrowings under our outstanding Amended Credit Agreement and Revolver if accelerated upon an event of default and we may not be able to refinance or restructure the payments on the borrowings under the Amended Credit Agreement and Revolver.</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be unable to exercise the option to extend the maturity of our Amended Credit Agreement and Revolver from April 2025 to April 2026. We may be unable to repay or refinance the balance of our loans under the Amended Credit Agreement or Revolver upon maturity, particularly if cash from operations fails to significantly improve, assets are not readily available for sale and sold or we are unable to timely refinance on favorable terms or at all.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loan agreements require us to repay the outstanding balance due in April 2025, with an option to extend to April 2026 if we make par paydowns from the proceeds of issuances of equity interests or from junior indebtedness totaling at least $30 million on or before February 13, 2024, and there is no continuing default of the loan agreements. We satisfied the $30 million paydown requirement through a par paydown in the amount of $20 million in February 2023 and an additional par paydown of $10 million in September 2023 each from the proceeds of equity issuances, providing us with the option to be able to extend the maturity date of our debt to April 2026. However, there can be no assurance that we will be permitted under our Amended Credit Agreement and Revolver to exercise the option to extend the maturity of our Amended Credit Agreement and Revolver to April 2026.</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cash from operations fails to significantly improve, there can be no assurance that our cash balances and other assets readily available for sale and sold would be sufficient to fully repay borrowings under our outstanding Amended Credit Agreement and Revolver upon maturity, or that we will be able to refinance the remaining portion of the debt sufficiently prior to the due date or on terms acceptable to us. If we were to default on our debt, our lenders could take action adverse to our interests under the terms of the loan agreements, including seeking to take possession of the applicable collateral. In addition, a default under the loan agreements could constitute a termination event under certain of our client or vendor agreements, which could adversely impact our revenue or cash flow or our ability to provide products and services. Under such circumstances, if we are not able to agree upon a resolution with our lenders, we might seek applicable legal protections including under bankruptcy law, which further could provide certain of our customers or vendors the ability to terminate our agreements. If we refinance the loans under less favorable terms, we may be required to accept a higher interest rate and debt-related costs, as well as additional restrictions and covenants which constrain our ability to finance and operate our business.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a significant net operating loss recognized by one of our Luxembourg subsidiaries, Altisource S.à r.l. We may not be able to fully utilize this deferred tax asset before the net operating loss expires.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 merger of two of the Company’s wholly owned subsidiaries in December 2017, which was recognized at fair value, a net operating loss of $1.3 billion with a 17-year life was generated, creating a deferred tax asset of $342.6 million. During 2019, the Company recognized a full valuation allowance with respect to this deferred tax asset. If Altisource S.à r.l. is unable to generate sufficient pretax income by 2034, the Company may not be able to fully utilize this deferred tax asset.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changes in our structure or operations could prevent us from fully realizing some or all of the benefit of such deferred tax asset.</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prior investments, we have significant goodwill and intangible assets recorded in our financial statements. 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If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escrow funds we hold at financial institutions could be lost and not recoverable.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our cash and cash equivalents, including customer deposits held in escrow accounts pending completion of certain real estate activities, at various financial institutions. These cash balances expose us to purposeful misappropriation of cash by employees or others and unintentional mistakes resulting in a loss of cash which may not be recoverable.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that are held in escrow accounts for limited periods of time are not included in the accompanying consolidated balance sheets. We may become liable for funds owed to third parties as a result of purposeful misappropriation of cash by employees or others, unintentional mistakes or the failure of one or more of these financial institutions. There is no guarantee we would recover the funds deposited, whether through Federal Deposit Insurance Corporation coverage, private insurance or otherwise.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operations in India, Luxembourg and Uruguay which may result in us being party to transactions denominated, or incurring obligations, in currencies other than the United States dollar, including, for example, payroll, taxes, facilities-related expenses. Weakness of the United States dollar in relation to these applicable currencies (e.g., Euro, Indian rupee, Uruguayan peso) may increase our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Luxembourg Organization and Ownership of Our Shares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a Luxembourg company. The rights of shareholders under Luxembourg law may differ in certain respects from the rights afforded to shareholders of companies organized under laws in other jurisdictions. It may also be difficult to obtain and enforce judgments against us or our directors and executive officers.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public limited liability company (société anonyme) organized and existing under the laws of, and headquartered in, Luxembourg. As a result, Luxembourg law and our amended and restated articles of incorporation, as amended from time to time (“Articles”) govern the rights of shareholders. The rights of shareholders under Luxembourg law may differ from the rights of shareholders of companies incorporated in other jurisdictions. A significant portion of our assets are owned outside of the United States. It may be difficult for our investors to obtain and enforce, in the United States, judgments obtained in United States courts against us or our directors based on the civil liability provisions of the United States securities laws or to enforce, in Luxembourg, judgments obtained in other jurisdictions including the United States.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challenge of the Luxembourg tax regime or of its interpretation by the Luxembourg tax authorities, or its application of us or our business could have a negative impact us.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and historically operated under a tax ruling from the Luxembourg tax authorities, which would have expired in 2019 unless extended or renewed. In connection with an internal reorganization by the Company during 2017, we no longer operate under this tax ruling. The European Commission (“EC”) has initiated investigations into several EU member states, including Luxembourg, to determine whether these EU member states have provided tax advantages to companies pursuant to tax rulings or otherwise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and the business of our customers are subject to extensive scrutiny and legal requirements. We, or our services, may fail or be perceived as failing to comply with applicable legal requirements.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the business of our customers are subject to extensive scrutiny and regulation by federal, state and local governmental authorities including the FTC, the CFPB, the SEC, HUD and state and local agencies, including those which license or oversee certain of our auction, real estate brokerage, mortgage services, trustee services, residential mortgage origination services, title insurance and other insurance services, as well as collection and use of personal information. We also must comply with a number of federal, state and local consumer protection laws. We are subject to various foreign laws and regulations based on our operations or the location of our affiliates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or may not be predictable or consistent with our interpretations or expectations. The creation of new regulatory authorities or changes in the regulatory authorities overseeing applicable laws and regulations may also result in changing interpretation or enforcement of such laws or regulations.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governmental authorities impose new or more restrictive requirements or enhanced oversight related to our services or operations, we may be required to increase or decrease our prices, modify our contracts or course of dealing and/or we may incur significant additional costs to comply with such requirements. Additionally, we may be unable to adapt our services or operations to conform to the new laws and regulations.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Responding to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inquiries or determinations of failures to comply with applicable requirements could increase our costs and expose us to sanctions which could include limitations on our ability to provide services, or otherwise reduce demand for our services. Furthermore, even if we believe we comply with applicable laws and regulations, we may choose to settle such allegations in order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 Such settlements and additional actions could increase costs, place limitations on our services, and result in a reduction in demand.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costly and time-consuming regulatory or legal proceedings that claim legal violations or wrongful conduct, including claims for violations of consumer protection laws, laws concerning PI or third-party intellectual property rights. These proceedings may involve regulators, customers, our customers’ clients, vendors, competitors, third parties or other large groups of plaintiffs and, if resulting in findings of violations, could result in substantial damages or indemnification obligations. Additionally, we may be forced to settle some claims and change our existing practices, services processes or technologies that are currently revenue generating. Certain regulations to which we are subject provide for potentially significant penalties such that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however, such settlements may also result in further claims or create issues for existing and potential customers. Such proceedings and settlement could increase our costs and expose us to sanctions, including limitations on our ability to provide services, or otherwise reduce demand for our services.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US sanctions, including blocking certain activities in Sanctioned Countries, could expose us to penalties and other adverse consequences.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activities may be subject to U.S. sanctions laws administered and maintained by the US government, including restrictions or prohibitions on transactions with, or on dealing in funds transfers to/ from certain embargoed jurisdictions (currently, Iran, North Korea, Syria, Cuba, and the Crimea, so-called- Donetsk People’s Republic, and so-called Luhansk People’s Republic regions of Ukraine). We have implemented internet protocol (“IP”) address blocking and screening mechanisms to promote compliance with US sanctions rules and regulations, although the blocking and screening mechanisms may not be able to completely block all unwanted IP access. A determination that we have failed to comply with US sanctions,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knowingly or inadvertently, could result in the imposition of substantial penalties, including enforcement actions, fines, and civil and/or criminal penalties, and may adversely affect our business.</w:t>
      </w:r>
    </w:p>
    <w:p>
      <w:pPr>
        <w:spacing w:after="0" w:line="10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timely make required disclosure filings with the U.S. Department of Treasury Financial Crimes Enforcement Network, we could be subject to fines and penalties.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as a title insurance agent through one or more subsidiaries. As a title insurance agent, we are contractually required by certain insurance underwriters to make Financial Crimes Enforcement Network Currency Transaction Report filings with the U.S. Department of the Treasury in connection with cash real estate transactions in specified United States jurisdictions which satisfy certain requirements (the “Filing Requirements”). Filings pursuant to the Filing Requirements must be made within a specified time period after a subject transaction closes and must be accompanied by certain information concerning the applicable transaction. If our procedures fail to identify transactions which are subject to the Filing Requirements, or if we fail to make required filings or fail to provide the required transaction information, we could be subject to civil, criminal and monetary penalties. The failure to satisfy the Filing Requirements could also cause us to be in breach of our agreements with the title insurance underwriter and could subject us to liability and lead to termination of such agreements.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licensing and regulation as a provider of certain services. If we fail to maintain our licenses or if our licenses are suspended or terminated, we may not be able to provide certain of our services. In addition, the lack of certain licenses in one or more jurisdictions could cause us to breach applicable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have and maintain licenses as a provider of certain product and services including, among others, services as a residential mortgage origination underwriter, valuation provider, appraisal management company, asset manager, property manager, title insurance agent, insurance broker and underwriter, real estate broker, auctioneer, foreclosure trustee and credit report provider in a number of jurisdictions. Our employees and subsidiaries may be required to be licensed by various state or regulatory commissions or bodies for the particular type of product or service provided and to participate in regular continuing education programs. If one or more of our licenses are lost, revoked, expire or limited, or if we fail to maintain or otherwise surrender one or more such license, we may be prohibited from doing business in certain markets. Further, certain of our agreements require that we possess and maintain certain licenses. The failure to hold such licenses may result in us breaching certain agreements, which could cause us to be subject to claims for damages, termination of applicable agreements or unable to obtain inputs required for certain of our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violation by our customers of applicable legal requirements in the selection or use of our services could generate legal liability for us.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services are provided at the direction and pursuant to the identified requirements of our customers, including property preservation, inspection, title, valuations, brokerage, auction, foreclosure and eviction services that are triggered by information provided by our customers. The failure of our customers to properly identify or account for regulatory requirements applicable to the use of our services, in selecting appropriate services for the intended purposes, or in specifying how services are rendered could expose us to significant penalties, fines, litigation, settlements, costs and consent orders.</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customers are subject to governmental oversight, regulations, orders, judgments or settlements which may impose certain obligations and limitations on their use of our services.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in the industries in which we operate are subject to a high level of oversight and regulation. The failure of our services to meet applicable legal requirements could subject us to civil and criminal liability, loss of licensure, damage to our reputation, significant penalties, fines, settlements, adverse publicity, litigation, including class action lawsuits or administrative enforcement actions, costs and consent orders against us or our customers that may curtail or restrict our business as it is currently conducted. Such failures could also cause customers to reduce or cease using our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customers are subject to vendor oversight requirements. As such, we are subject to oversight by our customers. If we do not meet the standards established by or imposed upon our customers, regulators allege that products or services provided by Altisource fail to meet applicable legal requirements, or if any other oversight procedures result in a negative outcome for Altisource, we may lose customers, may no longer be granted referrals for certain services, or may have to conform our business to address these standards.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 or our inability to utilize tax credits available to us.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subsidiaries provide services in the United States and several other countries. Those jurisdictions are subject to changing tax environments, which may result in higher operating expenses or taxes and which may introduce uncertainty as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application of operating or other losses, and intercompany transactions and loans, among others, could impact us. We may not be able to raise our prices to customers or pass-through such taxes to our customers or vendors in response to changes, which could adversely affect our results of operations. If we fail to accurately anticipate or apply tax laws and regulations to our operations, we could be subject to liabilities and penalties. We may be unable to take advantage of operating losses or other tax credits to the full extent available or at all due to changes in tax regulations or our results of operations.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and intercompany arrangements are subject to the tax laws of various jurisdictions, and we could be obligated to pay additional taxes, which would harm our results of operations.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our operations in several countries, states and local jurisdictions and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paid in different jurisdictions may depend on the application of the tax laws of the various jurisdictions to our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withholding, transaction and other taxes in numerous jurisdictions. Significant judgment will be required in evaluating our tax positions and our worldwide provision for taxes. During the ordinary course of our business, there are many activities and transactions for which the ultimate tax determination may be uncertain. We may be audited in various jurisdictions, and such jurisdictions may assess additional taxes, sales taxes and value added taxes against it. Even if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responsible for the Company’s risk management strategy and overseeing the Company’s risk management program, of which cybersecurity is a critical element. The Chief Strategy and Technology Officer (“CSTO”) and the Chief Information Security Officer (“CISO”) are responsible for designing, implementing and administering the Company’s cybersecurity risk management policies, processes and practices, business continuity planning and disaster recovery functions and activities. The CSTO and CISO meet on a quarterly basis with other members of Management as the Technology and Information Security Committee (“TIS Committee”) to review the Company’s cybersecurity risk management, business continuity planning and disaster recovery strategy and performance.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are based on recognized frameworks established by the National Institute of Standards and Technology (“NIST”), the International Organization for Standardization (“ISO”), applicable industry standards, and applicable data privacy and cybersecurity regulations. Annual technology and cybersecurity risk assessments are conducted to identify and evaluate applicable risks and controls designed to address such risks. In general, the Company seeks to identify, assess and manage material cybersecurity risks through a company-wide approach addressing the confidentiality, integrity, and availability of the Company’s information systems and the information that the Company collects and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risk management strategy focuses on several areas:</w:t>
      </w:r>
    </w:p>
    <w:p>
      <w:pPr>
        <w:spacing w:after="0" w:line="167" w:lineRule="exact"/>
        <w:rPr>
          <w:sz w:val="20"/>
          <w:szCs w:val="20"/>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Reporting: </w:t>
      </w:r>
      <w:r>
        <w:rPr>
          <w:rFonts w:ascii="Times New Roman" w:cs="Times New Roman" w:eastAsia="Times New Roman" w:hAnsi="Times New Roman"/>
          <w:sz w:val="18"/>
          <w:szCs w:val="18"/>
          <w:color w:val="auto"/>
        </w:rPr>
        <w:t>The Company has controls and procedures designed to identify, assess, manage and respond to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and incidents, including fulfilling potential public disclosure or reporting requirements as may be applicable.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implements and maintains technical safeguards designed to protect the Company’s information systems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from cybersecurity threats, including perimeter and web application firewalls, proxy, intrusion prevention and detection systems, anti-malware, endpoint detection response functionality, data loss prevention systems, security incident event management, geo-blocking and access controls. Such safeguards are generally evaluated through internal security testing, third party penetration testing and vulnerability assessments, as well as outside audits and certifications, and revised as warranted. The Company seeks to comply with the cybersecurity framework guidelines issued by the NIST and ISO.</w:t>
      </w:r>
    </w:p>
    <w:p>
      <w:pPr>
        <w:spacing w:after="0" w:line="128"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periodic, mandatory training for all levels of employees regarding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business continuity planning and disaster recovery to equip Company employees with tools to address cybersecurity threats, and to communicate the Company’s evolving information security policies, standards, processes and practices.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Company’s Security Operations Center (“SOC”), reporting to the CISO, provides 24x7 incident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monitoring. If an incident occurs which SOC determines qualifies as a “critical risk” according to predetermined criteria, the SOC engages an incident management team to assist with evaluating, responding to and managing the response of the incident. The Company has established and maintains comprehensive incident identification, containment, response and business continuity plans designed to respond to potential cybersecurity incidents. The Company conducts periodic drills and tabletop exercises to test these.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conducts initial, and on a periodic basis, subsequent risk evaluations of vendors that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preestablished criteria classifying such vendors as presenting higher potential cybersecurity risks based upon vendor access to or provision of information systems or data to the Company that present significant potential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periodic assessments of the Company’s policies, standards, processes and practices. Summary results of such assessments are evaluated by the CISO to assist the Company in adjusting its cybersecurity policies, standards, processes and practices; the CISO reviews critical results with the TIS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oversees the Company’s risk management program, including the management of cybersecurity threats. The Board of Directors receives regular reports from the CTSO on cybersecurity threats and the Company’s strategy to manage the risks associated with such threats. The TIS Committee provides Management oversight of the Company’s cybersecurity risk management, business continuity planning and disaster recovery strategy and performance.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the success of the Company’s cybersecurity program, cross-functional teams work with the CISO and SOC to address cybersecurity threats and respond to cybersecurity incidents. Through ongoing communications with these teams, the CISO and Management are informed about and monitor the prevention, detection, mitigation and remediation of cybersecurity threats and incidents and report such threats and incidents to the Board of Directors, as appropriate.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CISO has served in various roles in information technology, information security, and business continuity for over 20 years. The CISO holds undergraduate and graduate degrees in Information Systems Management and has attained the professional certification of Certified Information Security Manager from the Information Systems Audit and Control Association.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Effects of Cybersecurity Incidents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Previous cybersecurity incidents did not have, and are not reasonably likely to have, a material effect on the Company, including its business strategy, results of operations, or financial condition.</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in Luxembourg, Grand Duchy of Luxembourg. Our principal leased offices in other countries as of December 31, 2023 include two offices in the United States and one office each in India and Uruguay.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office facilities. We consider these facilities to be suitable and currently adequate for the management and operations of our businesses.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various disputes, litigation, regulatory inquiry, audit, examinations and investigation matters that arise in the course of business. Given the inherent unpredictability of these proceedings, it is possible that future adverse outcomes could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also subject to extensive regulation which may result in regulatory proceedings or actions against us. For further information, see Item 1A of Part I,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above and Note 22 to the consolidated financial statements.</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ind w:left="920" w:hanging="971"/>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“ASPS.”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holders of record of our common stock as of March 1, 2024 was 304. We believe the number of beneficial shareholders is substantially greater than the number of holders as a large portion of our common stock is held through brokerage firms.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also limit our ability to pay dividends.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2023, approximately 3.1 million shares of common stock remain available for repurchase under the program. There were no purchases of shares of common stock during the years ended December 31, 2023 and 2022. Luxembourg law limits share repurchases to the balance of Altisource Portfolio Solutions S.A. (unconsolidated parent company) retained earnings, less the value of shares repurchased. As of December 31, 2023, we can repurchase up to approximately $116 million of our common stock under Luxembourg law. Under the Amended Credit Agreement, we are not permitted to repurchase shares except for limited circumstances.</w:t>
      </w:r>
    </w:p>
    <w:p>
      <w:pPr>
        <w:spacing w:after="0" w:line="1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2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beginning below, provides a description of recent developments we believe are important in understanding our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beginning on page 37, provides an analysis of our consolidated results of operations for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2023 and 2022.</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Results of Operations. </w:t>
      </w:r>
      <w:r>
        <w:rPr>
          <w:rFonts w:ascii="Times New Roman" w:cs="Times New Roman" w:eastAsia="Times New Roman" w:hAnsi="Times New Roman"/>
          <w:sz w:val="18"/>
          <w:szCs w:val="18"/>
          <w:color w:val="auto"/>
        </w:rPr>
        <w:t>This section, beginning on page 40, provides analysis of our business segments’ results of operations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and 2022.</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beginning on page 45, provides an analysis of our cash flows for the two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2022. We also discuss restrictions on cash movements, future commitments and capital resources.</w:t>
      </w:r>
    </w:p>
    <w:p>
      <w:pPr>
        <w:spacing w:after="0" w:line="10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Critical Accounting Policies, Estimates and Recent Accounting Pronouncements. </w:t>
      </w:r>
      <w:r>
        <w:rPr>
          <w:rFonts w:ascii="Times New Roman" w:cs="Times New Roman" w:eastAsia="Times New Roman" w:hAnsi="Times New Roman"/>
          <w:sz w:val="18"/>
          <w:szCs w:val="18"/>
          <w:color w:val="auto"/>
        </w:rPr>
        <w:t>This section, beginning on page 48, identifies those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This section, beginning on page 50, provides a discussion of customer concentration.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Marketplace business includes the Hubzu online real estate auction platform and real estate auction, real estate brokerage and asset management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Technology and SaaS Products business includes Equator (a SaaS-based technology to manage REO, short sales, foreclosure, bankruptcy and eviction processes), Vendorly Invoice (a vendor invoicing and payment system), RentRange (a single and multi-family rental data, analytics and rent-based valuation solution), REALSynergy (a commercial loan servicing platform), and NestRange (an automated valuation model and analytics solution).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 and certain loan manufacturing and capital markets services provided to the members of the Lenders One cooperative.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LOLA (a marketplace to order services and a tool to automate components of the loan manufacturing process), TrelixAI (technology to manage the workflow and automate components of the loan fulfillment, pre and post-close quality control and service transfer processes), and ADMS (a document management and data analytics delivery platform).</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continuing unsettled nature of the housing and mortgage servicing markets in the wake of governmental mandates taken in connection with the COVID-19 pandemic and other macro-economic trends, we continue to evaluate our strategy and core businesses and seek to position our businesses to provide long term value to our customers and shareholders.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solutions and technologies intended to meet their growing and evolving needs. We are focused on growing referrals from our existing customer base and attracting new customers to our offerings. We have a customer base that includes GSEs, asset managers, and several large bank and non-bank servicers including Ocwen and Rithm. We believe we are one of only a few providers with a broad suite of solutions, nationwide coverage and scalability. Further, we believe we are well positioned to gain market share from existing and new customers if they consolidate to larger, full-service providers or outsource services that have historically been performed in-house.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Actions taken by federal, state and local governments, GSEs and mortgage servicers in connection with the COVID-19 pandemic continue to have a profound impact on our business, our customers, and the industries in which we operate. Despite the expiration of certain such measures, we believe servicers are proceeding slowly with foreclosure initiations for borrowers in default and foreclosure initiations may not convert to foreclosure sales and REO at the same pace as prior to the pandemic due to improved home equity and borrower relief options.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will grow. We estimate that in today’s environment it typically takes on average two years to convert foreclosure initiations to foreclosure sales and six months to market and sell the REO. The foreclosure timelines could vary significantly based upon, for example, upon the state where the property is located and whether the foreclosure is contested. The REO sale timelines could also vary significantly based upon, for example, the local real estate market, whether the home is located in a redemption state and whether the home is occupied post foreclosure.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and 2023,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add new Lenders One members, launch new solutions and increase customer adoption of our solutions to accelerate the growth of our origination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2023, approximately 3.1 million shares of common stock remain available for repurchase under the program. There were no purchases of shares of common stock during the years ended December 31, 2023 and 2022. Luxembourg law limits share repurchases to the balance of Altisource Portfolio Solutions S.A. (unconsolidated parent company) retained earnings, less the value of shares repurchased. As of December 31, 2023, we can repurchase up to approximately $116 million of our common stock under Luxembourg law. Under the Amended Credit Agreement, we are not permitted to repurchase shares except for limited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Ocwen was our largest customer, accounting for 44% of our total revenue. Additionally, 6% of our revenue for the year ended December 31, 2023 was earned on the loan portfolios serviced by Ocwen, when a party other than Ocwen or the MSR owner selected Altisource as the service provider.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has disclosed that Rithm is a significant client of Ocwen’s. As of December 31, 2023, Ocwen reported that approximately 16% of loans serviced and subserviced by Ocwen (measured in UPB) and approximately 67% of all delinquent loans that Ocwen services were related to Rithm MSRs or rights to MSRs.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it purchases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4% lower in 2023, compared to 2022, and 31% lower than the same pre-COVID-19 period in 2019</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8% higher in 2023, compared to 2022, and 46% lower than the same pre-COVID-19 period in 2019</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Company’s senior secured term loans was 14.24% for the year ended December 31, 2023, compared to 7.67% for the same period in 2022</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Altisource Portfolio Solutions S.A. and its wholly-owned subsidiary, Altisource S.à r.l., entered into Amendment No. 2 to the Credit Agreement. In connection with Amendment No. 2, the Company paid $3.4 million to advisors and recorded these payments as other expense in the consolidated statements of operations and comprehensive loss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$3.7 million for the year ended December 31, 2023. The income tax provision for the year ended December 31,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$5.3 million for the year ended December 31, 2022. The income tax provision for the year ended December 31, 2022 was driven by income tax expense on transfer pricing income from India, no tax benefit on the pretax loss from our Luxembourg operating company, uncertain tax positions and anticipated withholding tax on current year earnings in India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discussion of our consolidated results of operations for the years ended December 31, 2023 and 2022.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xml:space="preserv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9"/>
        </w:trPr>
        <w:tc>
          <w:tcPr>
            <w:tcW w:w="6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Servicer and Real Estate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107,779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112,132</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28,786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32,364</w:t>
            </w:r>
          </w:p>
        </w:tc>
        <w:tc>
          <w:tcPr>
            <w:tcW w:w="0" w:type="dxa"/>
            <w:vAlign w:val="bottom"/>
          </w:tcPr>
          <w:p>
            <w:pPr>
              <w:spacing w:after="0"/>
              <w:rPr>
                <w:sz w:val="1"/>
                <w:szCs w:val="1"/>
                <w:color w:val="auto"/>
              </w:rPr>
            </w:pPr>
          </w:p>
        </w:tc>
      </w:tr>
      <w:tr>
        <w:trPr>
          <w:trHeight w:val="207"/>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136,565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144,496</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8,273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8,039</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145,066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153,120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115,414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131,305</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29,652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21,815</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 (income):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46,420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54,755</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(16,768)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(36,103)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(16,639)</w:t>
            </w: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8"/>
                <w:szCs w:val="18"/>
                <w:color w:val="auto"/>
              </w:rPr>
            </w:pPr>
          </w:p>
        </w:tc>
        <w:tc>
          <w:tcPr>
            <w:tcW w:w="15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2,788</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(35,580)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(14,385)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(52,348)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(47,567)</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(3,714)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(56,062)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(52,833)</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(56,290)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(53,418)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 / 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16,070</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16,070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service revenue of $136.6 million for the year ended December 31, 2023, a 5% decrease compared to the year ended December 31, 2022. The decrease in service revenue for the year ended December 31, 2023 is driven by lower revenue in both segments. Revenue was lower in the Servicer and Real Estate segment from the exit of a low margin customer care business in the fourth quarter 2022 and the apparent decline in a customer’s propensity to order services in two of our lower margin Solutions businesses within the Servicer and Real Estate segment, partially offset by growth in our foreclosure trustee business in the Solutions business within the Servicer and Real Estate segment. Revenue was lower in the Origination segment from the overall market decline in mortgage originations partially offset by Lenders One growth driven by our new reseller products.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reimbursable expense revenue of $8.3 million for the year ended December 31, 2023, a 3% increase compared to the year ended December 31, 2022. The increase in reimbursable expenses for the year ended December 31, 2023 is primarily driven by an increase in property preservation services in the Solutions business within the Servicer and Real Estate segment partially offset by lower asset resolution and asset management activities in the Marketplace business within the Servicer and Real Estate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COVID-19 pandemic and related measures and the rapid rise in mortgage interest rates, the seasonal impact to revenue may not follow historical patterns.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48,064</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8,039</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cost of revenue of $115.4 million for the year ended December 31, 2023, a 12% decrease compared to the year ended December 31, 2022. Compensation and benefits for the year ended December 31, 2023 decreased primarily due to efficiency initiatives and cost savings measures taken in 2022 and 2023. Technology and telecommunications for the year ended December 31, 2023 decreased primarily due to the renegotiation of certain contracts and lower overall headcount. Depreciation and amortization was lower from the completion of the depreciation periods of certain premises and equipment and the reduction in capital expenditures.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to $29.7 million, representing 22% of service revenue, for the year ended December 31, 2023 compared to $21.8 million, representing 15% of service revenue, for the year ended December 31, 2022. Gross profit as a percentage of service revenue for the year ended December 31, 2023 increased compared to the year ended December 31, 2022 primarily due to margin expansion in both the Servicer and Real Estate segment and the Origination segment from efficiency initiatives and cost savings measures and lower corporate costs as a percentage of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year ended December 31, 2023 of $46.4 million decreased by 15% compared to the year ended December 31, 2022. The decrease for the year ended December 31, 2023 was primarily driven by lower compensation and benefits, professional services and marketing costs. Compensation and benefits and marketing costs for the year ended December 31, 2023 decreased from efficiency initiatives and cost savings measures. Professional services for the year ended December 31, 2023 decreased primarily due to lower legal and litigation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from operations was $(16.8) million, representing (12)% of service revenue, for the year ended December 31, 2023 compared to loss from operations of $(33.2) million, representing (23)% of service revenue, for the year ended December 31, 2022. Loss from operations as a percentage of service revenue improved for the year ended December 31, 2023 compared to the year ended December 31, 2022, primarily as a result of higher gross profit margins and the percentage reduction in SG&amp;A expenses in excess of the percentage change in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net was $(35.6) million for the year ended December 31, 2023 compared to $(14.4) million for the year ended December 31, 2022. The change for the year ended December 31, 2023 was primarily driven by higher interest expense and debt amendment costs, partially offset by a gain on the change in fair value of the warrant liability and higher interest and other income. The higher interest expense was driven by higher interest rates due to the increase in SOFR and the increase in the SOFR spread on our amended SSTL and higher amortization of debt discount and debt issuance and amendment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an income tax provision of $3.7 million and $5.3 million for the years ended December 31, 2023 and 2022,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year ended December 31,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year ended December 31, 2022 was driven by income tax expense on transfer pricing income from India, no tax benefit on the pretax loss from our Luxembourg operating company, uncertain tax positions and anticipated withholdings tax on current year earnings in India.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107,779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28,786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136,565</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8,273</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115,467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73,746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27,946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115,414</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29,652</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46,420</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(16,768)</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(35,580)</w:t>
            </w:r>
          </w:p>
        </w:tc>
        <w:tc>
          <w:tcPr>
            <w:tcW w:w="0" w:type="dxa"/>
            <w:vAlign w:val="bottom"/>
          </w:tcPr>
          <w:p>
            <w:pPr>
              <w:spacing w:after="0"/>
              <w:rPr>
                <w:sz w:val="1"/>
                <w:szCs w:val="1"/>
                <w:color w:val="auto"/>
              </w:rPr>
            </w:pPr>
          </w:p>
        </w:tc>
      </w:tr>
      <w:tr>
        <w:trPr>
          <w:trHeight w:val="199"/>
        </w:trPr>
        <w:tc>
          <w:tcPr>
            <w:tcW w:w="5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32,099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(52,348)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0"/>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112,132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32,364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144,496</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8,039</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119,661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33,459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153,120</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81,148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32,052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131,305</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21,815</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54,755</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26,456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(14,385)</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(47,567)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67,946</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112,132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service revenue of $107.8 million for the year ended December 31, 2023, a 4% decrease compared to the year ended December 31, 2022. We also recognized reimbursable expense revenue of $7.7 million for the year ended December 31, 2023, a 2% increase compared to the year ended December 31, 2022. The decrease in service revenue for the year ended December 31, 2023 was driven by the exit of a low margin customer care business within the Solutions business in the fourth quarter 2022 and the apparent decline in a customer’s propensity to order services in two of our lower margin businesses within the Solutions business, partially offset by growth in our foreclosure trustee business in the Solutions business.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COVID-19 pandemic and related measures and the rapid rise in mortgage interest rates,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9"/>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9"/>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for the year ended December 31, 2023 of $73.7 million decreased by 9% compared to the year ended December 31, 2022.</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revenue for the year ended December 31, 2023 is primarily driven by lower compensation and benefits primarily due to efficiency initiatives and cost savings measures and outside fees and services from lower revenue, partially offset by higher technology and telecommunications in the Solutions business from a prior year credit received related to the renegotiation of a vendor agreement for property management technologies.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to $41.7 million, representing 39% of service revenue, for the year ended December 31, 2023 compared to $38.5 million, representing 34% of service revenue, for the year ended December 31, 2022. Gross profit as a percentage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service revenue for the year ended December 31, 2023 increased primarily due to efficiency initiatives and cost savings measures. Our margins can vary substantially depending upon the service revenue mix.</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25"/>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1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1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9"/>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100" w:type="dxa"/>
            <w:vAlign w:val="bottom"/>
            <w:tcBorders>
              <w:bottom w:val="single" w:sz="8" w:color="CCEEFF"/>
            </w:tcBorders>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for the year ended December 31, 2023 of $9.6 million decreased by 20% compared to the year ended December 31, 2022.</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SG&amp;A for the year ended December 31, 2023 is primarily due to lower professional services, marketing costs, compensation and benefits, occupancy related costs and other expenses. Professional services for the year ended December 31, 2023 decreased primarily due to lower legal fees. Compensation and benefits, occupancy related costs, marketing costs and other expenses for the year ended December 31, 2023 decreased from efficiency initiatives and cost savings measures.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to $32.1 million, representing 30% of service revenue, for the year ended December 31, 2023 compared to $26.5 million, representing 24% of service revenue, for the year ended December 31, 2022. The increase in operating income as a percentage of service revenue for the year ended December 31, 2023 is primarily the result of higher gross profit margins and a percentage reduction in SG&amp;A in excess of the percentage reduction in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 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20,027</w:t>
            </w:r>
          </w:p>
        </w:tc>
        <w:tc>
          <w:tcPr>
            <w:tcW w:w="11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100" w:type="dxa"/>
            <w:vAlign w:val="bottom"/>
            <w:tcBorders>
              <w:bottom w:val="single" w:sz="8" w:color="CCEEFF"/>
            </w:tcBorders>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32,364</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100" w:type="dxa"/>
            <w:vAlign w:val="bottom"/>
            <w:tcBorders>
              <w:bottom w:val="single" w:sz="8" w:color="CCEEFF"/>
            </w:tcBorders>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12"/>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100" w:type="dxa"/>
            <w:vAlign w:val="bottom"/>
            <w:gridSpan w:val="2"/>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9"/>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33,459</w:t>
            </w:r>
          </w:p>
        </w:tc>
        <w:tc>
          <w:tcPr>
            <w:tcW w:w="1100" w:type="dxa"/>
            <w:vAlign w:val="bottom"/>
            <w:tcBorders>
              <w:bottom w:val="single" w:sz="8" w:color="CCEEFF"/>
            </w:tcBorders>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service revenue of $28.8 million for the year ended December 31, 2023, an 11% decrease compared to the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ended December 31, 2022. We also recognized reimbursable expense revenue of $0.6 million for the year ended December 31, 2023, a 15% increase compared to the year ended December 31, 2022. The decrease in service revenue in the Origination segment for the year ended December 31, 2023 is primarily driven by the overall market decline in mortgage originations partially offset by Lenders One growth with our new reseller products. The decline in the Solutions business revenue was greater than the overall market decline as a greater percentage of revenue in some of our Solutions businesses was derived from refinance transactions which declined at a greater rate than the overall market.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100" w:type="dxa"/>
            <w:vAlign w:val="bottom"/>
            <w:gridSpan w:val="2"/>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26</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13,955</w:t>
            </w:r>
          </w:p>
        </w:tc>
        <w:tc>
          <w:tcPr>
            <w:tcW w:w="11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10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1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25"/>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9"/>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32,052</w:t>
            </w:r>
          </w:p>
        </w:tc>
        <w:tc>
          <w:tcPr>
            <w:tcW w:w="1100" w:type="dxa"/>
            <w:vAlign w:val="bottom"/>
            <w:tcBorders>
              <w:bottom w:val="single" w:sz="8" w:color="CCEEFF"/>
            </w:tcBorders>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year ended December 31, 2023 of $27.9 million decreased by 13% compared to the year ended December 31, 2022. The decrease in cost of revenue for the year ended December 31, 2023 was primarily driven by the alignment of compensation and benefits and technology and telecommunications with lower service revenue discussed above, partially offset by the increase in outside fees and services from Lenders One revenue growth.</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to $1.7 million, representing 6% of service revenue, for the year ended December 31, 2023 compared to $1.4 million, representing 4% of service revenue, for the year ended December 31, 2022. Gross profit as a percentage of service revenue increased from margin expansion from efficiency initiatives and cost savings measures.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9"/>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year ended December 31, 2023 of $7.7 million decreased by 13% compared to the year ended December 31, 2022. The decrease in SG&amp;A for the year ended December 31, 2023 was primarily due to lower marketing costs and compensation and benefits from efficiency initiatives and cost savings measures and lower occupancy related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was $(6.0) million, representing (21)% of service revenue, for the year ended December 31, 2023 compared to loss from operations of $(7.4) million, representing (23)% of service revenue, for the year ended December 31, 2022. The improvement in operating loss as a percentage of service revenue for the year ended December 31, 2023 is primarily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higher gross profit margins and from a greater percentage reduction in SG&amp;A expenses than the percentage change in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20" w:type="dxa"/>
            <w:vAlign w:val="bottom"/>
          </w:tcPr>
          <w:p>
            <w:pPr>
              <w:spacing w:after="0"/>
              <w:rPr>
                <w:sz w:val="24"/>
                <w:szCs w:val="24"/>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w:t>
            </w: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41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18,105</w:t>
            </w:r>
          </w:p>
        </w:tc>
      </w:tr>
      <w:tr>
        <w:trPr>
          <w:trHeight w:val="21"/>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1" w:right="140" w:hanging="41"/>
        <w:spacing w:after="0" w:line="264" w:lineRule="auto"/>
        <w:tabs>
          <w:tab w:leader="none" w:pos="183"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-2540</wp:posOffset>
            </wp:positionV>
            <wp:extent cx="6261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(18)</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7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59" w:lineRule="exact"/>
        <w:rPr>
          <w:sz w:val="20"/>
          <w:szCs w:val="20"/>
          <w:color w:val="auto"/>
        </w:rPr>
      </w:pPr>
    </w:p>
    <w:p>
      <w:pPr>
        <w:sectPr>
          <w:pgSz w:w="11900" w:h="16838" w:orient="portrait"/>
          <w:cols w:equalWidth="0" w:num="2">
            <w:col w:w="10140" w:space="259"/>
            <w:col w:w="841"/>
          </w:cols>
          <w:pgMar w:left="320" w:top="121" w:right="339" w:bottom="1440" w:gutter="0" w:footer="0" w:header="0"/>
        </w:sectPr>
      </w:pPr>
    </w:p>
    <w:p>
      <w:pPr>
        <w:spacing w:after="0" w:line="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2023 of $13.7 million decreased by 24% compared to the year ended December 31, 2022. The decrease in cost of revenue for the year ended December 31, 2023 is primarily driven by lower technology and telecommunications and compensation and benefits due to efficiency initiatives and cost savings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00"/>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7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for the year ended December 31, 2023 of $29.1 million decreased by 14% compared to the year ended December 31, 2022. The decrease for the year ended December 31, 2023 is primarily driven by lower professional services, compensation and benefits and other expenses. Professional services for the year ended December 31, 2023 decreased due to lower insurance, legal and audit related expenses. The decrease in compensation and benefits was driven by efficiency initiatives and cost savings measures.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$(35.6) million for the year ended December 31, 2023 compared to $(14.4) million for the year ended December 31, 2022. The change for the year ended December 31, 2023 was primarily driven by higher interest expense and debt amendment costs, partially offset by a gain on the change in fair value of the warrant liability and higher interest and other income. The higher interest expense was driven by higher interest rates, higher interest rates on our amended SSTL and higher amortization of debt discount and debt issuance and amendment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due to governmental and market responses to the COVID-19 pandemic, revenue has declined significantly. The lower revenue, partially offset by efficiency initiatives and cost savings measures, resulted in negative operating cash flow from operations for the years ended December 31, 2023 and 2022.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sales of equity securities or other similar actions that are aligned with our strategy.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the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maturity date of the Amended Credit Agreement is April 30, 2025. If Aggregate Paydowns under the Amended Credit Agreement are equal to or greater than $30 million by February 13, 2024,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 on or before April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Company made $30 million of Aggregate Paydowns.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amounts outstanding under the SSTL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The PIK component of the interest rate was 3.75% for the six months ended December 31, 2023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for the three months ended June 30, 2023. The interest rate as of December 31, 2023, including the PIK component, was 14.24%.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vMerge w:val="restart"/>
          </w:tcPr>
          <w:p>
            <w:pPr>
              <w:ind w:left="394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90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PIK Component of Interest</w:t>
            </w:r>
          </w:p>
        </w:tc>
        <w:tc>
          <w:tcPr>
            <w:tcW w:w="0" w:type="dxa"/>
            <w:vAlign w:val="bottom"/>
          </w:tcPr>
          <w:p>
            <w:pPr>
              <w:spacing w:after="0"/>
              <w:rPr>
                <w:sz w:val="1"/>
                <w:szCs w:val="1"/>
                <w:color w:val="auto"/>
              </w:rPr>
            </w:pPr>
          </w:p>
        </w:tc>
      </w:tr>
      <w:tr>
        <w:trPr>
          <w:trHeight w:val="195"/>
        </w:trPr>
        <w:tc>
          <w:tcPr>
            <w:tcW w:w="7260" w:type="dxa"/>
            <w:vAlign w:val="bottom"/>
            <w:tcBorders>
              <w:bottom w:val="single" w:sz="8" w:color="auto"/>
            </w:tcBorders>
            <w:vMerge w:val="continue"/>
          </w:tcPr>
          <w:p>
            <w:pPr>
              <w:spacing w:after="0"/>
              <w:rPr>
                <w:sz w:val="16"/>
                <w:szCs w:val="16"/>
                <w:color w:val="auto"/>
              </w:rPr>
            </w:pPr>
          </w:p>
        </w:tc>
        <w:tc>
          <w:tcPr>
            <w:tcW w:w="3900" w:type="dxa"/>
            <w:vAlign w:val="bottom"/>
            <w:tcBorders>
              <w:bottom w:val="single" w:sz="8" w:color="auto"/>
            </w:tcBorders>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 million</w:t>
            </w:r>
          </w:p>
        </w:tc>
        <w:tc>
          <w:tcPr>
            <w:tcW w:w="3900" w:type="dxa"/>
            <w:vAlign w:val="bottom"/>
            <w:shd w:val="clear" w:color="auto" w:fill="CCEEFF"/>
          </w:tcPr>
          <w:p>
            <w:pPr>
              <w:jc w:val="center"/>
              <w:ind w:left="1801"/>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 million+ but less than below</w:t>
            </w:r>
          </w:p>
        </w:tc>
        <w:tc>
          <w:tcPr>
            <w:tcW w:w="3900" w:type="dxa"/>
            <w:vAlign w:val="bottom"/>
          </w:tcPr>
          <w:p>
            <w:pPr>
              <w:jc w:val="center"/>
              <w:ind w:left="1801"/>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3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million+ but less than below</w:t>
            </w:r>
          </w:p>
        </w:tc>
        <w:tc>
          <w:tcPr>
            <w:tcW w:w="3900" w:type="dxa"/>
            <w:vAlign w:val="bottom"/>
            <w:shd w:val="clear" w:color="auto" w:fill="CCEEFF"/>
          </w:tcPr>
          <w:p>
            <w:pPr>
              <w:jc w:val="center"/>
              <w:ind w:left="1801"/>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 million+ but less than below</w:t>
            </w:r>
          </w:p>
        </w:tc>
        <w:tc>
          <w:tcPr>
            <w:tcW w:w="3900" w:type="dxa"/>
            <w:vAlign w:val="bottom"/>
          </w:tcPr>
          <w:p>
            <w:pPr>
              <w:jc w:val="center"/>
              <w:ind w:left="1801"/>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3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$45 million+ but less than below</w:t>
            </w:r>
          </w:p>
        </w:tc>
        <w:tc>
          <w:tcPr>
            <w:tcW w:w="3900" w:type="dxa"/>
            <w:vAlign w:val="bottom"/>
            <w:shd w:val="clear" w:color="auto" w:fill="CCEEFF"/>
          </w:tcPr>
          <w:p>
            <w:pPr>
              <w:jc w:val="center"/>
              <w:ind w:left="180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 million+ but less than below</w:t>
            </w:r>
          </w:p>
        </w:tc>
        <w:tc>
          <w:tcPr>
            <w:tcW w:w="3900" w:type="dxa"/>
            <w:vAlign w:val="bottom"/>
          </w:tcPr>
          <w:p>
            <w:pPr>
              <w:jc w:val="center"/>
              <w:ind w:left="1801"/>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$55 million+ but less than below</w:t>
            </w:r>
          </w:p>
        </w:tc>
        <w:tc>
          <w:tcPr>
            <w:tcW w:w="3900" w:type="dxa"/>
            <w:vAlign w:val="bottom"/>
            <w:shd w:val="clear" w:color="auto" w:fill="CCEEFF"/>
          </w:tcPr>
          <w:p>
            <w:pPr>
              <w:jc w:val="center"/>
              <w:ind w:left="1801"/>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$60 million+ but less than below</w:t>
            </w:r>
          </w:p>
        </w:tc>
        <w:tc>
          <w:tcPr>
            <w:tcW w:w="3900" w:type="dxa"/>
            <w:vAlign w:val="bottom"/>
          </w:tcPr>
          <w:p>
            <w:pPr>
              <w:jc w:val="center"/>
              <w:ind w:left="180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million+ but less than below</w:t>
            </w:r>
          </w:p>
        </w:tc>
        <w:tc>
          <w:tcPr>
            <w:tcW w:w="3900" w:type="dxa"/>
            <w:vAlign w:val="bottom"/>
            <w:shd w:val="clear" w:color="auto" w:fill="CCEEFF"/>
          </w:tcPr>
          <w:p>
            <w:pPr>
              <w:jc w:val="center"/>
              <w:ind w:left="1801"/>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0"/>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$70 million+</w:t>
            </w:r>
          </w:p>
        </w:tc>
        <w:tc>
          <w:tcPr>
            <w:tcW w:w="3900" w:type="dxa"/>
            <w:vAlign w:val="bottom"/>
          </w:tcPr>
          <w:p>
            <w:pPr>
              <w:jc w:val="center"/>
              <w:ind w:left="1801"/>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Amended Credit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outstanding principal balance of the SSTL was $224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16% of Altisource’s common stock as of December 31, 2023 and owns Altisource debt as a lender under the Amended Credit Agreement. Deer Park’s Chief Investment Officer and managing partner was a member of Altisource’s Board of Directors until his resignation on March 1, 2022. The replacement director appointed by the Board of Directors and subsequently elected by shareholders is a current employee of Deer Park. 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on the Amended Revolver is due and payable on such maturity date.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no outstanding debt under the Amended Revolver and since obtaining the Amended Revolver, the Company has not borrowed any amount under the Amended Revolver.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years ended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(44,888)</w:t>
            </w:r>
          </w:p>
        </w:tc>
      </w:tr>
      <w:tr>
        <w:trPr>
          <w:trHeight w:val="21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9"/>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0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(47,876)</w:t>
            </w:r>
          </w:p>
        </w:tc>
      </w:tr>
      <w:tr>
        <w:trPr>
          <w:trHeight w:val="216"/>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102,149</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year ended December 31, 2023, net cash used in operating activities was $(21.8) million compared to net cash used in operating activities of $(44.9) million for the year ended December 31, 2022. During the year ended December 31, 2023, the decrease in cash used in operating activities was driven by a $17.9 million improvement in cash provided by (used for) working capital and a $11.5 million increase in non-cash interest expense (amortization of debt discount and amortization of debt issuance and amendment costs), partially offset by a $3.2 million increase in net loss and a $2.1 million decrease in non-cash depreciation and deferred income tax expenses. The increase in net loss was primarily due to higher interest expense driven by higher interest rates on our Amended Credit Agreement and debt amendment costs, partially offset by lower corporate costs and higher operating income in the Servicer and Real Estate segment from our cash cost savings measures. The improvement in cash provided by (used for) changes in working capital was primarily driven by the $3.8 million net collection of taxes receivable for the year ended December 31, 2023 compared to a net payment of taxes of $3.3 million for the year ended December 31, 2022, a $2.0 million return of surety bonds, and no cash bonuses paid in the year ended December 31, 2023. Non-cash interest expense increased as a result of the February 2023 Amended Credit Agreement.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not be comparable from one period to another.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from investing activities generally include additions to premises and equipment and proceeds from the sale of businesses. Net cash used in investing activities was $(0.8) million for the year ended 2022 (no comparable amount for the year ended December 31, 2023). We used $0.9 million for the year ended December 31, 2022 (no comparable amount for the year ended December 31, 2023), for additions to premises and equipment primarily related to the purchase of technology hardware.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from financing activities primarily included payments of tax withholding on issuance of restricted share units and restricted shares, distributions to non-controlling interests, proceeds from the sale of equity securities, debt repayments and debt amendment costs. Net cash provided by (used in) financing activities were $3.0 million and $(2.2) million for the years ended December 31, 2023 and 2022, respectively. During the year ended December 31, 2023, we received $38.8 million in proceeds from the issuance of common stock, net of issuance costs and used $30.0 million of the proceeds for repayment of debt. Also during the year ended December 31, 2023, we paid $4.9 million to lenders or others on behalf of the lenders related to the debt amendment. During the years ended December 31, 2023 and 2022, we made payments of $0.5 million and $1.1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years ended December 31, 2023 and 2022, we distributed $0.4 million and $1.1 million, respectively,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the maturity of the SSTL under the Amended Credit Agreement, interest expense under the Amended Credit Agreement (see Liquidity section above), and operating lease payments on certain of our premises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Senior secured term loans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payments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25,514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245,892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3" w:lineRule="exact"/>
        <w:rPr>
          <w:sz w:val="20"/>
          <w:szCs w:val="20"/>
          <w:color w:val="auto"/>
        </w:rPr>
      </w:pPr>
    </w:p>
    <w:p>
      <w:pPr>
        <w:jc w:val="both"/>
        <w:ind w:left="260" w:hanging="252"/>
        <w:spacing w:after="0" w:line="242" w:lineRule="auto"/>
        <w:tabs>
          <w:tab w:leader="none" w:pos="362"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SSTL as of December 31, 2023 is $224 million and is due on April 30, 2025. If Aggregate Paydowns are equal to or greater than $30 million, then (subject to a payment of a 2% payment-in-kind extension fee on or before April 30, 2025 and subject to the representations and warranties being true and correct as of such date and there being no default or event of default being in existence as of such date) the maturity date of the SSTL may be extended at the Company’s option to April 30, 2026. During the year ended December 31, 2023, Company made $30 million of Aggregate Paydowns. The table herein reflects a maturity of April 2025. The increase in outstanding balance is from the PIK component of our interest expense and is assumed to be paid in kind through the April 2025 maturity date.</w:t>
      </w:r>
    </w:p>
    <w:p>
      <w:pPr>
        <w:spacing w:after="0" w:line="4"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35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based on the SOFR interest rate as of December 31, 2023 and the April 30, 2025 maturity date. Based on the April 30, 2025 maturity date, no interest expense has been included beyond April 30, 2025.</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funding future liquidity requirements with a combination of existing cash balances, cash anticipated to be generated by operating activities and, as needed, proceeds from the Amended Revolver. For further information, see Note 11 and Note 22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arrangements.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consolidated balance sheets. Amounts held in escrow accounts were $21.6 million and $13.2 million as of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our principal revenue generating activities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Servicer and Real Estate</w:t>
      </w:r>
    </w:p>
    <w:p>
      <w:pPr>
        <w:spacing w:after="0" w:line="171" w:lineRule="exact"/>
        <w:rPr>
          <w:sz w:val="20"/>
          <w:szCs w:val="20"/>
          <w:color w:val="auto"/>
        </w:rPr>
      </w:pPr>
    </w:p>
    <w:p>
      <w:pPr>
        <w:ind w:left="660" w:right="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preservation and inspection services and payment management technologies, we recognize transactional revenue when the service is provided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we recognize revenue over the period during which we perform the services. We use judgment to determine the period over which we recognize revenue for certain of these services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disbursement review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real estate auction platform, real estate auction and real estate brokerage services, we recognize revenue on a net basis (i.e., commission and/or auction fee, as applicable, on the sale) at the closing of the sale of the REO as we perform services as an agent without assuming the risks and rewards of ownership of the asset and the commission earned on the sale is a fixed percentage or amount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are on the platform or ratably over the contract period. We generally recognize revenue for professional services as services are provided.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servicing technologies, we generally recognize revenue based on the number of loans on the system. We generally recognized revenue from professional services as services are provided.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expenses revenue related to property preservation and inspection services, real estate sales, title services and foreclosure trustee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Origination</w:t>
      </w:r>
    </w:p>
    <w:p>
      <w:pPr>
        <w:spacing w:after="0" w:line="171" w:lineRule="exact"/>
        <w:rPr>
          <w:sz w:val="20"/>
          <w:szCs w:val="20"/>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majority of the services we provide, we recognize transactional revenue when the service is provided. We recognize membership fees from Lender One members ratably over the term of membership</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SaaS, we recognize revenue over the period during which we perform the services. We use judgment to determine the period over which we recognize revenue for certain of these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Identifiable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represents our estimated weighted average cost of capital. The market comparisons include an analysis of revenue and earnings multiples of guideline public companies compared to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Identified intangible assets consist primarily of customer related intangible assets, operating agreements, trademarks and trade names and other intangible assets.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Financial Accounting Standards Board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for a discussion of the recent adoption of a new accounting pronouncements and the future adoption of new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Ocwen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2023 and 2022, we recognized revenue from Ocwen of $63.2 million and $63.5 million, respectively. Revenue from Ocwen as a percentage of segment and consolidated revenue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8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MSRs owner selects Altisource as the service provider. For the years ended December 31, 2023 and 2022, we recognized $9.2 million and $9.5 million, respectively, of such revenue. These amounts are not included in deriving revenue from Ocwen and revenue from Ocwen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Ocwen totaled $3.4 million, $2.2 million of which was billed and $1.2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accounts receivable from Ocwen totaled $4.0 million, $3.2 million of which was billed and $0.8 million of which was unbilled.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Rithm</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has disclosed that Rithm is a significant client of Ocwen’s. As of December 31, 2023, Ocwen reported that approximately 16% of loans serviced and subserviced by Ocwen (measured in UPB) and approximately 67% of all delinquent loans that Ocwen services were related to Rithm MSRs or rights to MSRs.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purchases brokerage services for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revenue from Rithm of $2.8 million and $3.2 million, respectively, under the Brokerage Agreement. For the years ended December 31, 2023 and 2022, we recognized additional revenue of $12.6 million and $13.0 million, respectively, relating to the Subject MSRs when a party other than Rithm selects Altisource as the service provider.</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Amended Credit Agreement, the initial interest rate charged on the SSTL is SOFR (as defined in the Amended Credit Agreement), with a minimum floor of 1.00%, plus 5.00% paid in cash plus 5.00% PIK. Based on par paydowns of $30 million during the year ended December 31, 2023, the PIK component was reduced to 3.75% and may be further reduced on a prospective basis based on the Aggregate Paydowns made prior to February 14,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and SOFR as of December 31, 2023, a one percentage point increase in SOFR above the minimum floor would increase our annual interest expense by approximately $2.2 million. There would be a $2.2 million decrease in our annual interest expense if there was a one percentage point decrease in SOFR.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2023, a one percentage point increase or decrease in value of the Indian rupee in relation to the United States dollar would increase or decrease our annual expenses by approximately $0.1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331"/>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E32E1"/>
              </w:rPr>
              <w:t>(PCAOB ID 49)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580" w:type="dxa"/>
            <w:vAlign w:val="bottom"/>
            <w:gridSpan w:val="5"/>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2023 and 2022</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(Deficit) for the years ended December 31, 2023 and 2022</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3480" w:type="dxa"/>
            <w:vAlign w:val="bottom"/>
            <w:gridSpan w:val="2"/>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00" w:type="dxa"/>
            <w:vAlign w:val="bottom"/>
            <w:gridSpan w:val="4"/>
          </w:tcPr>
          <w:p>
            <w:pPr>
              <w:spacing w:after="0"/>
              <w:rPr>
                <w:sz w:val="24"/>
                <w:szCs w:val="24"/>
                <w:color w:val="auto"/>
              </w:rPr>
            </w:pPr>
          </w:p>
        </w:tc>
        <w:tc>
          <w:tcPr>
            <w:tcW w:w="3780" w:type="dxa"/>
            <w:vAlign w:val="bottom"/>
            <w:gridSpan w:val="3"/>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Altisource Portfolio Solutions 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Altisource Portfolio Solutions S.A. and its subsidiaries (the Company) as of December 31, 2023 and 2022, the related consolidated statements of operations and comprehensive loss, equity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Notes 3, 14, and 22 to the financial statements, the Company has a concentration of revenue associated with its largest customer, Ocwen Financial Corporation (together with its subsidiaries, Ocwen). The Company has disclosed various uncertainties associated with Ocwen.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Notes 2 and 20 to the financial statements, the Company is subject to income taxes in the United States and a number of foreign jurisdictions. Tax laws are complex and subject to different interpretations by the taxpayer and respective governmental taxing authorities. Significant judgment is required in determining tax expense and in evaluating tax positions, including evaluating uncertainties. The Company recorded $5.0 million of net deferred tax assets, $9.0 million of net deferred tax liabilities, and $18.1 million of total unrecognized tax benefits, including interest and penalties, as of December 31, 2023. The Company also recorded a $3.7 million income tax provision for the year ending December 31,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accounting for income taxes as a critical audit matter because of the specialized expertise and high degree of auditor judgment required in auditing the income tax provision due to the Company’s presence in foreign jurisdictions, transfer pricing determinations, and evaluating the reasonableness of uncertain tax positions.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income taxes included the following, among others: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components of the income tax provision for significant jurisdictions, including evaluating permanent and temporary differences between book and tax reporting balances, and tested the application of statutory tax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professionals, including international tax professionals, we:</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reasonableness of management’s estimates by considering the application of foreign tax jurisdiction laws and regulations;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transfer pricing analyses provided by the Company and tested certain transfer pricing computations;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completeness of uncertain tax positions and the reasonableness of the outcomes and measurements.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82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$3,123 and $4,363,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23,544</w:t>
            </w: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87,558</w:t>
            </w: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r>
      <w:tr>
        <w:trPr>
          <w:trHeight w:val="199"/>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LIABILITIES AND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40,085</w:t>
            </w: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245,493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19,536</w:t>
            </w: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8"/>
        </w:trPr>
        <w:tc>
          <w:tcPr>
            <w:tcW w:w="826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 xml:space="preserve">Common stock ($1.00 par value; 100,000 shares authorized, 29,963 issued and 26,496 outstanding as of </w:t>
            </w:r>
            <w:r>
              <w:rPr>
                <w:rFonts w:ascii="Times New Roman" w:cs="Times New Roman" w:eastAsia="Times New Roman" w:hAnsi="Times New Roman"/>
                <w:sz w:val="17"/>
                <w:szCs w:val="17"/>
                <w:color w:val="auto"/>
              </w:rPr>
              <w:t>December 31,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16"/>
                <w:szCs w:val="16"/>
                <w:color w:val="auto"/>
              </w:rPr>
              <w:t>; 25,413 issued and 16,129 outstanding as of</w:t>
            </w:r>
            <w:r>
              <w:rPr>
                <w:rFonts w:ascii="Times New Roman" w:cs="Times New Roman" w:eastAsia="Times New Roman" w:hAnsi="Times New Roman"/>
                <w:sz w:val="18"/>
                <w:szCs w:val="18"/>
                <w:color w:val="auto"/>
              </w:rPr>
              <w:t xml:space="preserve"> December 31, 2022</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149,348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118,948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(3,467 shares as of December 31, 2023 and 9,284 shares as of December 31, 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(413,358)</w:t>
            </w:r>
          </w:p>
        </w:tc>
      </w:tr>
      <w:tr>
        <w:trPr>
          <w:trHeight w:val="212"/>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Altisource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(119,649)</w:t>
            </w: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07"/>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deficit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(118,874)</w:t>
            </w:r>
          </w:p>
        </w:tc>
      </w:tr>
      <w:tr>
        <w:trPr>
          <w:trHeight w:val="199"/>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195,268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131,305</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54,755</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199"/>
        </w:trPr>
        <w:tc>
          <w:tcPr>
            <w:tcW w:w="8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1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(14,385)</w:t>
            </w:r>
          </w:p>
        </w:tc>
      </w:tr>
      <w:tr>
        <w:trPr>
          <w:trHeight w:val="216"/>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(47,567)</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(52,833)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(52,833)</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Altisource Deficit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0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(52,833)</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10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treasury stock, net of transaction costs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1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8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(52,833)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(44,888)</w:t>
            </w:r>
          </w:p>
        </w:tc>
      </w:tr>
      <w:tr>
        <w:trPr>
          <w:trHeight w:val="3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business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3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treasury stock, net of transaction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and amendment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4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102,149</w:t>
            </w:r>
          </w:p>
        </w:tc>
      </w:tr>
      <w:tr>
        <w:trPr>
          <w:trHeight w:val="3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(refunded) paid,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54"/>
        </w:trPr>
        <w:tc>
          <w:tcPr>
            <w:tcW w:w="8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 payables for purchases of premises and equipment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issued in connection with Amended Credit Agreement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4" w:lineRule="exact"/>
        <w:rPr>
          <w:sz w:val="20"/>
          <w:szCs w:val="20"/>
          <w:color w:val="auto"/>
        </w:rPr>
      </w:pPr>
    </w:p>
    <w:p>
      <w:pPr>
        <w:jc w:val="both"/>
        <w:ind w:left="20" w:right="20"/>
        <w:spacing w:after="0" w:line="245"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consolidated balance sheets and the consolidated statements of cash flows as of December 31:</w:t>
      </w: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8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51,025</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12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8" w:lineRule="exact"/>
        <w:rPr>
          <w:sz w:val="20"/>
          <w:szCs w:val="20"/>
          <w:color w:val="auto"/>
        </w:rPr>
      </w:pPr>
    </w:p>
    <w:p>
      <w:pPr>
        <w:ind w:right="290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Basis of Accounting and Presentation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United States of America (“GAAP”). Intercompany transactions and accounts have been eliminated in consolidation. Certain amounts disclosed in prior period statements have been reclassified to conform to the current period presentation.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its wholly-owned subsidiaries and those entities in which we have a variable interest and are the primary beneficiary.</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2023, Lenders One had total assets of $0.4 million and total liabilities of $0.6 million. As of December 31, 2022, Lenders One had total assets of $1.2 million and total liabilities of $1.1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presented net of an allowance for expected credit losses.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The carrying value of accounts receivable, net, approximates fair value.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 years</w:t>
            </w:r>
          </w:p>
        </w:tc>
      </w:tr>
      <w:tr>
        <w:trPr>
          <w:trHeight w:val="23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Shorter of useful life, 10 years or the term of the lease</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 software includes the fair value of software acquired in business combinations, capitalized software development costs and purchased software. Capitalized software development and purchased software are recorded at cost and amortized using the straight-line method over their estimated useful lives. Software acquired in business combinations is recorded at fair value and amortized using the straight-line method over its estimated useful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account for acquisitions using the purchase method of accounting in accordance with Financial Accounting Standards Board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of an acquisition is allocated to the assets acquired and liabilities assumed using their fair value as of the acquisition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would then test goodwill for impairment by comparing the fair value of the reporting unit with its carrying amount. If the fair value is determined to be less than its carrying amount, we recognize an impairment charge for the amount by which the carrying amount exceeds the reporting unit’s fair value; however, the loss recognized should not exceed the total amount of goodwill allocated to that reporting unit.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estimated weighted average cost of capital. The market comparisons include an analysis of revenue and earnings multiples of guideline public companies compared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the measurement of monetary balance sheet items denominated in non-United States dollar currencies are reflected in the consolidated statements of operations and comprehensive (loss) income as income or expenses, as appropriate.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401(k) Plan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Some of our employees participate in a defined contribution 401(k) plan under which we may make matching contributions equal to a discretionary percentage determined by us. We recorded expenses of $0.2 million and $0.2 million for the years ended December 31, 2023 and 2022, respectively, related to our discretionary contributions.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Servicer and Real Estate</w:t>
      </w:r>
    </w:p>
    <w:p>
      <w:pPr>
        <w:spacing w:after="0" w:line="171" w:lineRule="exact"/>
        <w:rPr>
          <w:sz w:val="20"/>
          <w:szCs w:val="20"/>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preservation and inspection services and payment management technologies, we recognize transactional revenue when the service is provided.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we recognize revenue over the period during which we perform the services. We use judgment to determine the period over which we recognize revenue for certain of these services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disbursement review services, we recognize revenue over the period during which we perform the processing services with full recognition upon completion of the disbursements.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real estate auction platform, real estate auction and real estate brokerage services, we recognize revenue on a net basis (i.e., the commission on the sale) at the closing of the sale of the REO as we perform services as an agent without assuming the risks and rewards of ownership of the asset and the commission earned on the sale is a fixed percentage or amount.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are on the platform or ratably over the contract period. We generally recognize revenue for professional services as services are provided.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servicing technologies, we generally recognize revenue based on the number of loans on the system. We generally recognized revenue from professional services as services are provided. We use judgment to determine the period over which we recognize revenue for certain of these services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expenses revenue related to property preservation and inspection services, real estate sales title services and foreclosure trustee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Origination</w:t>
      </w:r>
    </w:p>
    <w:p>
      <w:pPr>
        <w:spacing w:after="0" w:line="171" w:lineRule="exact"/>
        <w:rPr>
          <w:sz w:val="20"/>
          <w:szCs w:val="20"/>
          <w:color w:val="auto"/>
        </w:rPr>
      </w:pPr>
    </w:p>
    <w:p>
      <w:pPr>
        <w:ind w:left="660" w:right="2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majority of the services we provide, we recognize transactional revenue when the service is provided. We recognize membership fees from Lender One members ratably over the term of membership.</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 We use judgment to determine the period over which we recognize revenue for certain of these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is accounted for under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interest expense,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compute earnings per share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standard updates reportable segment disclosure requirements primarily through enhanced disclosures about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This standard will be effective for annual periods beginning after December 15, 2023, and for interim periods beginning after December 15, 2024. Early adoption of this standard is permitted. The Company is currently evaluating the impact this guidance may have on its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This standard will be effective for annual periods beginning after December 15, 2024. Early adoption of this standard is permitted. The Company is currently evaluating the impact this guidance may have on its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Ocwen was our largest customer, accounting for 44%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2023 and 2022, we recognized revenue from Ocwen of $63.2 million and $63.5 million, respectively. Revenue from Ocwen as a percentage of segment and consolidated revenue was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8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MSRs owner selects Altisource as the service provider. For the years ended December 31, 2023 and 2022, we recognized $9.2 million and $9.5 million, respectively, of such revenue. These amounts are not included in deriving revenue from Ocwen and revenue from Ocwen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Ocwen totaled $3.4 million, $2.2 million of which was billed and $1.2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accounts receivable from Ocwen totaled $4.0 million, $3.2 million of which was billed and $0.8 million of which was unbilled.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(formerly New Residential Investment Corp.) is an asset manager focused on the real estate and financial services industries.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has disclosed that Rithm is a significant client of Ocwen’s. As of December 31, 2023, Ocwen reported that approximately 16% of loans serviced and subserviced by Ocwen (measured in unpaid principal balance (“UPB”)) and approximately 67% of all delinquent loans that Ocwen services were related to Rithm MSRs or rights to MSRs (the “Subject MSRs”).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revenue from Rithm of $2.8 million and $3.2 million, respectively, under the Brokerage Agreement. For the years ended December 31, 2023 and 2022, we recognized additional revenue of $12.6 million and $13.0 million, respectively, relating to the Subject MSRs when a party other than Rithm selects Altisource as the service provider.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17,352</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12,989</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28"/>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40" w:type="dxa"/>
            <w:vAlign w:val="bottom"/>
            <w:gridSpan w:val="3"/>
            <w:vMerge w:val="continue"/>
          </w:tcPr>
          <w:p>
            <w:pPr>
              <w:spacing w:after="0"/>
              <w:rPr>
                <w:sz w:val="11"/>
                <w:szCs w:val="11"/>
                <w:color w:val="auto"/>
              </w:rPr>
            </w:pPr>
          </w:p>
        </w:tc>
        <w:tc>
          <w:tcPr>
            <w:tcW w:w="1500" w:type="dxa"/>
            <w:vAlign w:val="bottom"/>
            <w:tcBorders>
              <w:top w:val="single" w:sz="8" w:color="auto"/>
            </w:tcBorders>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Charged to Other</w:t>
            </w:r>
          </w:p>
        </w:tc>
        <w:tc>
          <w:tcPr>
            <w:tcW w:w="140" w:type="dxa"/>
            <w:vAlign w:val="bottom"/>
          </w:tcPr>
          <w:p>
            <w:pPr>
              <w:spacing w:after="0"/>
              <w:rPr>
                <w:sz w:val="11"/>
                <w:szCs w:val="11"/>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5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3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Accounts Note</w:t>
            </w:r>
            <w:r>
              <w:rPr>
                <w:rFonts w:ascii="Times New Roman" w:cs="Times New Roman" w:eastAsia="Times New Roman" w:hAnsi="Times New Roman"/>
                <w:sz w:val="18"/>
                <w:szCs w:val="18"/>
                <w:b w:val="1"/>
                <w:bCs w:val="1"/>
                <w:color w:val="auto"/>
                <w:w w:val="99"/>
                <w:vertAlign w:val="superscript"/>
              </w:rPr>
              <w:t>(1)</w:t>
            </w: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21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20" w:lineRule="exact"/>
        <w:rPr>
          <w:sz w:val="20"/>
          <w:szCs w:val="20"/>
          <w:color w:val="auto"/>
        </w:rPr>
      </w:pPr>
    </w:p>
    <w:p>
      <w:pPr>
        <w:ind w:left="220" w:hanging="167"/>
        <w:spacing w:after="0"/>
        <w:tabs>
          <w:tab w:leader="none" w:pos="2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amounts previously written off which were credited directly to this account when recovered.</w:t>
      </w:r>
    </w:p>
    <w:p>
      <w:pPr>
        <w:spacing w:after="0" w:line="55" w:lineRule="exact"/>
        <w:rPr>
          <w:rFonts w:ascii="Times New Roman" w:cs="Times New Roman" w:eastAsia="Times New Roman" w:hAnsi="Times New Roman"/>
          <w:sz w:val="21"/>
          <w:szCs w:val="21"/>
          <w:color w:val="auto"/>
          <w:vertAlign w:val="superscript"/>
        </w:rPr>
      </w:pPr>
    </w:p>
    <w:p>
      <w:pPr>
        <w:ind w:left="220" w:hanging="167"/>
        <w:spacing w:after="0" w:line="213" w:lineRule="auto"/>
        <w:tabs>
          <w:tab w:leader="none" w:pos="2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written off as uncollectible or transferred to other accounts or utilized.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Indemnity escrow receivable from Pointillist sale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Premises and equipment, net consists of the following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49,339</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59,311</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(55,089)</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amounted to $2.4 million and $3.4 million for the years ended December 31, 2023 and 2022, respectively, and is included in cost of revenue for operating assets and in selling, general and administrative expenses for non-operating assets in the accompanying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 as of December 31: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2,455</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1,129</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586</w:t>
            </w:r>
          </w:p>
        </w:tc>
      </w:tr>
      <w:tr>
        <w:trPr>
          <w:trHeight w:val="213"/>
        </w:trPr>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r>
      <w:tr>
        <w:trPr>
          <w:trHeight w:val="199"/>
        </w:trPr>
        <w:tc>
          <w:tcPr>
            <w:tcW w:w="8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4,222</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462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7 — RIGHT-OF-USE ASSETS UNDER OPERATING LEASES, NET </w:t>
      </w:r>
      <w:r>
        <w:rPr>
          <w:rFonts w:ascii="Times New Roman" w:cs="Times New Roman" w:eastAsia="Times New Roman" w:hAnsi="Times New Roman"/>
          <w:sz w:val="18"/>
          <w:szCs w:val="18"/>
          <w:color w:val="auto"/>
        </w:rPr>
        <w:t>Right-of-use assets under operating leases, net consists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7,242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11,808</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(3,863)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(6,487)</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5,321</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$1.8 million and $2.7 million for the years ended December 31, 2023 and 2022, respectively, and is included in cost of revenue for operating assets and in selling, general and administrative expenses for non-operating assets in the accompanying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 Others</w:t>
            </w: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 and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each reportable segment represents a reporting unit. Goodwill was allocated to each reporting unit based on the relative fair value of each of our reporting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1"/>
                <w:szCs w:val="11"/>
                <w:color w:val="auto"/>
              </w:rPr>
            </w:pPr>
          </w:p>
        </w:tc>
        <w:tc>
          <w:tcPr>
            <w:tcW w:w="22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2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80" w:type="dxa"/>
            <w:vAlign w:val="bottom"/>
          </w:tcPr>
          <w:p>
            <w:pPr>
              <w:spacing w:after="0"/>
              <w:rPr>
                <w:sz w:val="11"/>
                <w:szCs w:val="1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useful life </w:t>
            </w:r>
            <w:r>
              <w:rPr>
                <w:rFonts w:ascii="Times New Roman" w:cs="Times New Roman" w:eastAsia="Times New Roman" w:hAnsi="Times New Roman"/>
                <w:sz w:val="14"/>
                <w:szCs w:val="14"/>
                <w:b w:val="1"/>
                <w:bCs w:val="1"/>
                <w:i w:val="1"/>
                <w:iCs w:val="1"/>
                <w:color w:val="auto"/>
              </w:rPr>
              <w:t>(in</w:t>
            </w:r>
          </w:p>
        </w:tc>
        <w:tc>
          <w:tcPr>
            <w:tcW w:w="26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9"/>
        </w:trPr>
        <w:tc>
          <w:tcPr>
            <w:tcW w:w="2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(200,656)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(197,594)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12,396</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31,730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$5.2 million and $5.1 million for the years ended December 31, 2023 and 2022,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Forecasted annual definite lived intangible asset amortization expense for 2024 through 2028 is $5.1 million, $5.1 million, $4.9 million, $4.7 million and $4.4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5,429</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18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10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14,981</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11,858</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33,507</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247,204</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Senior secured term loans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245,493</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245,493</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maturity date of the SSTL under the Amended Credit Agreement is April 30, 2025. If the aggregate amount of par paydowns on the SSTL made prior to February 14, 2024 using proceeds from issuances of equity interests or from junior indebtedness (“Aggregate Paydowns”) are equal to or greater than $30 million, then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 During 2023, Company made $30 million of Aggregate Paydowns.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The PIK component of the interest rate was 3.75% for the six months ended December 31, 2023 and 4.50% for the three months ended June 30, 2023. The interest rate as of December 31, 2023, including the PIK component, was 14.24%.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396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92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PIK Component of Interest</w:t>
            </w:r>
          </w:p>
        </w:tc>
        <w:tc>
          <w:tcPr>
            <w:tcW w:w="0" w:type="dxa"/>
            <w:vAlign w:val="bottom"/>
          </w:tcPr>
          <w:p>
            <w:pPr>
              <w:spacing w:after="0"/>
              <w:rPr>
                <w:sz w:val="1"/>
                <w:szCs w:val="1"/>
                <w:color w:val="auto"/>
              </w:rPr>
            </w:pPr>
          </w:p>
        </w:tc>
      </w:tr>
      <w:tr>
        <w:trPr>
          <w:trHeight w:val="195"/>
        </w:trPr>
        <w:tc>
          <w:tcPr>
            <w:tcW w:w="7320" w:type="dxa"/>
            <w:vAlign w:val="bottom"/>
            <w:tcBorders>
              <w:bottom w:val="single" w:sz="8" w:color="auto"/>
            </w:tcBorders>
            <w:vMerge w:val="continue"/>
          </w:tcPr>
          <w:p>
            <w:pPr>
              <w:spacing w:after="0"/>
              <w:rPr>
                <w:sz w:val="16"/>
                <w:szCs w:val="16"/>
                <w:color w:val="auto"/>
              </w:rPr>
            </w:pPr>
          </w:p>
        </w:tc>
        <w:tc>
          <w:tcPr>
            <w:tcW w:w="3920" w:type="dxa"/>
            <w:vAlign w:val="bottom"/>
            <w:tcBorders>
              <w:bottom w:val="single" w:sz="8" w:color="auto"/>
            </w:tcBorders>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 million</w:t>
            </w:r>
          </w:p>
        </w:tc>
        <w:tc>
          <w:tcPr>
            <w:tcW w:w="3920" w:type="dxa"/>
            <w:vAlign w:val="bottom"/>
            <w:shd w:val="clear" w:color="auto" w:fill="CCEEFF"/>
          </w:tcPr>
          <w:p>
            <w:pPr>
              <w:jc w:val="center"/>
              <w:ind w:left="1821"/>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 million+ but less than below</w:t>
            </w:r>
          </w:p>
        </w:tc>
        <w:tc>
          <w:tcPr>
            <w:tcW w:w="3920" w:type="dxa"/>
            <w:vAlign w:val="bottom"/>
          </w:tcPr>
          <w:p>
            <w:pPr>
              <w:jc w:val="center"/>
              <w:ind w:left="1821"/>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million+ but less than below</w:t>
            </w:r>
          </w:p>
        </w:tc>
        <w:tc>
          <w:tcPr>
            <w:tcW w:w="3920" w:type="dxa"/>
            <w:vAlign w:val="bottom"/>
            <w:shd w:val="clear" w:color="auto" w:fill="CCEEFF"/>
          </w:tcPr>
          <w:p>
            <w:pPr>
              <w:jc w:val="center"/>
              <w:ind w:left="1821"/>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 million+ but less than below</w:t>
            </w:r>
          </w:p>
        </w:tc>
        <w:tc>
          <w:tcPr>
            <w:tcW w:w="3920" w:type="dxa"/>
            <w:vAlign w:val="bottom"/>
          </w:tcPr>
          <w:p>
            <w:pPr>
              <w:jc w:val="center"/>
              <w:ind w:left="1821"/>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$45 million+ but less than below</w:t>
            </w:r>
          </w:p>
        </w:tc>
        <w:tc>
          <w:tcPr>
            <w:tcW w:w="3920" w:type="dxa"/>
            <w:vAlign w:val="bottom"/>
            <w:shd w:val="clear" w:color="auto" w:fill="CCEEFF"/>
          </w:tcPr>
          <w:p>
            <w:pPr>
              <w:jc w:val="center"/>
              <w:ind w:left="182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 million+ but less than below</w:t>
            </w:r>
          </w:p>
        </w:tc>
        <w:tc>
          <w:tcPr>
            <w:tcW w:w="3920" w:type="dxa"/>
            <w:vAlign w:val="bottom"/>
          </w:tcPr>
          <w:p>
            <w:pPr>
              <w:jc w:val="center"/>
              <w:ind w:left="1821"/>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$55 million+ but less than below</w:t>
            </w:r>
          </w:p>
        </w:tc>
        <w:tc>
          <w:tcPr>
            <w:tcW w:w="3920" w:type="dxa"/>
            <w:vAlign w:val="bottom"/>
            <w:shd w:val="clear" w:color="auto" w:fill="CCEEFF"/>
          </w:tcPr>
          <w:p>
            <w:pPr>
              <w:jc w:val="center"/>
              <w:ind w:left="1821"/>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$60 million+ but less than below</w:t>
            </w:r>
          </w:p>
        </w:tc>
        <w:tc>
          <w:tcPr>
            <w:tcW w:w="3920" w:type="dxa"/>
            <w:vAlign w:val="bottom"/>
          </w:tcPr>
          <w:p>
            <w:pPr>
              <w:jc w:val="center"/>
              <w:ind w:left="182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million+ but less than below</w:t>
            </w:r>
          </w:p>
        </w:tc>
        <w:tc>
          <w:tcPr>
            <w:tcW w:w="3920" w:type="dxa"/>
            <w:vAlign w:val="bottom"/>
            <w:shd w:val="clear" w:color="auto" w:fill="CCEEFF"/>
          </w:tcPr>
          <w:p>
            <w:pPr>
              <w:jc w:val="center"/>
              <w:ind w:left="1821"/>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$70 million+</w:t>
            </w:r>
          </w:p>
        </w:tc>
        <w:tc>
          <w:tcPr>
            <w:tcW w:w="3920" w:type="dxa"/>
            <w:vAlign w:val="bottom"/>
          </w:tcPr>
          <w:p>
            <w:pPr>
              <w:jc w:val="center"/>
              <w:ind w:left="1821"/>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 million when due, (v) default on any other debt that equals or exceeds $5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Amended Credit Agreement or waived, all loans and other obligations could become due and immediately payable and the facility could be terminated.</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lenders under the Amended Credit Agreement received Warrants to purchase shares of Altisource common stock. The number of Warrant Shares is subject to reduction based on the amount of Aggregate Paydowns (see Note 12 for additional information). The fair value of the Warrants on February 14, 2023 was $8.1 million and was recorded as an increase in debt discount.</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Amendment No. 2, the Company paid $4.9 million to the lenders and to third parties on behalf of the lenders. The $4.9 million payment was recorded as an increase in debt issuance and amendment costs. In connection with Amendment No. 2, the Company paid $3.4 million to advisors and recorded these payments as other expense in the consolidated statements of operations and comprehensive loss.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Deer Park Road Management Company, LP (“Deer Park”), a related party, owns approximately 16% and 24% of Altisource’s common stock as of December 31, 2023 and 2022, respectively, and $40.6 million of Altisource debt under the Amended Credit Agreement as of December 31, 2023 (no comparative amount as of December 31, 2022). Deer Park’s Chief Investment Officer and managing partner was a member of Altisource’s Board of Directors until his resignation on March 1, 2022. The replacement director appointed by the Board of Directors and subsequently elected by shareholders is a current employee of Deer Park. In connection with the Amended Credit Agreement, Deer Park received 292 thousand Warrants. During the year ended December 31, 2023, Deer Park received interest of $4.1 million from the Altisource SSTL (no comparative amount for the year ended December 31, 2022).</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debt issuance and amendment costs were $3.3 million, net of $6.1 million of accumulated amortization. As of December 31, 2022, debt issuance costs were $0.9 million, net of $3.6 million of accumulated amortization.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SSTL, including amortization of debt issuance costs and the net debt discount, totaled $32.6 million and $16.4 million for the years ended December 31,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maturities of our long-term debt are as follows: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Maturities</w:t>
            </w:r>
          </w:p>
        </w:tc>
      </w:tr>
      <w:tr>
        <w:trPr>
          <w:trHeight w:val="199"/>
        </w:trPr>
        <w:tc>
          <w:tcPr>
            <w:tcW w:w="9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224,085</w:t>
            </w:r>
          </w:p>
        </w:tc>
      </w:tr>
      <w:tr>
        <w:trPr>
          <w:trHeight w:val="199"/>
        </w:trPr>
        <w:tc>
          <w:tcPr>
            <w:tcW w:w="9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224,085</w:t>
            </w:r>
          </w:p>
        </w:tc>
      </w:tr>
      <w:tr>
        <w:trPr>
          <w:trHeight w:val="23"/>
        </w:trPr>
        <w:tc>
          <w:tcPr>
            <w:tcW w:w="9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on the Amended Revolver is due and payable on such maturity date.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there was no outstanding debt under the Amended Revolver and Revolver, respectively. As of December 31, 2023, debt issuance costs were $0.2 million, net of $0.4 million of accumulated amortization. As of December 31, 2022, debt issuance costs were $0.3 million, net of $0.3 million of accumulated amortization. Debt issuance costs for the Amended Revolver and Revolver are included in other assets in the accompanying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WARRANTS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11 for additional information) received warrants (the “Warrants”) to purchase 3,223,851 shares of Altisource common stock (the “Warrant Shares”). The number of Warrant Shares is subject to reduction based on the amount of Aggregate Paydowns as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 Shares</w:t>
            </w:r>
          </w:p>
        </w:tc>
      </w:tr>
      <w:tr>
        <w:trPr>
          <w:trHeight w:val="23"/>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 million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3,223,851</w:t>
            </w:r>
          </w:p>
        </w:tc>
      </w:tr>
      <w:tr>
        <w:trPr>
          <w:trHeight w:val="220"/>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 million+ but less than below</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2,578,743</w:t>
            </w:r>
          </w:p>
        </w:tc>
      </w:tr>
      <w:tr>
        <w:trPr>
          <w:trHeight w:val="23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million+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1,612,705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the Company made $30 million of Aggregate Paydowns. As a result, the number of Warrant Shares as of December 31, 2023 is 1,612,705.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on May 22, 2027. The Warrants are subject to a lock-up agreement, subject to customary exceptions, ending on February 16, 2024.</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Warrants are free standing financial instruments that are legally detachable and separately exercisable from the term loans under the Amended Credit Agreement. At inception, the Warrants were not considered to be indexed to the Company’s stock because the number of Warrant Shares varied based on Aggregate Paydowns. Pursuant to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xml:space="preserve"> the outstanding Warrants were recognized as a warrant liability on the balance sheet based on their inception date fair value and subsequently re-measured at each reporting period with changes recorded as a component of other income (expense) in the statement of operations. On September 18, 2023, the Company reached the $30 million in Aggregate Paydowns threshold and the number of Warrant Shares was no longer variable. As a result, the Warrants are considered to be indexed to the Company’s stock and the Warrant Liability was reclassified to equity.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warrant liability was based on the number of Warrant Shares that were expected to be exercisable on and after February 14, 2024 and the Altisource share price less $0.01 at the measurement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 liability at each of the respective valuation dates is summarized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0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Warrant Shares based on</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Warrant Shares that will be</w:t>
            </w:r>
          </w:p>
        </w:tc>
        <w:tc>
          <w:tcPr>
            <w:tcW w:w="138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220" w:type="dxa"/>
            <w:vAlign w:val="bottom"/>
          </w:tcPr>
          <w:p>
            <w:pPr>
              <w:spacing w:after="0"/>
              <w:rPr>
                <w:sz w:val="13"/>
                <w:szCs w:val="13"/>
                <w:color w:val="auto"/>
              </w:rPr>
            </w:pPr>
          </w:p>
        </w:tc>
        <w:tc>
          <w:tcPr>
            <w:tcW w:w="13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on February 14, 2024</w:t>
            </w:r>
          </w:p>
        </w:tc>
        <w:tc>
          <w:tcPr>
            <w:tcW w:w="138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Warrant Share</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Fair value at initial measurement date of</w:t>
            </w:r>
          </w:p>
        </w:tc>
        <w:tc>
          <w:tcPr>
            <w:tcW w:w="2080" w:type="dxa"/>
            <w:vAlign w:val="bottom"/>
            <w:vMerge w:val="restart"/>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w w:val="99"/>
              </w:rPr>
              <w:t>3,223,851</w:t>
            </w:r>
          </w:p>
        </w:tc>
        <w:tc>
          <w:tcPr>
            <w:tcW w:w="2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1,612,705</w:t>
            </w:r>
          </w:p>
        </w:tc>
        <w:tc>
          <w:tcPr>
            <w:tcW w:w="1380" w:type="dxa"/>
            <w:vAlign w:val="bottom"/>
            <w:vMerge w:val="restart"/>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$5.02</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ind w:left="783"/>
              <w:spacing w:after="0"/>
              <w:rPr>
                <w:sz w:val="20"/>
                <w:szCs w:val="20"/>
                <w:color w:val="auto"/>
              </w:rPr>
            </w:pPr>
            <w:r>
              <w:rPr>
                <w:rFonts w:ascii="Times New Roman" w:cs="Times New Roman" w:eastAsia="Times New Roman" w:hAnsi="Times New Roman"/>
                <w:sz w:val="16"/>
                <w:szCs w:val="16"/>
                <w:color w:val="auto"/>
              </w:rPr>
              <w:t>8,096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14, 2023</w:t>
            </w:r>
          </w:p>
        </w:tc>
        <w:tc>
          <w:tcPr>
            <w:tcW w:w="208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08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763"/>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September 18, 2023</w:t>
            </w:r>
          </w:p>
        </w:tc>
        <w:tc>
          <w:tcPr>
            <w:tcW w:w="2080" w:type="dxa"/>
            <w:vAlign w:val="bottom"/>
            <w:tcBorders>
              <w:bottom w:val="single" w:sz="8" w:color="CCEEFF"/>
            </w:tcBorders>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w w:val="99"/>
              </w:rPr>
              <w:t>1,612,705</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1,612,705</w:t>
            </w:r>
          </w:p>
        </w:tc>
        <w:tc>
          <w:tcPr>
            <w:tcW w:w="138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$4.31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center"/>
              <w:ind w:left="783"/>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gain on changes in fair value of warrant liability of $1.1 million. During the year ended December 31, 2022, there were no warrant liabilities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19,536</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December 31, 2023 and 2022. The following fair values are estimated using market information and what the Company believes to be appropriate valuation methodologies under GAAP:</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Short-term receivable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247,204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SSTL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44% of its revenue from Ocwen for the year ended December 31, 2023 (see Note 3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25"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15 — SHAREHOLDERS’ EQUITY AND SHARE-BASED COMPENSATION Common Stock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100.0 million shares authorized, 30.0 million issued and 26.5 million shares of common stock outstanding. As of December 31, 2022, we had 100.0 million shares authorized, 25.4 million shares issued and 16.1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2009 Equity Incentive Plan (the “Plan”) provides for various types of equity awards, including stock options, stock appreciation rights, stock purchase rights, restricted shares, restricted share units and other awards, or a combination of any of the above. Under the Plan, we may grant up to 8.4 million Altisource share-based awards to officers, directors, employees and to employees of our affiliates. As of December 31, 2023, 1.8 million share-based awards were available for future grant under the Plan. Expired and forfeited awards are available for reissuance.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2023, approximately 3.1 million shares of common stock remain available for repurchase under the program. There were no purchases of shares of common stock during the years ended December 31, 2023 and 2022. Luxembourg law limits share repurchases to the balance of Altisource Portfolio Solutions S.A. (unconsolidated parent company) retained earnings, less the value of shares repurchased. As of December 31, 2023, we can repurchase up to approximately $116 million of our common stock under Luxembourg law. Under the Amended Credit Agreement, we are not permitted to repurchase shares except for limited circumstances.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$5.1 million and $5.1 million for the years ended December 31, 2023 and 2022, respectively. As of December 31, 2023, estimated unrecognized compensation costs related to share-based awards amounted to $2.1 million, which we expect to recognize over a weighted average remaining requisite service period of approximately 1.14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182 thousand service-based options were outstanding as of December 31, 2023.</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December 31, 2023.</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December 31, 2023.</w:t>
      </w:r>
    </w:p>
    <w:p>
      <w:pPr>
        <w:spacing w:after="0" w:line="1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grants during the year ended December 31, 2023. The Company granted 120 thousand stock options (at a weighted average exercise price of $11.86 per share) for the year ended December 31,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 The following assumptions were used to determine the fair values as of the grant date for the year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4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Black-Scholes</w:t>
            </w:r>
          </w:p>
        </w:tc>
      </w:tr>
      <w:tr>
        <w:trPr>
          <w:trHeight w:val="202"/>
        </w:trPr>
        <w:tc>
          <w:tcPr>
            <w:tcW w:w="9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1.62 - 4.20</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67.75 - 67.99</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option life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$7.27 - $7.63</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4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40" w:type="dxa"/>
            <w:vAlign w:val="bottom"/>
          </w:tcPr>
          <w:p>
            <w:pPr>
              <w:jc w:val="center"/>
              <w:ind w:right="124"/>
              <w:spacing w:after="0" w:line="147"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745,277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as of December 31, 2023:</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Exercise price range </w:t>
            </w:r>
            <w:r>
              <w:rPr>
                <w:rFonts w:ascii="Times New Roman" w:cs="Times New Roman" w:eastAsia="Times New Roman" w:hAnsi="Times New Roman"/>
                <w:sz w:val="18"/>
                <w:szCs w:val="18"/>
                <w:b w:val="1"/>
                <w:bCs w:val="1"/>
                <w:color w:val="auto"/>
                <w:vertAlign w:val="superscript"/>
              </w:rPr>
              <w:t>(1)</w:t>
            </w:r>
          </w:p>
        </w:tc>
        <w:tc>
          <w:tcPr>
            <w:tcW w:w="9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4"/>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48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$10.01 — $20.00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$20.01</w:t>
            </w:r>
          </w:p>
        </w:tc>
        <w:tc>
          <w:tcPr>
            <w:tcW w:w="2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$30.00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$30.01</w:t>
            </w:r>
          </w:p>
        </w:tc>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$80.01</w:t>
            </w:r>
          </w:p>
        </w:tc>
        <w:tc>
          <w:tcPr>
            <w:tcW w:w="2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$90.00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86.69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86.69</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$90.01</w:t>
            </w:r>
          </w:p>
        </w:tc>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96.87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739,189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544,951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w w:val="91"/>
              </w:rPr>
              <w:t>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0" w:hanging="154"/>
        <w:spacing w:after="0" w:line="236" w:lineRule="auto"/>
        <w:tabs>
          <w:tab w:leader="none" w:pos="20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These options contain market-based and performance-based components as described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market prices necessary in order for the market-based options to begin to vest:</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Market-based options</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price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1"/>
                <w:szCs w:val="11"/>
                <w:color w:val="auto"/>
              </w:rPr>
            </w:pPr>
          </w:p>
        </w:tc>
        <w:tc>
          <w:tcPr>
            <w:tcW w:w="124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Extraordinary</w:t>
            </w:r>
          </w:p>
        </w:tc>
        <w:tc>
          <w:tcPr>
            <w:tcW w:w="0" w:type="dxa"/>
            <w:vAlign w:val="bottom"/>
          </w:tcPr>
          <w:p>
            <w:pPr>
              <w:spacing w:after="0"/>
              <w:rPr>
                <w:sz w:val="1"/>
                <w:szCs w:val="1"/>
                <w:color w:val="auto"/>
              </w:rPr>
            </w:pPr>
          </w:p>
        </w:tc>
      </w:tr>
      <w:tr>
        <w:trPr>
          <w:trHeight w:val="196"/>
        </w:trPr>
        <w:tc>
          <w:tcPr>
            <w:tcW w:w="81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7"/>
                <w:szCs w:val="17"/>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202"/>
        </w:trPr>
        <w:tc>
          <w:tcPr>
            <w:tcW w:w="480" w:type="dxa"/>
            <w:vAlign w:val="bottom"/>
            <w:tcBorders>
              <w:top w:val="single" w:sz="8" w:color="auto"/>
            </w:tcBorders>
          </w:tcPr>
          <w:p>
            <w:pPr>
              <w:spacing w:after="0"/>
              <w:rPr>
                <w:sz w:val="17"/>
                <w:szCs w:val="17"/>
                <w:color w:val="auto"/>
              </w:rPr>
            </w:pPr>
          </w:p>
        </w:tc>
        <w:tc>
          <w:tcPr>
            <w:tcW w:w="7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$50.01 — $60.00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$60.01</w:t>
            </w: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$70.00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$80.01</w:t>
            </w: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$90.00</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$90.01</w:t>
            </w: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$100.00</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219"/>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$170.01 — $180.00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Over $190.00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31,861</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7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2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 year periods. A total of 884 thousand service-based awards were outstanding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2023.</w:t>
      </w:r>
    </w:p>
    <w:p>
      <w:pPr>
        <w:spacing w:after="0" w:line="10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141 thousand performance-based awards were outstanding as of December 31, 2023.</w:t>
      </w:r>
    </w:p>
    <w:p>
      <w:pPr>
        <w:spacing w:after="0" w:line="12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of these awards generally vest on the one year anniversary of the initial vesting. The Company estimates the grant date fair value of these awards using a lattice (binomial) model. A total of 112 thousand market-based awards were outstanding as of December 31, 2023.</w:t>
      </w:r>
    </w:p>
    <w:p>
      <w:pPr>
        <w:spacing w:after="0" w:line="11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125 thousand performance-based and market-based awards were outstanding as of December 31, 2023.</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891 thousand restricted share units (at a weighted average grant date fair value of $4.82 per share) during the year ended December 31, 2023. These grants include 57 thousand performance-based awards and 57 thousand awards that include both a performance condition and a market condition. The Company granted 501 thousand restricted share units (at a weighted average grant date fair value of $10.33 per share) during the year ended December 31, 2022. These grants include 46 thousand performance-based awards and 46 thousand awards that include both a performance condition and a market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6"/>
        </w:trPr>
        <w:tc>
          <w:tcPr>
            <w:tcW w:w="980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6"/>
        </w:trPr>
        <w:tc>
          <w:tcPr>
            <w:tcW w:w="98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02"/>
        </w:trPr>
        <w:tc>
          <w:tcPr>
            <w:tcW w:w="9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755,006</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890,810</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(227,182)</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(155,892)</w:t>
            </w:r>
          </w:p>
        </w:tc>
      </w:tr>
      <w:tr>
        <w:trPr>
          <w:trHeight w:val="199"/>
        </w:trPr>
        <w:tc>
          <w:tcPr>
            <w:tcW w:w="9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1,262,742</w:t>
            </w:r>
          </w:p>
        </w:tc>
      </w:tr>
      <w:tr>
        <w:trPr>
          <w:trHeight w:val="21"/>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determine the fair values for the awards that include both a performance condition and a market condition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2). Our services are provided to customers located in the United States. The components of revenue were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144,496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8,039</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00"/>
        </w:trPr>
        <w:tc>
          <w:tcPr>
            <w:tcW w:w="4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3"/>
                <w:szCs w:val="13"/>
                <w:color w:val="auto"/>
              </w:rPr>
            </w:pPr>
          </w:p>
        </w:tc>
        <w:tc>
          <w:tcPr>
            <w:tcW w:w="12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4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119,661</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33,459</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John G. Aldridge, Jr., the Managing Partner of Aldridge Pite LLP (“Aldridge Pite”), joined the Board of Directors of Altisource. Aldridge Pite provides eviction and other real estate related services to the Company. The Company recognized less than $0.1 million for both the years ended December 31, 2023 and 2022, of service revenue relating to services provided to Aldridge Pite.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4). Our contract liabilities consist of current deferred revenue and other non-current liabilities as reported on the accompanying consolidated balance sheets. Revenue recognized that was included in the contract liability at the beginning of the period was $3.5 million and $4.2 million for the years ended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48,064</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8,039</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$0.7 million and $0.5 million for the years ended December 31, 2023 and 2022, respectively of reimbursable expenses relating to services provided to Aldridge Pite. As of December 31, 2023, the Company had no payable to Aldridge Pite.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and non-controlling interests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(47,432)</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U.S. 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 state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0" w:type="dxa"/>
            <w:vAlign w:val="bottom"/>
          </w:tcPr>
          <w:p>
            <w:pPr>
              <w:spacing w:after="0"/>
              <w:rPr>
                <w:sz w:val="1"/>
                <w:szCs w:val="1"/>
                <w:color w:val="auto"/>
              </w:rPr>
            </w:pP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 federal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a Uruguay free trade zone that provides an indefinite future tax benefit. The tax holiday is conditioned upon our meeting certain employment and investment thresholds. The impact of these tax holidays decreased foreign taxes by $0.1 million (less than $0.01 per diluted share) and $0.1 million ($0.01 per diluted share) for the years ended December 31, 2023 and 2022,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tax effects of the temporary differences is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481,741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383,908</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federal and state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non-U.S. deferred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loss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non-U.S. deferred tax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0"/>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400,161</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(404,141)</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 net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(3,980)</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when it is deemed more likely than not that some portion or all of a deferred tax asset will not be realized. In determining whether a valuation allowance is needed requires an extensive analysis of positive and negative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Therefore, the Company’s valuation allowance was $501.9 million and $404.1 million as of December 31, 2023 and 2022,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recognize deferred taxes on cumulative earnings of its U.S. subsidiaries because the Company intends for those earnings to be indefinitely reinvested. The other non-Luxembourg earnings that are indefinitely reinvested as of December 31, 2023 were approximately $4.2 million, which if distributed would result in no additional tax due.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a deferred tax asset of $481.7 million as of December 31, 2023 relating to Luxembourg, U.S. federal, state and foreign net operating losses compared to $383.9 million as of December 31, 2022. As of December 31, 2023 and 2022, a valuation allowance of $481.0 million and $383.1 million, respectively, has been established related to Luxembourg net operating loss (“NOL”). The gross amount of net operating losses available for carryover to future years is approximately $1,930.0 million as of December 31, 2023 and approximately $1,537.7 million as of December 31, 2022. These losses are scheduled to expire between the years 2024 and 2043.</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had a deferred tax asset of $0.8 million and $0.8 million as of December 31, 2023 and 2022, respectively, relating to state tax credits. Some of the state tax credit carryforwards have an indefinite carryforward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signed into law on March 27, 2020 allowed the Company to utilize a five year carryback of the full $14.8 million net operating loss generated in the U.S. in 2020. The Company’s income tax receivable related to such carryback was $5.1 million as of December 31, 2022. The Company received the full receivable in the first quarter of 2023.</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Luxembourg statutory tax rate due to tax rate differences on foreign earnings, increases in uncertain tax positions, state taxes, a decrease in unrecognized tax benefits, tax exempt income primarily from the sale of Pointillist and a valuation allowance against deferred tax assets the Company believes it is more likely than not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Luxembourg statutory tax rate to our effective tax rate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5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tax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(186.89)</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(32.14)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tax expense</w:t>
            </w: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(6.80)</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exempt income</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to return</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treasury shares</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3.91</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w:t>
            </w:r>
          </w:p>
        </w:tc>
      </w:tr>
      <w:tr>
        <w:trPr>
          <w:trHeight w:val="199"/>
        </w:trPr>
        <w:tc>
          <w:tcPr>
            <w:tcW w:w="8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(2016 through 2022), India (2011 through 2023) and Luxembourg (2016 through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Luxembourg legal and regulatory requirements, the public offering of common stock and the share-based compensation are issued out of treasury shares. The difference between the cost of the own shares when acquired and when reissued results in tax deductible losses on owned shares of $336.0 million and $7.9 million for the years ended December 31, 2023 and 2022,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unrecognized tax benefits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beginning of the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a prior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a prior period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the current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end of the year</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9,015</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that, if recognized, would affect the effective tax rate is $18.1 million and $16.7 million as of December 31, 2023 and 2022, respectively. The Company recognizes interest, if any, related to unrecognized tax benefits as a component of income tax expense. As of December 31, 2023 and 2022, the Company had recorded accrued interest and penalties related to unrecognized tax benefits of $8.9 million and $7.6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twelve months ended December 31, 2023, 0.5 million penny warrants have been included in the calculation of weighted average basic and diluted loss per share. Diluted net loss per share excludes all dilutive securities because their impact would be anti-dilutive, as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1.6 million and 1.3 million, respectively, stock options, restricted shares and restricted share units were excluded from the computation of loss per share, as a result of the following:</w:t>
      </w:r>
    </w:p>
    <w:p>
      <w:pPr>
        <w:spacing w:after="0" w:line="108" w:lineRule="exact"/>
        <w:rPr>
          <w:sz w:val="20"/>
          <w:szCs w:val="20"/>
          <w:color w:val="auto"/>
        </w:rPr>
      </w:pPr>
    </w:p>
    <w:p>
      <w:pPr>
        <w:ind w:left="660" w:right="2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and 2022, 0.4 million and 0.2 million, respectively, stock options, restricted shares and restricted share units were anti-dilutive and have been excluded from the computation of diluted loss per share because the Company incurred a net loss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0.3 million and 0.2 million, respectively, stock options were anti-dilutive and have been excluded from the computation of diluted loss per share because their exercise price was greater than the average market price of our common stock.</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0.9 million and 0.9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3, during the year ended December 31, 2023, Ocwen was our largest customer, accounting for 44% of our total revenue. Additionally, 6% of our revenue for the year ended December 31, 2023 was earned on the loan portfolios serviced by Ocwen, when a party other than Ocwen or the MSRs owner selected Altisource as the service provider.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has disclosed that Rithm is a significant client of Ocwen’s. As of December 31, 2023, Ocwen reported that approximately 16% of loans serviced and subserviced by Ocwen (measured in UPB) and approximately 67% of all delinquent loans that Ocwen services were related to Rithm MSRs or rights to MSRs.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it purchases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$0.2 million and $0.5 million for the years ended December 31, 2023 and 2022, respectively. The amortization periods of right-of-use assets are generally limited by the expected lease term. Our leases generally have expected lease terms at adoption of one to six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r>
      <w:tr>
        <w:trPr>
          <w:trHeight w:val="21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1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December 31, 2023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7"/>
        </w:trPr>
        <w:tc>
          <w:tcPr>
            <w:tcW w:w="9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9"/>
        </w:trPr>
        <w:tc>
          <w:tcPr>
            <w:tcW w:w="9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1,762</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3,785</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99"/>
        </w:trPr>
        <w:tc>
          <w:tcPr>
            <w:tcW w:w="9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executed no standby letters of credit related to office leases that are secured by restricted cash balances.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Balances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right="440"/>
        <w:spacing w:after="0" w:line="438" w:lineRule="auto"/>
        <w:rPr>
          <w:sz w:val="20"/>
          <w:szCs w:val="20"/>
          <w:color w:val="auto"/>
        </w:rPr>
      </w:pPr>
      <w:r>
        <w:rPr>
          <w:rFonts w:ascii="Times New Roman" w:cs="Times New Roman" w:eastAsia="Times New Roman" w:hAnsi="Times New Roman"/>
          <w:sz w:val="18"/>
          <w:szCs w:val="18"/>
          <w:color w:val="auto"/>
        </w:rPr>
        <w:t xml:space="preserve">consolidated balance sheets. Amounts held in escrow accounts were $21.6 million and $13.2 million as of December 31, 2023 and 2022, respectively. </w:t>
      </w:r>
      <w:r>
        <w:rPr>
          <w:rFonts w:ascii="Times New Roman" w:cs="Times New Roman" w:eastAsia="Times New Roman" w:hAnsi="Times New Roman"/>
          <w:sz w:val="18"/>
          <w:szCs w:val="18"/>
          <w:b w:val="1"/>
          <w:bCs w:val="1"/>
          <w:color w:val="auto"/>
        </w:rPr>
        <w:t>NOTE 23 — SEGMENT REPORTING</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 finance,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human resources, vendor management, facilities, risk management, and eliminations between reportable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73,746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115,414</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29,652</w:t>
            </w: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46,420</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32,099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center"/>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119,661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153,120</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131,305</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21,815</w:t>
            </w: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54,755</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26,456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(14,385)</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3"/>
                <w:szCs w:val="13"/>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195,268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As a result of this assessment, management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December 31, 2023,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right="27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1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104"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2024 annual meeting of shareholders to be filed pursuant to Regulation 14A under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16" w:lineRule="exact"/>
        <w:rPr>
          <w:sz w:val="20"/>
          <w:szCs w:val="20"/>
          <w:color w:val="auto"/>
        </w:rPr>
      </w:pPr>
    </w:p>
    <w:p>
      <w:pPr>
        <w:ind w:left="1220" w:hanging="1194"/>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75" w:lineRule="exact"/>
        <w:rPr>
          <w:sz w:val="20"/>
          <w:szCs w:val="20"/>
          <w:color w:val="auto"/>
        </w:rPr>
      </w:pPr>
    </w:p>
    <w:p>
      <w:pPr>
        <w:ind w:left="1220" w:right="8460" w:hanging="1194"/>
        <w:spacing w:after="0" w:line="328" w:lineRule="auto"/>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 above.</w:t>
      </w:r>
    </w:p>
    <w:p>
      <w:pPr>
        <w:spacing w:after="0" w:line="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78" w:lineRule="exact"/>
        <w:rPr>
          <w:rFonts w:ascii="Times New Roman" w:cs="Times New Roman" w:eastAsia="Times New Roman" w:hAnsi="Times New Roman"/>
          <w:sz w:val="18"/>
          <w:szCs w:val="18"/>
          <w:color w:val="auto"/>
        </w:rPr>
      </w:pPr>
    </w:p>
    <w:p>
      <w:pPr>
        <w:ind w:left="1220" w:right="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are omitted because they are not required or applicable or the required information is included elsewhere in this Annual Report on Form 10-K.</w:t>
      </w:r>
    </w:p>
    <w:p>
      <w:pPr>
        <w:spacing w:after="0" w:line="6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220" w:type="dxa"/>
            <w:vAlign w:val="bottom"/>
            <w:gridSpan w:val="2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20" w:type="dxa"/>
            <w:vAlign w:val="bottom"/>
            <w:tcBorders>
              <w:top w:val="single" w:sz="8" w:color="auto"/>
            </w:tcBorders>
            <w:gridSpan w:val="2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Separation Agreement between Altisource Portfolio Solutions S.A. and Ocwen Financial Corporation (incorporated by reference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4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to Exhibit 2.1 of the Registrant’s Form 10-12B/A — Amendment No. 1 to Form 10 as filed with the Commission on June 29, 2009)</w:t>
              </w:r>
            </w:hyperlink>
          </w:p>
        </w:tc>
        <w:tc>
          <w:tcPr>
            <w:tcW w:w="6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Purchase and Sale Agreement, dated as of March 29, 2013, by and among Altisource Portfolio Solutions, Inc., Altisource Solutions S.à</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r.l., Ocwen Financial Corporation, Homeward Residential, Inc. and Power Valuation Services, Inc.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Form 8-K filed on April 4, 2013)</w:t>
              </w:r>
            </w:hyperlink>
          </w:p>
        </w:tc>
        <w:tc>
          <w:tcPr>
            <w:tcW w:w="61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Purchase and Sale Agreement, dated as of August 19, 2013, by and among Altisource Portfolio Solutions S.A., Altisource Solutions S.à</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r.l. and the Equity Interestholders of Equator, LLC (incorporated by reference to Exhibit 2.1 to the Company’s Form 8-K filed on August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21, 2013)</w:t>
              </w:r>
            </w:hyperlink>
          </w:p>
        </w:tc>
        <w:tc>
          <w:tcPr>
            <w:tcW w:w="5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5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Stock Purchase Agreement dated as of October 6, 2021 by and among Genesys Cloud Services, Inc., Altisource S.à r.l., Pointillist, Inc,.</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and other holders of the outstanding capital stock of Pointillist, Inc. (incorporated by reference to Exhibit 2.1 to the Company’s Form 8-K</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filed on October 7, 2021)</w:t>
              </w:r>
            </w:hyperlink>
          </w:p>
        </w:tc>
        <w:tc>
          <w:tcPr>
            <w:tcW w:w="81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Articles of Incorporation of Altisource Portfolio Solutions S.A. (incorporated by reference to Exhibit 3.1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Company’s Form 10-Q filed on August 9,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Description of Securities</w:t>
              </w:r>
            </w:hyperlink>
          </w:p>
        </w:tc>
        <w:tc>
          <w:tcPr>
            <w:tcW w:w="67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Warrant issued February 14, 2023 (incorporated by reference to Exhibit 10.1 to the Company’s Form 8-K filed on February 21,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114">
              <w:r>
                <w:rPr>
                  <w:rFonts w:ascii="Times New Roman" w:cs="Times New Roman" w:eastAsia="Times New Roman" w:hAnsi="Times New Roman"/>
                  <w:sz w:val="18"/>
                  <w:szCs w:val="18"/>
                  <w:color w:val="0000FF"/>
                  <w:w w:val="90"/>
                </w:rPr>
                <w:t>2023)</w:t>
              </w:r>
            </w:hyperlink>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5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Separation Agreement, dated as of August 10, 2009, by and between Altisource Portfolio Solutions S.A. and Ocwen Financial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Corporation (incorporated by reference to Exhibit 10.1 of the Registrant’s Current Report on Form 8-K as filed with the Commission on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August 13, 2009)</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7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Tax Matters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(incorporated by reference to Exhibit 10.2 of the Registrant’s Current Report on Form 8-K as filed with the Commission on August 13,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16">
              <w:r>
                <w:rPr>
                  <w:rFonts w:ascii="Times New Roman" w:cs="Times New Roman" w:eastAsia="Times New Roman" w:hAnsi="Times New Roman"/>
                  <w:sz w:val="18"/>
                  <w:szCs w:val="18"/>
                  <w:color w:val="0000FF"/>
                  <w:w w:val="95"/>
                </w:rPr>
                <w:t>2009)</w:t>
              </w:r>
            </w:hyperlink>
          </w:p>
        </w:tc>
        <w:tc>
          <w:tcPr>
            <w:tcW w:w="2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5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Transition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Corporation (incorporated by reference to Exhibit 10.3 of the Registrant’s Current Report on Form 8-K as filed with the Commission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August 13, 2009)</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Employee Matters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Corporation (incorporated by reference to Exhibit 10.4 of the Registrant’s Current Report on Form 8-K as filed with the Commission on</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August 13, 2009)</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Technology Products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Corporation (incorporated by reference to Exhibit 10.5 of the Registrant’s Current Report on Form 8-K as filed with the Commission on</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August 13, 2009)</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gridSpan w:val="4"/>
          </w:tcPr>
          <w:p>
            <w:pPr>
              <w:ind w:left="20"/>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3"/>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Services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(incorporated by reference to Exhibit 10.6 of the Registrant’s Current Report on Form 8-K as filed with the Commission on August 13,</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20">
              <w:r>
                <w:rPr>
                  <w:rFonts w:ascii="Times New Roman" w:cs="Times New Roman" w:eastAsia="Times New Roman" w:hAnsi="Times New Roman"/>
                  <w:sz w:val="18"/>
                  <w:szCs w:val="18"/>
                  <w:color w:val="0000FF"/>
                  <w:w w:val="95"/>
                </w:rPr>
                <w:t>2009)</w:t>
              </w:r>
            </w:hyperlink>
          </w:p>
        </w:tc>
        <w:tc>
          <w:tcPr>
            <w:tcW w:w="2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5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100" w:type="dxa"/>
            <w:vAlign w:val="bottom"/>
            <w:gridSpan w:val="4"/>
          </w:tcPr>
          <w:p>
            <w:pPr>
              <w:ind w:left="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10.7</w:t>
              </w:r>
            </w:hyperlink>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20" w:type="dxa"/>
            <w:vAlign w:val="bottom"/>
            <w:gridSpan w:val="23"/>
          </w:tcPr>
          <w:p>
            <w:pPr>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Data Center and Disaster Recovery Services Agreement, dated as of August 10, 2009, by and between Altisource Solutions S.à r.l. and</w:t>
              </w:r>
            </w:hyperlink>
          </w:p>
        </w:tc>
        <w:tc>
          <w:tcPr>
            <w:tcW w:w="0" w:type="dxa"/>
            <w:vAlign w:val="bottom"/>
          </w:tcPr>
          <w:p>
            <w:pPr>
              <w:spacing w:after="0"/>
              <w:rPr>
                <w:sz w:val="1"/>
                <w:szCs w:val="1"/>
                <w:color w:val="auto"/>
              </w:rPr>
            </w:pPr>
          </w:p>
        </w:tc>
      </w:tr>
    </w:tbl>
    <w:p>
      <w:pPr>
        <w:ind w:left="1220" w:right="40"/>
        <w:spacing w:after="0" w:line="233"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Ocwen Financial Corporation (incorporated by reference to Exhibit 10.7 of the Registrant’s Current Report on Form 8-K as filed with the</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Commission on August 13, 2009)</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Intellectual Property Agreement, dated as of August 10, 2009, by and between Altisource Solutions S.à r.l. and Ocwen Financial</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Corporation (incorporated by reference to Exhibit 10.8 of the Registrant’s Current Report on Form 8-K as filed with the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August 13, 2009)</w:t>
              </w:r>
            </w:hyperlink>
          </w:p>
        </w:tc>
        <w:tc>
          <w:tcPr>
            <w:tcW w:w="890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Contract between Altisource Solutions S.à r.l. and William B. Shepro (incorporated by reference from Exhibit 10.9 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29, 2009)</w:t>
              </w:r>
            </w:hyperlink>
          </w:p>
        </w:tc>
        <w:tc>
          <w:tcPr>
            <w:tcW w:w="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Employment Contract between Altisource Solutions S.à r.l. and Kevin J. Wilcox (incorporated by reference from Exhibit 10.11 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29, 2009)</w:t>
              </w:r>
            </w:hyperlink>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780" w:type="dxa"/>
            <w:vAlign w:val="bottom"/>
          </w:tcPr>
          <w:p>
            <w:pPr>
              <w:spacing w:after="0"/>
              <w:rPr>
                <w:sz w:val="22"/>
                <w:szCs w:val="22"/>
                <w:color w:val="auto"/>
              </w:rPr>
            </w:pP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Purchase and Sale Agreement, dated as of February 12, 2010, by and among Altisource Portfolio Solutions S.A., and the Equity Interest</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Holders of The Mortgage Partnership of America, L.L.C. and the Management Owners (incorporated by reference to Exhibit 10.12 of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8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Company’s 10-K as filed with the Commission on March 17, 2010)</w:t>
              </w:r>
            </w:hyperlink>
          </w:p>
        </w:tc>
        <w:tc>
          <w:tcPr>
            <w:tcW w:w="516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Put Option Agreements (incorporated by reference to Exhibit 10.13 of the Company’s 10-K as filed with the Commission on</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March 17, 2010)</w:t>
              </w:r>
            </w:hyperlink>
          </w:p>
        </w:tc>
        <w:tc>
          <w:tcPr>
            <w:tcW w:w="89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2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Non-qualified Stock Option Agreement, pursuant to the 2009 Equity Incentive Plan (incorporated by reference to Exhibit 10.14</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of the Company’s 10-K as filed with the Commission on February 18,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gridSpan w:val="5"/>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First Amendment to the Transition Services Agreement, dated as of August 10, 2011, by and between Ocwen Financial Corporation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Altisource Solutions S.à r.l. (incorporated by reference to Exhibit 10.1 of the Company’s Form 8-K as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August 16, 2011)</w:t>
              </w:r>
            </w:hyperlink>
          </w:p>
        </w:tc>
        <w:tc>
          <w:tcPr>
            <w:tcW w:w="886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Support Services Agreement, dated as of August 10, 2012, by and between Ocwen Mortgage Servicing, Inc. and Altisource Solutions S.à</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r.l. (incorporated by reference to Exhibit 10.1 of the Company’s Form 8-K filed on August 16, 2012)</w:t>
              </w:r>
            </w:hyperlink>
          </w:p>
        </w:tc>
        <w:tc>
          <w:tcPr>
            <w:tcW w:w="27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2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First Amendment to the Employment Contract dated as of August 15, 2012 between Altisource Solutions S.à r.l. and William B. Shepro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10.1 of the Company’s Form 8-K filed on August 20, 2012)</w:t>
              </w:r>
            </w:hyperlink>
          </w:p>
        </w:tc>
        <w:tc>
          <w:tcPr>
            <w:tcW w:w="3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20" w:type="dxa"/>
            <w:vAlign w:val="bottom"/>
          </w:tcPr>
          <w:p>
            <w:pPr>
              <w:spacing w:after="0"/>
              <w:rPr>
                <w:sz w:val="24"/>
                <w:szCs w:val="24"/>
                <w:color w:val="auto"/>
              </w:rPr>
            </w:pPr>
          </w:p>
        </w:tc>
        <w:tc>
          <w:tcPr>
            <w:tcW w:w="1200" w:type="dxa"/>
            <w:vAlign w:val="bottom"/>
            <w:gridSpan w:val="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1036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First Amendment to the Employment Contract dated as of August 15, 2012 between Altisource Solutions S.à r.l. and Kevin J. Wilcox</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(incorporated by reference to Exhibit 10.2 of the Company’s Form 8-K filed on August 20, 2012)</w:t>
              </w:r>
            </w:hyperlink>
          </w:p>
        </w:tc>
        <w:tc>
          <w:tcPr>
            <w:tcW w:w="33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Services Agreement, dated as of October 1, 2012, by and between Ocwen Mortgage Servicing, Inc. and Altisource Solutions S.à r.l.</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10.1 of the Company’s Form 8-K filed on October 5, 2012)</w:t>
              </w:r>
            </w:hyperlink>
          </w:p>
        </w:tc>
        <w:tc>
          <w:tcPr>
            <w:tcW w:w="60" w:type="dxa"/>
            <w:vAlign w:val="bottom"/>
            <w:gridSpan w:val="3"/>
          </w:tcPr>
          <w:p>
            <w:pPr>
              <w:spacing w:after="0"/>
              <w:rPr>
                <w:sz w:val="13"/>
                <w:szCs w:val="13"/>
                <w:color w:val="auto"/>
              </w:rPr>
            </w:pPr>
          </w:p>
        </w:tc>
      </w:tr>
      <w:tr>
        <w:trPr>
          <w:trHeight w:val="20"/>
        </w:trPr>
        <w:tc>
          <w:tcPr>
            <w:tcW w:w="1220" w:type="dxa"/>
            <w:vAlign w:val="bottom"/>
            <w:gridSpan w:val="5"/>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40" w:type="dxa"/>
            <w:vAlign w:val="bottom"/>
            <w:gridSpan w:val="8"/>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Technology Products Services Agreement, dated as of October 1, 2012, by and between Ocwen Mortgage Servicing, Inc. and Altisource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Solutions S.à r.l. (incorporated by reference to Exhibit 10.2 of the Company’s Form 8-K filed on October 5, 2012)</w:t>
              </w:r>
            </w:hyperlink>
          </w:p>
        </w:tc>
        <w:tc>
          <w:tcPr>
            <w:tcW w:w="2040" w:type="dxa"/>
            <w:vAlign w:val="bottom"/>
            <w:tcBorders>
              <w:top w:val="single" w:sz="8" w:color="0000FF"/>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Data Center and Disaster Recovery Agreement, dated as of October 1, 2012, by and between Ocwen Mortgage Servicing, Inc.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Altisource Solutions S.à r.l. (incorporated by reference to Exhibit 10.3 of the Company’s Form 8-K filed on October 5, 2012)</w:t>
              </w:r>
            </w:hyperlink>
          </w:p>
        </w:tc>
        <w:tc>
          <w:tcPr>
            <w:tcW w:w="1220" w:type="dxa"/>
            <w:vAlign w:val="bottom"/>
            <w:tcBorders>
              <w:top w:val="single" w:sz="8" w:color="0000FF"/>
            </w:tcBorders>
            <w:gridSpan w:val="1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Intellectual Property Agreement, dated as of October 1, 2012, by and between Ocwen Mortgage Servicing, Inc. and Altisource Solutions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S.à r.l. (incorporated by reference to Exhibit 10.4 of the Company’s Form 8-K filed on October 5, 2012)</w:t>
              </w:r>
            </w:hyperlink>
          </w:p>
        </w:tc>
        <w:tc>
          <w:tcPr>
            <w:tcW w:w="258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Support Services Agreement, dated as of October 1, 2012, by and between Ocwen Mortgage Servicing, Inc.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Altisource Solutions S.à r.l. (incorporated by reference to Exhibit 10.5 of the Company’s Form 8-K filed on October 5, 2012)</w:t>
              </w:r>
            </w:hyperlink>
          </w:p>
        </w:tc>
        <w:tc>
          <w:tcPr>
            <w:tcW w:w="94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First Amendment to Services Agreement, dated as of October 1, 2012, by and between Ocwen Financial Corporation and Altisource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Solutions S.à r.l. (incorporated by reference to Exhibit 10.6 of the Company’s Form 8-K filed on October 5, 2012)</w:t>
              </w:r>
            </w:hyperlink>
          </w:p>
        </w:tc>
        <w:tc>
          <w:tcPr>
            <w:tcW w:w="19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77"/>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Technology Products and Services Agreement, dated as of October 1, 2012, by and between Ocwen Financial</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Corporation and Altisource Solutions S.à r.l. (incorporated by reference to Exhibit 10.7 of the Company’s Form 8-K filed on October 5,</w:t>
              </w:r>
            </w:hyperlink>
          </w:p>
        </w:tc>
        <w:tc>
          <w:tcPr>
            <w:tcW w:w="40" w:type="dxa"/>
            <w:vAlign w:val="bottom"/>
            <w:gridSpan w:val="2"/>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2012)</w:t>
              </w:r>
            </w:hyperlink>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20" w:type="dxa"/>
            <w:vAlign w:val="bottom"/>
            <w:gridSpan w:val="5"/>
          </w:tcPr>
          <w:p>
            <w:pPr>
              <w:ind w:left="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10360" w:type="dxa"/>
            <w:vAlign w:val="bottom"/>
            <w:gridSpan w:val="3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Data Center and Disaster Recovery Agreement, dated as of October 1, 2012, by and between Ocwen Financial</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Corporation and Altisource Solutions S.à r.l. (incorporated by reference to Exhibit 10.8 of the Company’s Form 8-K filed on October 5,</w:t>
              </w:r>
            </w:hyperlink>
          </w:p>
        </w:tc>
        <w:tc>
          <w:tcPr>
            <w:tcW w:w="360" w:type="dxa"/>
            <w:vAlign w:val="bottom"/>
            <w:gridSpan w:val="18"/>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2012)</w:t>
              </w:r>
            </w:hyperlink>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6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760" w:type="dxa"/>
            <w:vAlign w:val="bottom"/>
          </w:tcPr>
          <w:p>
            <w:pPr>
              <w:spacing w:after="0"/>
              <w:rPr>
                <w:sz w:val="17"/>
                <w:szCs w:val="17"/>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First Amendment to Intellectual Property Agreement, dated as of October 1, 2012, by and between Ocwen Financial Corporation and</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Altisource Solutions S.à r.l. (incorporated by reference to Exhibit 10.9 of the Company’s Form 8-K filed on October 5, 2012)</w:t>
              </w:r>
            </w:hyperlink>
          </w:p>
        </w:tc>
        <w:tc>
          <w:tcPr>
            <w:tcW w:w="11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Support Services Agreement, dated as of December 21, 2012, between Altisource Residential Corporation and Altisource Solutions S.à</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r.l. (incorporated by reference to Exhibit 10.1 of the Company’s Form 8-K filed on December 28, 2012)</w:t>
              </w:r>
            </w:hyperlink>
          </w:p>
        </w:tc>
        <w:tc>
          <w:tcPr>
            <w:tcW w:w="26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Support Services Agreement, dated as of December 21, 2012, between Altisource Asset Management Corporation and Altisource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Solutions S.à r.l. (incorporated by reference to Exhibit 10.2 of the Company’s Form 8-K filed on December 28, 2012)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Tax Matters Agreement, dated as of December 21, 2012, between Altisource Residential Corporation and Altisource Solutions S.à r.l.</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(incorporated by reference to Exhibit 10.3 of the Company’s Form 8-K filed on December 28, 2012)</w:t>
              </w:r>
            </w:hyperlink>
          </w:p>
        </w:tc>
        <w:tc>
          <w:tcPr>
            <w:tcW w:w="30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Tax Matters Agreement, dated as of December 21, 2012, between Altisource Asset Management Corporation and Altisource Solutions S.à</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r.l. (incorporated by reference to Exhibit 10.4 of the Company’s Form 8-K filed on December 28, 2012)</w:t>
              </w:r>
            </w:hyperlink>
          </w:p>
        </w:tc>
        <w:tc>
          <w:tcPr>
            <w:tcW w:w="25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Master Services Agreement, dated as of December 21, 2012, between Altisource Residential Corporation and Altisource Solutions S.à r.l.</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(incorporated by reference to Exhibit 10.5 of the Company’s Form 8-K filed on December 28, 2012)</w:t>
              </w:r>
            </w:hyperlink>
          </w:p>
        </w:tc>
        <w:tc>
          <w:tcPr>
            <w:tcW w:w="28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32</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Trademark License Agreement, dated as of December 21, 2012, between Altisource Asset Management Corporation and Altisource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Solutions S.à r.l. (incorporated by reference to Exhibit 10.7 of the Company’s Form 8-K filed on December 28, 2012)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33</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Technology Products Services Agreement, between Altisource Asset Management Corporation and Altisource Solutions S.à r.l.</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(incorporated by reference to Exhibit 10.8 of the Company’s Form 8-K filed on December 28, 2012)</w:t>
              </w:r>
            </w:hyperlink>
          </w:p>
        </w:tc>
        <w:tc>
          <w:tcPr>
            <w:tcW w:w="284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34</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Amendment to Services Agreement, dated as of March 29, 2013, by and between Ocwen Financial Corporation and Altisource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Solutions S.à r.l. (incorporated by reference to Exhibit 10.1 of the Company’s Form 8-K filed on April 4, 2013)</w:t>
              </w:r>
            </w:hyperlink>
          </w:p>
        </w:tc>
        <w:tc>
          <w:tcPr>
            <w:tcW w:w="21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35</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Amendment to Technology Products Services Agreement, dated as of March 29, 2013, by and between Ocwen Financial</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Corporation and Altisource Solutions S.à r.l. (incorporated by reference to Exhibit 10.2 of the Company’s Form 8-K filed on April 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2013)</w:t>
              </w:r>
            </w:hyperlink>
          </w:p>
        </w:tc>
        <w:tc>
          <w:tcPr>
            <w:tcW w:w="620" w:type="dxa"/>
            <w:vAlign w:val="bottom"/>
            <w:tcBorders>
              <w:top w:val="single" w:sz="8" w:color="0000FF"/>
            </w:tcBorders>
          </w:tcPr>
          <w:p>
            <w:pPr>
              <w:spacing w:after="0"/>
              <w:rPr>
                <w:sz w:val="14"/>
                <w:szCs w:val="14"/>
                <w:color w:val="auto"/>
              </w:rPr>
            </w:pPr>
          </w:p>
        </w:tc>
        <w:tc>
          <w:tcPr>
            <w:tcW w:w="6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760" w:type="dxa"/>
            <w:vAlign w:val="bottom"/>
          </w:tcPr>
          <w:p>
            <w:pPr>
              <w:spacing w:after="0"/>
              <w:rPr>
                <w:sz w:val="22"/>
                <w:szCs w:val="22"/>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Amendment to Data Center and Disaster Recovery Services Agreement, dated as of March 29, 2013, by and between Ocwen</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Financial Corporation and Altisource Solutions S.à r.l. (incorporated by reference to Exhibit 10.3 of the Company’s Form 8-K filed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April 4, 2013)</w:t>
              </w:r>
            </w:hyperlink>
          </w:p>
        </w:tc>
        <w:tc>
          <w:tcPr>
            <w:tcW w:w="918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37</w:t>
              </w:r>
            </w:hyperlink>
          </w:p>
        </w:tc>
        <w:tc>
          <w:tcPr>
            <w:tcW w:w="760" w:type="dxa"/>
            <w:vAlign w:val="bottom"/>
          </w:tcPr>
          <w:p>
            <w:pPr>
              <w:spacing w:after="0"/>
              <w:rPr>
                <w:sz w:val="22"/>
                <w:szCs w:val="22"/>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Second Amendment to Intellectual Property Agreement, dated as of March 29, 2013, by and between Ocwen Financial Corporation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Altisource Solutions S.à r.l. (incorporated by reference to Exhibit 10.4 of the Company’s Form 8-K filed on April 4, 2013)</w:t>
              </w:r>
            </w:hyperlink>
          </w:p>
        </w:tc>
        <w:tc>
          <w:tcPr>
            <w:tcW w:w="1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38</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Amendment to Services Agreement, dated as of March 29, 2013, by and between Ocwen Mortgage Servicing, Inc. and Altisource</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Solutions S.à r.l. (incorporated by reference to Exhibit 10.5 of the Company’s Form 8-K filed on April 4, 2013)</w:t>
              </w:r>
            </w:hyperlink>
          </w:p>
        </w:tc>
        <w:tc>
          <w:tcPr>
            <w:tcW w:w="22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39</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Technology Products Services Agreement, dated as of March 29, 2013, by and between Ocwen Mortgage Servicing,</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4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Inc. and Altisource Solutions S.à r.l. (incorporated by reference to Exhibit 10.6 of the Company’s Form 8-K filed on April 4, 2013)</w:t>
              </w:r>
            </w:hyperlink>
          </w:p>
        </w:tc>
        <w:tc>
          <w:tcPr>
            <w:tcW w:w="76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40</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Data Center and Disaster Recovery Services Agreement, dated as of March 29, 2013, by and between Ocwen</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Mortgage Servicing, Inc. and Altisource Solutions S.à r.l. (incorporated by reference to Exhibit 10.7 of the Company’s Form 8-K filed on</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April 4, 2013)</w:t>
              </w:r>
            </w:hyperlink>
          </w:p>
        </w:tc>
        <w:tc>
          <w:tcPr>
            <w:tcW w:w="91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41</w:t>
              </w:r>
            </w:hyperlink>
          </w:p>
        </w:tc>
        <w:tc>
          <w:tcPr>
            <w:tcW w:w="760" w:type="dxa"/>
            <w:vAlign w:val="bottom"/>
          </w:tcPr>
          <w:p>
            <w:pPr>
              <w:spacing w:after="0"/>
              <w:rPr>
                <w:sz w:val="22"/>
                <w:szCs w:val="22"/>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First Amendment to Intellectual Property Agreement, dated as of March 29, 2013, by and between Ocwen Mortgage Servicing, Inc.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Altisource Solutions S.à r.l. (incorporated by reference to Exhibit 10.8 of the Company’s Form 8-K filed on April 4, 2013)</w:t>
              </w:r>
            </w:hyperlink>
          </w:p>
        </w:tc>
        <w:tc>
          <w:tcPr>
            <w:tcW w:w="1160" w:type="dxa"/>
            <w:vAlign w:val="bottom"/>
            <w:tcBorders>
              <w:top w:val="single" w:sz="8" w:color="0000FF"/>
            </w:tcBorders>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42</w:t>
              </w:r>
            </w:hyperlink>
          </w:p>
        </w:tc>
        <w:tc>
          <w:tcPr>
            <w:tcW w:w="760" w:type="dxa"/>
            <w:vAlign w:val="bottom"/>
          </w:tcPr>
          <w:p>
            <w:pPr>
              <w:spacing w:after="0"/>
              <w:rPr>
                <w:sz w:val="24"/>
                <w:szCs w:val="24"/>
                <w:color w:val="auto"/>
              </w:rPr>
            </w:pPr>
          </w:p>
        </w:tc>
        <w:tc>
          <w:tcPr>
            <w:tcW w:w="10280" w:type="dxa"/>
            <w:vAlign w:val="bottom"/>
            <w:gridSpan w:val="2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Agreement, dated as of April 12, 2013, by and among Altisource Solutions S.à r.l., Ocwen Financial Corporation and Ocwen Mortgage</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9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Servicing, Inc. (incorporated by reference to Exhibit 10.1 of the Company’s Form 8-K filed on April 18, 2013)</w:t>
              </w:r>
            </w:hyperlink>
          </w:p>
        </w:tc>
        <w:tc>
          <w:tcPr>
            <w:tcW w:w="21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43</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2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Cash Retention Award Agreement (incorporated by reference to Exhibit 10.1 of the Company’s Form 8-K filed on April 21,</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160">
              <w:r>
                <w:rPr>
                  <w:rFonts w:ascii="Times New Roman" w:cs="Times New Roman" w:eastAsia="Times New Roman" w:hAnsi="Times New Roman"/>
                  <w:sz w:val="18"/>
                  <w:szCs w:val="18"/>
                  <w:color w:val="0000FF"/>
                  <w:w w:val="90"/>
                </w:rPr>
                <w:t>2015)</w:t>
              </w:r>
            </w:hyperlink>
          </w:p>
        </w:tc>
        <w:tc>
          <w:tcPr>
            <w:tcW w:w="620" w:type="dxa"/>
            <w:vAlign w:val="bottom"/>
            <w:tcBorders>
              <w:top w:val="single" w:sz="8" w:color="0000FF"/>
            </w:tcBorders>
          </w:tcPr>
          <w:p>
            <w:pPr>
              <w:spacing w:after="0"/>
              <w:rPr>
                <w:sz w:val="13"/>
                <w:szCs w:val="13"/>
                <w:color w:val="auto"/>
              </w:rPr>
            </w:pPr>
          </w:p>
        </w:tc>
        <w:tc>
          <w:tcPr>
            <w:tcW w:w="6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44</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Non-Qualified Stock Option Award Agreement (incorporated by reference to Exhibit 10.3 of the Company’s Form 10-Q filed on</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July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45</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Employment Agreement effective as of October 1, 2014 between Altisource Solutions S.à r.l. and Gregory J. Ritts</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10.63 of the Company’s Form 10-K filed on March 15,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Non-Qualified Stock Option Award Agreement between the Company and Gregory J. Ritts dated as of August 29, 2016 (incorporated by</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to Exhibit 10.1 of the Company’s Form 10-Q filed on October 27,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47</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Director Restricted Share Award Agreement (incorporated by reference to Exhibit 10.1 of the Company’s Form 8-K filed on</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August 24,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48</w:t>
              </w:r>
            </w:hyperlink>
          </w:p>
        </w:tc>
        <w:tc>
          <w:tcPr>
            <w:tcW w:w="760" w:type="dxa"/>
            <w:vAlign w:val="bottom"/>
          </w:tcPr>
          <w:p>
            <w:pPr>
              <w:spacing w:after="0"/>
              <w:rPr>
                <w:sz w:val="24"/>
                <w:szCs w:val="24"/>
                <w:color w:val="auto"/>
              </w:rPr>
            </w:pP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and Waiver Agreement dated September 30, 2016 between Altisource Solutions S.à r.l. and Altisource Residential</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Corporation (incorporated by reference to Exhibit 10.1 of the Company’s Form 8-K filed on October 3,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49</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Non-Qualified Stock Option Award Agreement (2017 Performance-Based Stock Options)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Company’s Form 8-K filed on April 13,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50</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Non-Qualified Stock Option Award Agreement (Service Revenue Stock Options) (incorporated by reference to Exhibit 10.2 of</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the Company’s Form 8-K filed on April 13, 2017)</w:t>
              </w:r>
            </w:hyperlink>
          </w:p>
        </w:tc>
        <w:tc>
          <w:tcPr>
            <w:tcW w:w="65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51</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Restricted Stock Award Agreement (2017 Performance-Based Restricted Shares) (incorporated by reference to Exhibit 10.3 of</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the Company’s Form 8-K filed on April 13, 2017)</w:t>
              </w:r>
            </w:hyperlink>
          </w:p>
        </w:tc>
        <w:tc>
          <w:tcPr>
            <w:tcW w:w="65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52</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Restricted Stock Award Agreement (Service-Based Restricted Shares) (incorporated by reference to Exhibit 10.4 of the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Company’s Form 8-K filed on April 13, 2017)</w:t>
              </w:r>
            </w:hyperlink>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53</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Cooperative Brokerage Agreement, dated as of August 28, 2017, between REALHome Services and Solutions, Inc., REALHome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Services and Solutions - CT, Inc. and New Residential Sales Corp. (incorporated by reference to Exhibit 10.8 of the Company’s Form 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Q filed on October 26, 2017)</w:t>
              </w:r>
            </w:hyperlink>
          </w:p>
        </w:tc>
        <w:tc>
          <w:tcPr>
            <w:tcW w:w="8040" w:type="dxa"/>
            <w:vAlign w:val="bottom"/>
            <w:tcBorders>
              <w:top w:val="single" w:sz="8" w:color="0000FF"/>
            </w:tcBorders>
            <w:gridSpan w:val="2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54</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Letter Agreement, dated as of August 28, 2017, between New Residential Investment Corp., New Residential Mortgage LLC,</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REALHome Services and Solutions, Inc., REALHome Services and Solutions - CT, Inc. and Altisource Solutions S.à r.l.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9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reference to Exhibit 10.9 of the Company’s Form 10-Q filed on October 26, 2017)</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55</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First Amendment to the Cooperative Brokerage Agreement, dated as of November 16, 2017, between REALHome Services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71</w:t>
              </w:r>
              <w:r>
                <w:rPr>
                  <w:rFonts w:ascii="Times New Roman" w:cs="Times New Roman" w:eastAsia="Times New Roman" w:hAnsi="Times New Roman"/>
                  <w:sz w:val="18"/>
                  <w:szCs w:val="18"/>
                  <w:color w:val="0000FF"/>
                  <w:w w:val="99"/>
                </w:rPr>
                <w:t xml:space="preserve"> of the Company’s Form 10-K filed on February 22, 2018)</w:t>
              </w:r>
            </w:hyperlink>
          </w:p>
        </w:tc>
        <w:tc>
          <w:tcPr>
            <w:tcW w:w="540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Amendment to the Cooperative Brokerage Agreement, dated as of January 18, 2018, between REALHome Services and</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72</w:t>
              </w:r>
              <w:r>
                <w:rPr>
                  <w:rFonts w:ascii="Times New Roman" w:cs="Times New Roman" w:eastAsia="Times New Roman" w:hAnsi="Times New Roman"/>
                  <w:sz w:val="18"/>
                  <w:szCs w:val="18"/>
                  <w:color w:val="0000FF"/>
                  <w:w w:val="99"/>
                </w:rPr>
                <w:t xml:space="preserve"> of the Company’s Form 10-K filed on February 22, 2018)</w:t>
              </w:r>
            </w:hyperlink>
          </w:p>
        </w:tc>
        <w:tc>
          <w:tcPr>
            <w:tcW w:w="540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57</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Third Amendment to the Cooperative Brokerage Agreement, dated as of March 23, 2018, between REALHome Services and Solutions,</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 REALHome Services and Solutions - CT, Inc. and New Residential Sales Corp. (incorporated by reference to Exhibit 10.1 of the</w:t>
              </w:r>
            </w:hyperlink>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Company’s Form 10-Q filed on April 26, 2018)</w:t>
              </w:r>
            </w:hyperlink>
          </w:p>
        </w:tc>
        <w:tc>
          <w:tcPr>
            <w:tcW w:w="680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04"/>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58</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Non-Qualified Stock Option Award Agreement (2018 Performance-Based Stock Options)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the Company’s Form 10-Q filed on April 26, 2018)</w:t>
              </w:r>
            </w:hyperlink>
          </w:p>
        </w:tc>
        <w:tc>
          <w:tcPr>
            <w:tcW w:w="590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59</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Restricted Share Unit Award Agreement (2018 Service-Based Restricted Share Units) (incorporated by reference to Exhibit 10.3</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of the Company’s Form 10-Q filed on April 26, 2018)</w:t>
              </w:r>
            </w:hyperlink>
          </w:p>
        </w:tc>
        <w:tc>
          <w:tcPr>
            <w:tcW w:w="64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60</w:t>
              </w:r>
            </w:hyperlink>
          </w:p>
        </w:tc>
        <w:tc>
          <w:tcPr>
            <w:tcW w:w="760" w:type="dxa"/>
            <w:vAlign w:val="bottom"/>
          </w:tcPr>
          <w:p>
            <w:pPr>
              <w:spacing w:after="0"/>
              <w:rPr>
                <w:sz w:val="24"/>
                <w:szCs w:val="24"/>
                <w:color w:val="auto"/>
              </w:rPr>
            </w:pP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Credit Agreement, dated April 3, 2018 among Altisource S.à r.l. and Altisource Portfolio Solutions S.A., Morgan Stanley Senior Funding,</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 as Administrative Agent and Collateral Agent, and the Lenders party thereto (incorporated by reference to Exhibit 10.1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Company’s Form 8-K filed on April 4, 2018)</w:t>
              </w:r>
            </w:hyperlink>
          </w:p>
        </w:tc>
        <w:tc>
          <w:tcPr>
            <w:tcW w:w="7000" w:type="dxa"/>
            <w:vAlign w:val="bottom"/>
            <w:gridSpan w:val="27"/>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4"/>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61</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gridSpan w:val="3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Non-Qualified Stock Option Award Agreement (2018 Performance-Based Stock Options)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1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Company’s Form 10-Q filed on July 26, 2018)</w:t>
              </w:r>
            </w:hyperlink>
          </w:p>
        </w:tc>
        <w:tc>
          <w:tcPr>
            <w:tcW w:w="598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62</w:t>
              </w:r>
            </w:hyperlink>
          </w:p>
        </w:tc>
        <w:tc>
          <w:tcPr>
            <w:tcW w:w="760" w:type="dxa"/>
            <w:vAlign w:val="bottom"/>
          </w:tcPr>
          <w:p>
            <w:pPr>
              <w:spacing w:after="0"/>
              <w:rPr>
                <w:sz w:val="24"/>
                <w:szCs w:val="24"/>
                <w:color w:val="auto"/>
              </w:rPr>
            </w:pPr>
          </w:p>
        </w:tc>
        <w:tc>
          <w:tcPr>
            <w:tcW w:w="10340" w:type="dxa"/>
            <w:vAlign w:val="bottom"/>
            <w:gridSpan w:val="3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1 to Credit Agreement dated as of June 27, 2018 among Altisource S.à r.l. and Altisource Portfolio Solutions S.A.,</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Morgan Stanley Senior Funding, Inc., as Administrative Agent and Collateral Agent, and the Lenders party thereto (incorporated by</w:t>
              </w:r>
            </w:hyperlink>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bl>
    <w:p>
      <w:pPr>
        <w:ind w:left="1220"/>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reference to Exhibit 10.3 of the Company’s Form 10-Q filed on July 26, 2018)</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gridSpan w:val="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63</w:t>
              </w:r>
            </w:hyperlink>
          </w:p>
        </w:tc>
        <w:tc>
          <w:tcPr>
            <w:tcW w:w="760" w:type="dxa"/>
            <w:vAlign w:val="bottom"/>
          </w:tcPr>
          <w:p>
            <w:pPr>
              <w:spacing w:after="0"/>
              <w:rPr>
                <w:sz w:val="17"/>
                <w:szCs w:val="17"/>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Omnibus Amendment to Master Services Agreement, Waiver Agreement, Services Letter and Fee Letter, dated August 8, 2018 among</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Altisource S.à r.l. and Front Yard Residential Corporation (incorporated by reference to Exhibit 10.1 of the Company’s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August 9, 2018)</w:t>
              </w:r>
            </w:hyperlink>
          </w:p>
        </w:tc>
        <w:tc>
          <w:tcPr>
            <w:tcW w:w="89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440" w:type="dxa"/>
            <w:vAlign w:val="bottom"/>
            <w:gridSpan w:val="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64</w:t>
              </w:r>
            </w:hyperlink>
          </w:p>
        </w:tc>
        <w:tc>
          <w:tcPr>
            <w:tcW w:w="76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Fourth Amendment to the Cooperative Brokerage Agreement, dated as of September 11, 2018, between REALHome Services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Solutions, Inc., REALHome Services and Solutions - CT, Inc. and New Residential Sales Corp. (incorporated by reference to Exhibit 10.4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of the Company’s Form 10-Q filed on October 25, 2018)</w:t>
              </w:r>
            </w:hyperlink>
          </w:p>
        </w:tc>
        <w:tc>
          <w:tcPr>
            <w:tcW w:w="612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65</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Second Amended and Restated Employment Contract dated as of November 6, 2018 between Altisource Solutions S.à r.l. and Gregory J.</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Ritts (incorporated by reference to Exhibit 10.78 of the Company’s Form 10-K filed on February 26, 2019)</w:t>
              </w:r>
            </w:hyperlink>
          </w:p>
        </w:tc>
        <w:tc>
          <w:tcPr>
            <w:tcW w:w="22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effective as of August 1, 2017 between Altisource Solutions S.à r.l and Marcello Mastioni (incorporated by</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reference to Exhibit 10.79 of the Company’s Form 10-K filed on February 26,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67</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Non-Qualified Stock Option Award Agreement between the Company and Marcello Mastioni dated as of August 1, 2017 (incorporated by</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reference to Exhibit 10.80 of the Company’s Form 10-K filed on February 26, 2019)</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68</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Restricted Share Award Agreement between the Company and Marcello Mastioni dated as of August 1, 2017 (incorporated by reference</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to Exhibit 10.81 of the Company’s Form 10-K filed on February 26, 2019)</w:t>
              </w:r>
            </w:hyperlink>
          </w:p>
        </w:tc>
        <w:tc>
          <w:tcPr>
            <w:tcW w:w="47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7"/>
        </w:trPr>
        <w:tc>
          <w:tcPr>
            <w:tcW w:w="440" w:type="dxa"/>
            <w:vAlign w:val="bottom"/>
            <w:gridSpan w:val="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69</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Altisource Portfolio Solutions S.A. Amended and Restated 2009 Equity Incentive Plan, dated as of November 12, 2018 (incorporated by</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reference to Exhibit 10.82 of the Company’s Form 10-K filed on February 26,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70</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Binding Term Sheet dated as of February 22, 2019 between Altisource S.à r.l., Ocwen Financial Corporation and Ocwen Mortgage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Servicing, Inc. (incorporated by reference to Exhibit 10.1 of the Company’s Form 10-Q filed on April 25,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71</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Employment Contract of Indefinite Duration dated as of March 22, 2019 between Altisource S.à r.l. and Marcello</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6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Mastioni (incorporated by reference to Exhibit 10.2 of the Company’s Form 10-Q filed on April 25, 2019)</w:t>
              </w:r>
            </w:hyperlink>
          </w:p>
        </w:tc>
        <w:tc>
          <w:tcPr>
            <w:tcW w:w="234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72</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Separation Agreement and Release dated as of March 22, 2019 between Indroneel Chatterjee and Altisource Solutions, Inc. (incorporated</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by reference to Exhibit 10.3 of the Company’s Form 10-Q filed on April 25, 2019)</w:t>
              </w:r>
            </w:hyperlink>
          </w:p>
        </w:tc>
        <w:tc>
          <w:tcPr>
            <w:tcW w:w="40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7"/>
        </w:trPr>
        <w:tc>
          <w:tcPr>
            <w:tcW w:w="440" w:type="dxa"/>
            <w:vAlign w:val="bottom"/>
            <w:gridSpan w:val="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73</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Side Letter to Separation Agreement and Release by and between Indroneel Chatterjee and Altisource Solutions, Inc. dated as of March</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22, 2019 (incorporated by reference to Exhibit 10.4 of the Company’s Form 10-Q filed on April 25,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gridSpan w:val="3"/>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00" w:type="dxa"/>
            <w:vAlign w:val="bottom"/>
            <w:gridSpan w:val="3"/>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74</w:t>
              </w:r>
            </w:hyperlink>
            <w:r>
              <w:rPr>
                <w:rFonts w:ascii="Times New Roman" w:cs="Times New Roman" w:eastAsia="Times New Roman" w:hAnsi="Times New Roman"/>
                <w:sz w:val="18"/>
                <w:szCs w:val="18"/>
                <w:color w:val="000000"/>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Restricted Stock Unit Award Agreement Pursuant to Altisource’s 2009 Equity Incentive Plan and 2019 Long Term Equity</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Incentive Program (incorporated by reference to Exhibit 10.5 of the Company’s Form 10-Q filed on April 25, 2019)</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75</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Restricted Stock Unit Award Agreement Pursuant to Altisource’s 2009 Equity Incentive Plan and 2018 Annual Incentive Plan</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 to Exhibit 10.6 of the Company’s Form 10-Q filed on April 25, 2019)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Restricted Stock Unit Award Agreement Pursuant to Altisource’s 2009 Equity Incentive Plan and 2019 Long Term Equity</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Incentive Program (incorporated by reference to Exhibit 10.1 of the Company’s Form 10-Q filed on July 25, 2019)</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77</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Agreement dated as of October 11, 2019 between Altisource S.à r.l. and Kevin J. Wilcox (incorporated by reference to Exhibit 10.1 of the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Company’s Form 10-Q filed on October 24, 2019)</w:t>
              </w:r>
            </w:hyperlink>
          </w:p>
        </w:tc>
        <w:tc>
          <w:tcPr>
            <w:tcW w:w="656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78</w:t>
              </w:r>
            </w:hyperlink>
          </w:p>
        </w:tc>
        <w:tc>
          <w:tcPr>
            <w:tcW w:w="76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Binding Term Sheet dated as of May 5, 2021 between Altisource S.à r.l., Ocwen Financial Corporation and and Ocwen USVI Services,</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LLC (incorporated by reference to Exhibit 10.1 of the Company’s Form 10-Q filed on May10, 2021)</w:t>
              </w:r>
            </w:hyperlink>
          </w:p>
        </w:tc>
        <w:tc>
          <w:tcPr>
            <w:tcW w:w="2860" w:type="dxa"/>
            <w:vAlign w:val="bottom"/>
            <w:tcBorders>
              <w:top w:val="single" w:sz="8" w:color="0000FF"/>
            </w:tcBorders>
            <w:gridSpan w:val="1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79</w:t>
              </w:r>
            </w:hyperlink>
          </w:p>
        </w:tc>
        <w:tc>
          <w:tcPr>
            <w:tcW w:w="76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Settlement Agreement and Full Release dated as of April 28, 2021 between Marcello Mastioni and Altisource S.à r.l.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6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reference to Exhibit 10.2 of the Company’s Form 10-Q filed on May10, 2021)</w:t>
              </w:r>
            </w:hyperlink>
          </w:p>
        </w:tc>
        <w:tc>
          <w:tcPr>
            <w:tcW w:w="4440" w:type="dxa"/>
            <w:vAlign w:val="bottom"/>
            <w:tcBorders>
              <w:top w:val="single" w:sz="8" w:color="0000FF"/>
            </w:tcBorders>
            <w:gridSpan w:val="17"/>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80</w:t>
              </w:r>
            </w:hyperlink>
          </w:p>
        </w:tc>
        <w:tc>
          <w:tcPr>
            <w:tcW w:w="76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Post-Separation Covenant Agreement dated as of April 28, 2021 between Marcello Mastioni and Altisource S.à r.l.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6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reference to Exhibit 10.3 of the Company’s Form 10-Q filed on May10, 2021)</w:t>
              </w:r>
            </w:hyperlink>
          </w:p>
        </w:tc>
        <w:tc>
          <w:tcPr>
            <w:tcW w:w="4320" w:type="dxa"/>
            <w:vAlign w:val="bottom"/>
            <w:tcBorders>
              <w:top w:val="single" w:sz="8" w:color="0000FF"/>
            </w:tcBorders>
            <w:gridSpan w:val="11"/>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318"/>
        </w:trPr>
        <w:tc>
          <w:tcPr>
            <w:tcW w:w="440" w:type="dxa"/>
            <w:vAlign w:val="bottom"/>
            <w:gridSpan w:val="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81</w:t>
              </w:r>
            </w:hyperlink>
          </w:p>
        </w:tc>
        <w:tc>
          <w:tcPr>
            <w:tcW w:w="76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Credit Agreement, dated June 22, 2021 among Altisource S.à r.l. and STS Master Fund, Ltd. (incorporated by reference to Exhibit 10.1 of</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the Company’s Form 8-K filed on July 23, 2021)</w:t>
              </w:r>
            </w:hyperlink>
          </w:p>
        </w:tc>
        <w:tc>
          <w:tcPr>
            <w:tcW w:w="6460" w:type="dxa"/>
            <w:vAlign w:val="bottom"/>
            <w:tcBorders>
              <w:top w:val="single" w:sz="8" w:color="0000FF"/>
            </w:tcBorders>
            <w:gridSpan w:val="17"/>
          </w:tcPr>
          <w:p>
            <w:pPr>
              <w:spacing w:after="0"/>
              <w:rPr>
                <w:sz w:val="13"/>
                <w:szCs w:val="13"/>
                <w:color w:val="auto"/>
              </w:rPr>
            </w:pPr>
          </w:p>
        </w:tc>
        <w:tc>
          <w:tcPr>
            <w:tcW w:w="240" w:type="dxa"/>
            <w:vAlign w:val="bottom"/>
            <w:gridSpan w:val="1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82</w:t>
              </w:r>
            </w:hyperlink>
          </w:p>
        </w:tc>
        <w:tc>
          <w:tcPr>
            <w:tcW w:w="780" w:type="dxa"/>
            <w:vAlign w:val="bottom"/>
          </w:tcPr>
          <w:p>
            <w:pPr>
              <w:spacing w:after="0"/>
              <w:rPr>
                <w:sz w:val="17"/>
                <w:szCs w:val="17"/>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Director Restricted Share Award Agreement dated as of April 13, 2022 between Mary C. Hickok and Altisource Portfolio Solutions S.A.</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by reference to Exhibit 10.1 of the Company’s Form 10-Q filed on April 28, 2022)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83</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5"/>
          </w:tcPr>
          <w:p>
            <w:pPr>
              <w:ind w:left="20"/>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Transaction Support Agreement (including the Term Sheet) dated as of February 2, 2023 (incorporated by reference to Exhibit 10.1 of the</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Company’s Form 8-K filed on February 3, 2023)</w:t>
              </w:r>
            </w:hyperlink>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84</w:t>
              </w:r>
            </w:hyperlink>
          </w:p>
        </w:tc>
        <w:tc>
          <w:tcPr>
            <w:tcW w:w="78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Registration Rights Agreement, dated February 14, 2023 (incorporated by reference to Exhibit 10.2 to the Company’s Form 8-K filed on</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February 21, 2023)</w:t>
              </w:r>
            </w:hyperlink>
          </w:p>
        </w:tc>
        <w:tc>
          <w:tcPr>
            <w:tcW w:w="8440" w:type="dxa"/>
            <w:vAlign w:val="bottom"/>
            <w:tcBorders>
              <w:top w:val="single" w:sz="8" w:color="0000FF"/>
            </w:tcBorders>
            <w:gridSpan w:val="11"/>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85</w:t>
              </w:r>
            </w:hyperlink>
          </w:p>
        </w:tc>
        <w:tc>
          <w:tcPr>
            <w:tcW w:w="780" w:type="dxa"/>
            <w:vAlign w:val="bottom"/>
          </w:tcPr>
          <w:p>
            <w:pPr>
              <w:spacing w:after="0"/>
              <w:rPr>
                <w:sz w:val="24"/>
                <w:szCs w:val="24"/>
                <w:color w:val="auto"/>
              </w:rPr>
            </w:pPr>
          </w:p>
        </w:tc>
        <w:tc>
          <w:tcPr>
            <w:tcW w:w="9980" w:type="dxa"/>
            <w:vAlign w:val="bottom"/>
            <w:gridSpan w:val="1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Warrant Purchase Agreement, dated February 14, 2023 (incorporated by reference to Exhibit 10.3 to the Company’s Form 8-K filed on</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February 21, 2023)</w:t>
              </w:r>
            </w:hyperlink>
          </w:p>
        </w:tc>
        <w:tc>
          <w:tcPr>
            <w:tcW w:w="8320" w:type="dxa"/>
            <w:vAlign w:val="bottom"/>
            <w:tcBorders>
              <w:top w:val="single" w:sz="8" w:color="0000FF"/>
            </w:tcBorders>
            <w:gridSpan w:val="10"/>
          </w:tcPr>
          <w:p>
            <w:pPr>
              <w:spacing w:after="0"/>
              <w:rPr>
                <w:sz w:val="13"/>
                <w:szCs w:val="13"/>
                <w:color w:val="auto"/>
              </w:rPr>
            </w:pPr>
          </w:p>
        </w:tc>
        <w:tc>
          <w:tcPr>
            <w:tcW w:w="260" w:type="dxa"/>
            <w:vAlign w:val="bottom"/>
            <w:gridSpan w:val="4"/>
          </w:tcPr>
          <w:p>
            <w:pPr>
              <w:spacing w:after="0"/>
              <w:rPr>
                <w:sz w:val="13"/>
                <w:szCs w:val="13"/>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86</w:t>
              </w:r>
            </w:hyperlink>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980" w:type="dxa"/>
            <w:vAlign w:val="bottom"/>
            <w:gridSpan w:val="1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Credit Agreement, dated February 9, 2023 among Altisource S.à r.l. and Altisource Portfolio Solutions S.A.,</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Morgan Stanley Senior Funding, Inc., as Administrative Agent and Collateral Agent, and the Lenders party thereto</w:t>
              </w:r>
            </w:hyperlink>
          </w:p>
        </w:tc>
        <w:tc>
          <w:tcPr>
            <w:tcW w:w="1260" w:type="dxa"/>
            <w:vAlign w:val="bottom"/>
            <w:tcBorders>
              <w:top w:val="single" w:sz="8" w:color="0000FF"/>
            </w:tcBorders>
            <w:gridSpan w:val="2"/>
          </w:tcPr>
          <w:p>
            <w:pPr>
              <w:spacing w:after="0"/>
              <w:rPr>
                <w:sz w:val="13"/>
                <w:szCs w:val="13"/>
                <w:color w:val="auto"/>
              </w:rPr>
            </w:pPr>
          </w:p>
        </w:tc>
        <w:tc>
          <w:tcPr>
            <w:tcW w:w="440" w:type="dxa"/>
            <w:vAlign w:val="bottom"/>
            <w:gridSpan w:val="5"/>
          </w:tcPr>
          <w:p>
            <w:pPr>
              <w:spacing w:after="0"/>
              <w:rPr>
                <w:sz w:val="13"/>
                <w:szCs w:val="13"/>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20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87</w:t>
              </w:r>
            </w:hyperlink>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980" w:type="dxa"/>
            <w:vAlign w:val="bottom"/>
            <w:gridSpan w:val="16"/>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Credit Agreement dated February 9, 2023 by among Altisource S.à r.l and STS Master Fund, Ltd</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30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(RSM US LLP).</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4"/>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6"/>
            <w:shd w:val="clear" w:color="auto" w:fill="0000FF"/>
          </w:tcPr>
          <w:p>
            <w:pPr>
              <w:spacing w:after="0" w:line="20" w:lineRule="exact"/>
              <w:rPr>
                <w:sz w:val="1"/>
                <w:szCs w:val="1"/>
                <w:color w:val="auto"/>
              </w:rPr>
            </w:pPr>
          </w:p>
        </w:tc>
        <w:tc>
          <w:tcPr>
            <w:tcW w:w="2440" w:type="dxa"/>
            <w:vAlign w:val="bottom"/>
            <w:tcBorders>
              <w:left w:val="single" w:sz="8" w:color="0000FF"/>
            </w:tcBorders>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6"/>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 2002.</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9"/>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50"/>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1"/>
                <w:szCs w:val="21"/>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Annual Report on Form 10-K for the</w:t>
            </w: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8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year ended December 31, 2023 is formatted in Inline XBRL interactive data files: (i) Consolidated Balance Sheets as of December 31,</w:t>
            </w:r>
          </w:p>
        </w:tc>
      </w:tr>
      <w:tr>
        <w:trPr>
          <w:trHeight w:val="180"/>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98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2023 and December 31, 2022; (ii) Consolidated Statements of Operations and Comprehensive Loss for each of the years in the two-year</w:t>
            </w: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9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auto"/>
              </w:rPr>
              <w:t>period ended December 31, 2023; (iii) Consolidated Statements of Equity (Deficit) for each of the years in the two-year period ended</w:t>
            </w: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8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December 31, 2023 (iv) Consolidated Statements of Cash Flows for each of the years in the two-year period ended December 31, 2023;</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(v) Notes to Consolidated Financial Statements; and (vi) Financial Statement Schedule.</w:t>
            </w:r>
          </w:p>
        </w:tc>
      </w:tr>
      <w:tr>
        <w:trPr>
          <w:trHeight w:val="283"/>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12" w:lineRule="exact"/>
        <w:rPr>
          <w:sz w:val="20"/>
          <w:szCs w:val="20"/>
          <w:color w:val="auto"/>
        </w:rPr>
      </w:pPr>
    </w:p>
    <w:p>
      <w:pPr>
        <w:ind w:left="1160" w:hanging="11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160" w:hanging="1134"/>
        <w:spacing w:after="0" w:line="237" w:lineRule="auto"/>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pursuant to a request for confidential treatment. The non-public information has been filed separately with the Securities and Exchange Commission.</w:t>
      </w:r>
    </w:p>
    <w:p>
      <w:pPr>
        <w:spacing w:after="0" w:line="64" w:lineRule="exact"/>
        <w:rPr>
          <w:sz w:val="20"/>
          <w:szCs w:val="20"/>
          <w:color w:val="auto"/>
        </w:rPr>
      </w:pPr>
    </w:p>
    <w:p>
      <w:pPr>
        <w:ind w:left="1160" w:hanging="1134"/>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0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83"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William B. Shepro</w:t>
      </w:r>
    </w:p>
    <w:p>
      <w:pPr>
        <w:spacing w:after="0" w:line="27" w:lineRule="exact"/>
        <w:rPr>
          <w:sz w:val="20"/>
          <w:szCs w:val="20"/>
          <w:color w:val="auto"/>
        </w:rPr>
      </w:pPr>
    </w:p>
    <w:tbl>
      <w:tblPr>
        <w:tblLayout w:type="fixed"/>
        <w:tblInd w:w="650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 w:type="dxa"/>
            <w:vAlign w:val="bottom"/>
          </w:tcPr>
          <w:p>
            <w:pPr>
              <w:spacing w:after="0"/>
              <w:rPr>
                <w:sz w:val="19"/>
                <w:szCs w:val="19"/>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L. Morettini</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L. Morettini</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Roland Müller-Ineichen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Müller-Ineichen</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G. Aldridge</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 Aldridge</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Hickok</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Hickok</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c>
          <w:tcPr>
            <w:tcW w:w="100" w:type="dxa"/>
            <w:vAlign w:val="bottom"/>
          </w:tcPr>
          <w:p>
            <w:pPr>
              <w:spacing w:after="0"/>
              <w:rPr>
                <w:sz w:val="19"/>
                <w:szCs w:val="19"/>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subsidiaries of Altisource Portfolio Solutions S.A. as of December 31, 2023 and the jurisdictions in which they are organized.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Absotech Solutions Private Limited</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Access,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Asia Holdings Ltd. I</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Mauritius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Business Solutions Private Limited</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Business Solutions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Fulfillment Operations,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Holdings,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Mortgage Solutions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Online Auction,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Outsourcing Solutions S.R.L.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Portfolio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Real Estate Web Portal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Solutions,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Technology Solutions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US Data,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Association of Certified Mortgage Originators Risk Retention Group,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Association of Certified Originators</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Beltline Road Insurance Agency,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Partners Mortgage Cooperative,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CastleLine Re,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CastleLine Risk and Insurance Services,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Coolsol Solutions Private Limited</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One,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Equator,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Default Services,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Agency,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Insurance Agency - UT,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of California,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FL,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IL,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Indiana,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LA,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MD,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MN,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MO,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NY,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VA,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2"/>
        </w:trPr>
        <w:tc>
          <w:tcPr>
            <w:tcW w:w="9100" w:type="dxa"/>
            <w:vAlign w:val="bottom"/>
            <w:gridSpan w:val="2"/>
          </w:tcPr>
          <w:p>
            <w:pPr>
              <w:jc w:val="right"/>
              <w:ind w:right="5590"/>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right="160" w:hanging="252"/>
        <w:spacing w:after="0" w:line="229" w:lineRule="auto"/>
        <w:tabs>
          <w:tab w:leader="none" w:pos="192"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Best Partners Mortgage Cooperative, Inc. is a mortgage products cooperative owned by its members and managed by The Mortgage Partnership of America, L.L.C.</w:t>
      </w:r>
    </w:p>
    <w:p>
      <w:pPr>
        <w:sectPr>
          <w:pgSz w:w="11900" w:h="16838" w:orient="portrait"/>
          <w:cols w:equalWidth="0" w:num="1">
            <w:col w:w="11240"/>
          </w:cols>
          <w:pgMar w:left="320" w:top="88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43"/>
        </w:trPr>
        <w:tc>
          <w:tcPr>
            <w:tcW w:w="90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PTS – Escrow,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PTS – Texas Title,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REALHome Services and Solutions – CT,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REALHome Services and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Springhouse,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Mortgage Partnership of America,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Arizona,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Mississippi,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Missouri,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Nevada,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Tennessee,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Utah,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Virginia,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Washington,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0" w:type="dxa"/>
            <w:vAlign w:val="bottom"/>
          </w:tcPr>
          <w:p>
            <w:pPr>
              <w:spacing w:after="0"/>
              <w:rPr>
                <w:sz w:val="1"/>
                <w:szCs w:val="1"/>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Trustee,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05" w:right="3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4"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268761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276301)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and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161175)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Altisource Portfolio Solutions S.A. of our report dated March 7, 2024, relating to the consolidated financial statements of Altisource Portfolio Solutions S.A., appearing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Altisource Portfolio Solutions S.A. for the year ended December 31, 2023.</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2024</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2023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r>
      <w:tr>
        <w:trPr>
          <w:trHeight w:val="218"/>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30"/>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2023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2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3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900" w:right="2020" w:hanging="535"/>
        <w:spacing w:after="0" w:line="263"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w:t>
      </w:r>
    </w:p>
    <w:p>
      <w:pPr>
        <w:spacing w:after="0" w:line="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ACCOMPANYING ANNUAL REPORT ON FORM 10-K OF ALTISOURCE PORTFOLIO SOLUTIONS S.A. FOR THE YEAR ENDED DECEMBER 31, 2021</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Altisource Portfolio Solutions S.A. (the “Company”) for the year ended December 31, 2023,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76" w:lineRule="exact"/>
        <w:rPr>
          <w:sz w:val="20"/>
          <w:szCs w:val="20"/>
          <w:color w:val="auto"/>
        </w:rPr>
      </w:pPr>
    </w:p>
    <w:p>
      <w:pPr>
        <w:ind w:left="720" w:hanging="388"/>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520" w:type="dxa"/>
            <w:vAlign w:val="bottom"/>
          </w:tcPr>
          <w:p>
            <w:pPr>
              <w:spacing w:after="0"/>
              <w:rPr>
                <w:sz w:val="15"/>
                <w:szCs w:val="15"/>
                <w:color w:val="auto"/>
              </w:rPr>
            </w:pPr>
          </w:p>
        </w:tc>
        <w:tc>
          <w:tcPr>
            <w:tcW w:w="4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8"/>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2024</w:t>
            </w:r>
          </w:p>
        </w:tc>
        <w:tc>
          <w:tcPr>
            <w:tcW w:w="1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2024</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2"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61" Type="http://schemas.openxmlformats.org/officeDocument/2006/relationships/image" Target="media/image104.png"/><Relationship Id="rId181" Type="http://schemas.openxmlformats.org/officeDocument/2006/relationships/image" Target="media/image105.png"/><Relationship Id="rId201" Type="http://schemas.openxmlformats.org/officeDocument/2006/relationships/image" Target="media/image106.png"/><Relationship Id="rId208" Type="http://schemas.openxmlformats.org/officeDocument/2006/relationships/image" Target="media/image107.png"/><Relationship Id="rId108" Type="http://schemas.openxmlformats.org/officeDocument/2006/relationships/hyperlink" Target="http://www.sec.gov/Archives/edgar/data/1462418/000095012309018800/g19081a1exv2w1.htm" TargetMode="External"/><Relationship Id="rId109" Type="http://schemas.openxmlformats.org/officeDocument/2006/relationships/hyperlink" Target="http://www.sec.gov/Archives/edgar/data/1462418/000110465913027096/a13-9447_1ex2d1.htm" TargetMode="External"/><Relationship Id="rId110" Type="http://schemas.openxmlformats.org/officeDocument/2006/relationships/hyperlink" Target="http://www.sec.gov/Archives/edgar/data/1462418/000110465913065226/a13-18970_1ex2d1.htm" TargetMode="External"/><Relationship Id="rId111" Type="http://schemas.openxmlformats.org/officeDocument/2006/relationships/hyperlink" Target="https://www.sec.gov/Archives/edgar/data/0001462418/000146241821000038/ex21-spa.htm" TargetMode="External"/><Relationship Id="rId112" Type="http://schemas.openxmlformats.org/officeDocument/2006/relationships/hyperlink" Target="http://www.sec.gov/Archives/edgar/data/1462418/000146241817000026/asps-6302017ex31.htm" TargetMode="External"/><Relationship Id="rId113" Type="http://schemas.openxmlformats.org/officeDocument/2006/relationships/hyperlink" Target="https://www.sec.gov/Archives/edgar/data/1462418/000146241820000016/asps-12312019xex41.htm" TargetMode="External"/><Relationship Id="rId114" Type="http://schemas.openxmlformats.org/officeDocument/2006/relationships/hyperlink" Target="https://www.sec.gov/Archives/edgar/data/1462418/000146241823000019/ex101-altisourcexformofw.htm" TargetMode="External"/><Relationship Id="rId115" Type="http://schemas.openxmlformats.org/officeDocument/2006/relationships/hyperlink" Target="http://www.sec.gov/Archives/edgar/data/1462418/000095012309034795/g20198exv10w1.htm" TargetMode="External"/><Relationship Id="rId116" Type="http://schemas.openxmlformats.org/officeDocument/2006/relationships/hyperlink" Target="http://www.sec.gov/Archives/edgar/data/1462418/000095012309034795/g20198exv10w2.htm" TargetMode="External"/><Relationship Id="rId117" Type="http://schemas.openxmlformats.org/officeDocument/2006/relationships/hyperlink" Target="http://www.sec.gov/Archives/edgar/data/1462418/000095012309034795/g20198exv10w3.htm" TargetMode="External"/><Relationship Id="rId118" Type="http://schemas.openxmlformats.org/officeDocument/2006/relationships/hyperlink" Target="http://www.sec.gov/Archives/edgar/data/1462418/000095012309034795/g20198exv10w4.htm" TargetMode="External"/><Relationship Id="rId119" Type="http://schemas.openxmlformats.org/officeDocument/2006/relationships/hyperlink" Target="http://www.sec.gov/Archives/edgar/data/1462418/000095012309034795/g20198exv10w5.htm" TargetMode="External"/><Relationship Id="rId120" Type="http://schemas.openxmlformats.org/officeDocument/2006/relationships/hyperlink" Target="http://www.sec.gov/Archives/edgar/data/1462418/000095012309034795/g20198exv10w6.htm" TargetMode="External"/><Relationship Id="rId121" Type="http://schemas.openxmlformats.org/officeDocument/2006/relationships/hyperlink" Target="http://www.sec.gov/Archives/edgar/data/1462418/000095012309034795/g20198exv10w7.htm" TargetMode="External"/><Relationship Id="rId123" Type="http://schemas.openxmlformats.org/officeDocument/2006/relationships/hyperlink" Target="http://www.sec.gov/Archives/edgar/data/1462418/000095012309034795/g20198exv10w8.htm" TargetMode="External"/><Relationship Id="rId124" Type="http://schemas.openxmlformats.org/officeDocument/2006/relationships/hyperlink" Target="http://www.sec.gov/Archives/edgar/data/1462418/000095012309018800/g19081a1exv10w9.htm" TargetMode="External"/><Relationship Id="rId125" Type="http://schemas.openxmlformats.org/officeDocument/2006/relationships/hyperlink" Target="http://www.sec.gov/Archives/edgar/data/1462418/000095012309018800/g19081a1exv10w11.htm" TargetMode="External"/><Relationship Id="rId126" Type="http://schemas.openxmlformats.org/officeDocument/2006/relationships/hyperlink" Target="http://www.sec.gov/Archives/edgar/data/1462418/000095012310025337/g22255exv10w12.htm" TargetMode="External"/><Relationship Id="rId127" Type="http://schemas.openxmlformats.org/officeDocument/2006/relationships/hyperlink" Target="http://www.sec.gov/Archives/edgar/data/1462418/000095012310025337/g22255exv10w13.htm" TargetMode="External"/><Relationship Id="rId128" Type="http://schemas.openxmlformats.org/officeDocument/2006/relationships/hyperlink" Target="http://www.sec.gov/Archives/edgar/data/1462418/000095012311015633/c12905exv10w14.htm" TargetMode="External"/><Relationship Id="rId129" Type="http://schemas.openxmlformats.org/officeDocument/2006/relationships/hyperlink" Target="http://www.sec.gov/Archives/edgar/data/1462418/000095012311077958/c21536exv10w1.htm" TargetMode="External"/><Relationship Id="rId130" Type="http://schemas.openxmlformats.org/officeDocument/2006/relationships/hyperlink" Target="http://www.sec.gov/Archives/edgar/data/1462418/000110465912058385/a12-18388_1ex10d1.htm" TargetMode="External"/><Relationship Id="rId131" Type="http://schemas.openxmlformats.org/officeDocument/2006/relationships/hyperlink" Target="http://www.sec.gov/Archives/edgar/data/1462418/000110465912058892/a12-18661_1ex10d1.htm" TargetMode="External"/><Relationship Id="rId132" Type="http://schemas.openxmlformats.org/officeDocument/2006/relationships/hyperlink" Target="http://www.sec.gov/Archives/edgar/data/1462418/000110465912058892/a12-18661_1ex10d2.htm" TargetMode="External"/><Relationship Id="rId133" Type="http://schemas.openxmlformats.org/officeDocument/2006/relationships/hyperlink" Target="http://www.sec.gov/Archives/edgar/data/1462418/000110465912067822/a12-23132_1ex10d1.htm" TargetMode="External"/><Relationship Id="rId134" Type="http://schemas.openxmlformats.org/officeDocument/2006/relationships/hyperlink" Target="http://www.sec.gov/Archives/edgar/data/1462418/000110465912067822/a12-23132_1ex10d2.htm" TargetMode="External"/><Relationship Id="rId135" Type="http://schemas.openxmlformats.org/officeDocument/2006/relationships/hyperlink" Target="http://www.sec.gov/Archives/edgar/data/1462418/000110465912067822/a12-23132_1ex10d3.htm" TargetMode="External"/><Relationship Id="rId136" Type="http://schemas.openxmlformats.org/officeDocument/2006/relationships/hyperlink" Target="http://www.sec.gov/Archives/edgar/data/1462418/000110465912067822/a12-23132_1ex10d4.htm" TargetMode="External"/><Relationship Id="rId137" Type="http://schemas.openxmlformats.org/officeDocument/2006/relationships/hyperlink" Target="http://www.sec.gov/Archives/edgar/data/1462418/000110465912067822/a12-23132_1ex10d5.htm" TargetMode="External"/><Relationship Id="rId138" Type="http://schemas.openxmlformats.org/officeDocument/2006/relationships/hyperlink" Target="http://www.sec.gov/Archives/edgar/data/1462418/000110465912067822/a12-23132_1ex10d6.htm" TargetMode="External"/><Relationship Id="rId139" Type="http://schemas.openxmlformats.org/officeDocument/2006/relationships/hyperlink" Target="http://www.sec.gov/Archives/edgar/data/1462418/000110465912067822/a12-23132_1ex10d7.htm" TargetMode="External"/><Relationship Id="rId140" Type="http://schemas.openxmlformats.org/officeDocument/2006/relationships/hyperlink" Target="http://www.sec.gov/Archives/edgar/data/1462418/000110465912067822/a12-23132_1ex10d8.htm" TargetMode="External"/><Relationship Id="rId143" Type="http://schemas.openxmlformats.org/officeDocument/2006/relationships/hyperlink" Target="http://www.sec.gov/Archives/edgar/data/1462418/000110465912067822/a12-23132_1ex10d9.htm" TargetMode="External"/><Relationship Id="rId144" Type="http://schemas.openxmlformats.org/officeDocument/2006/relationships/hyperlink" Target="http://www.sec.gov/Archives/edgar/data/1462418/000110465912086792/a12-30299_1ex10d1.htm" TargetMode="External"/><Relationship Id="rId145" Type="http://schemas.openxmlformats.org/officeDocument/2006/relationships/hyperlink" Target="http://www.sec.gov/Archives/edgar/data/1462418/000110465912086792/a12-30299_1ex10d2.htm" TargetMode="External"/><Relationship Id="rId146" Type="http://schemas.openxmlformats.org/officeDocument/2006/relationships/hyperlink" Target="http://www.sec.gov/Archives/edgar/data/1462418/000110465912086792/a12-30299_1ex10d3.htm" TargetMode="External"/><Relationship Id="rId147" Type="http://schemas.openxmlformats.org/officeDocument/2006/relationships/hyperlink" Target="http://www.sec.gov/Archives/edgar/data/1462418/000110465912086792/a12-30299_1ex10d4.htm" TargetMode="External"/><Relationship Id="rId148" Type="http://schemas.openxmlformats.org/officeDocument/2006/relationships/hyperlink" Target="http://www.sec.gov/Archives/edgar/data/1462418/000110465912086792/a12-30299_1ex10d5.htm" TargetMode="External"/><Relationship Id="rId149" Type="http://schemas.openxmlformats.org/officeDocument/2006/relationships/hyperlink" Target="http://www.sec.gov/Archives/edgar/data/1462418/000110465912086792/a12-30299_1ex10d7.htm" TargetMode="External"/><Relationship Id="rId150" Type="http://schemas.openxmlformats.org/officeDocument/2006/relationships/hyperlink" Target="http://www.sec.gov/Archives/edgar/data/1462418/000110465912086792/a12-30299_1ex10d8.htm" TargetMode="External"/><Relationship Id="rId151" Type="http://schemas.openxmlformats.org/officeDocument/2006/relationships/hyperlink" Target="http://www.sec.gov/Archives/edgar/data/1462418/000110465913027096/a13-9447_1ex10d1.htm" TargetMode="External"/><Relationship Id="rId152" Type="http://schemas.openxmlformats.org/officeDocument/2006/relationships/hyperlink" Target="http://www.sec.gov/Archives/edgar/data/1462418/000110465913027096/a13-9447_1ex10d2.htm" TargetMode="External"/><Relationship Id="rId153" Type="http://schemas.openxmlformats.org/officeDocument/2006/relationships/hyperlink" Target="http://www.sec.gov/Archives/edgar/data/1462418/000110465913027096/a13-9447_1ex10d3.htm" TargetMode="External"/><Relationship Id="rId154" Type="http://schemas.openxmlformats.org/officeDocument/2006/relationships/hyperlink" Target="http://www.sec.gov/Archives/edgar/data/1462418/000110465913027096/a13-9447_1ex10d4.htm" TargetMode="External"/><Relationship Id="rId155" Type="http://schemas.openxmlformats.org/officeDocument/2006/relationships/hyperlink" Target="http://www.sec.gov/Archives/edgar/data/1462418/000110465913027096/a13-9447_1ex10d5.htm" TargetMode="External"/><Relationship Id="rId156" Type="http://schemas.openxmlformats.org/officeDocument/2006/relationships/hyperlink" Target="http://www.sec.gov/Archives/edgar/data/1462418/000110465913027096/a13-9447_1ex10d6.htm" TargetMode="External"/><Relationship Id="rId157" Type="http://schemas.openxmlformats.org/officeDocument/2006/relationships/hyperlink" Target="http://www.sec.gov/Archives/edgar/data/1462418/000110465913027096/a13-9447_1ex10d7.htm" TargetMode="External"/><Relationship Id="rId158" Type="http://schemas.openxmlformats.org/officeDocument/2006/relationships/hyperlink" Target="http://www.sec.gov/Archives/edgar/data/1462418/000110465913027096/a13-9447_1ex10d8.htm" TargetMode="External"/><Relationship Id="rId159" Type="http://schemas.openxmlformats.org/officeDocument/2006/relationships/hyperlink" Target="http://www.sec.gov/Archives/edgar/data/1462418/000110465913030648/a13-10270_1ex10d1.htm" TargetMode="External"/><Relationship Id="rId160" Type="http://schemas.openxmlformats.org/officeDocument/2006/relationships/hyperlink" Target="http://www.sec.gov/Archives/edgar/data/1462418/000110465915029038/a15-9505_1ex10d1.htm" TargetMode="External"/><Relationship Id="rId162" Type="http://schemas.openxmlformats.org/officeDocument/2006/relationships/hyperlink" Target="http://www.sec.gov/Archives/edgar/data/1462418/000162828015005394/ex103formofnon-qualifiedst.htm" TargetMode="External"/><Relationship Id="rId163" Type="http://schemas.openxmlformats.org/officeDocument/2006/relationships/hyperlink" Target="http://www.sec.gov/Archives/edgar/data/1462418/000162828016012704/employmentagreementgritt.htm" TargetMode="External"/><Relationship Id="rId164" Type="http://schemas.openxmlformats.org/officeDocument/2006/relationships/hyperlink" Target="http://www.sec.gov/Archives/edgar/data/1462418/000146241816000015/asps-9302016xex101.htm" TargetMode="External"/><Relationship Id="rId165" Type="http://schemas.openxmlformats.org/officeDocument/2006/relationships/hyperlink" Target="http://www.sec.gov/Archives/edgar/data/1462418/000146241816000007/ex101formofdirectorrestric.htm" TargetMode="External"/><Relationship Id="rId166" Type="http://schemas.openxmlformats.org/officeDocument/2006/relationships/hyperlink" Target="http://www.sec.gov/Archives/edgar/data/1462418/000146241816000009/exhibit101agreementwithalt.htm" TargetMode="External"/><Relationship Id="rId167" Type="http://schemas.openxmlformats.org/officeDocument/2006/relationships/hyperlink" Target="http://www.sec.gov/Archives/edgar/data/1462418/000146241817000010/exhibit10-1.htm" TargetMode="External"/><Relationship Id="rId168" Type="http://schemas.openxmlformats.org/officeDocument/2006/relationships/hyperlink" Target="http://www.sec.gov/Archives/edgar/data/1462418/000146241817000010/exhibit10-2.htm" TargetMode="External"/><Relationship Id="rId169" Type="http://schemas.openxmlformats.org/officeDocument/2006/relationships/hyperlink" Target="http://www.sec.gov/Archives/edgar/data/1462418/000146241817000010/exhibit10-3.htm" TargetMode="External"/><Relationship Id="rId170" Type="http://schemas.openxmlformats.org/officeDocument/2006/relationships/hyperlink" Target="http://www.sec.gov/Archives/edgar/data/1462418/000146241817000010/exhibit10-4.htm" TargetMode="External"/><Relationship Id="rId171" Type="http://schemas.openxmlformats.org/officeDocument/2006/relationships/hyperlink" Target="http://www.sec.gov/Archives/edgar/data/1462418/000146241817000039/asps-9302017ex108.htm" TargetMode="External"/><Relationship Id="rId172" Type="http://schemas.openxmlformats.org/officeDocument/2006/relationships/hyperlink" Target="http://www.sec.gov/Archives/edgar/data/1462418/000146241817000039/asps-9302017ex109.htm" TargetMode="External"/><Relationship Id="rId173" Type="http://schemas.openxmlformats.org/officeDocument/2006/relationships/hyperlink" Target="http://www.sec.gov/Archives/edgar/data/1462418/000146241818000011/asps-12312017ex1071.htm" TargetMode="External"/><Relationship Id="rId174" Type="http://schemas.openxmlformats.org/officeDocument/2006/relationships/hyperlink" Target="http://www.sec.gov/Archives/edgar/data/1462418/000146241818000011/asps-12312017ex1072.htm" TargetMode="External"/><Relationship Id="rId175" Type="http://schemas.openxmlformats.org/officeDocument/2006/relationships/hyperlink" Target="http://www.sec.gov/Archives/edgar/data/1462418/000146241818000021/asps-3312018ex101.htm" TargetMode="External"/><Relationship Id="rId176" Type="http://schemas.openxmlformats.org/officeDocument/2006/relationships/hyperlink" Target="http://www.sec.gov/Archives/edgar/data/1462418/000146241818000021/asps-3312018ex102.htm" TargetMode="External"/><Relationship Id="rId177" Type="http://schemas.openxmlformats.org/officeDocument/2006/relationships/hyperlink" Target="http://www.sec.gov/Archives/edgar/data/1462418/000146241818000021/asps-3312018ex103.htm" TargetMode="External"/><Relationship Id="rId178" Type="http://schemas.openxmlformats.org/officeDocument/2006/relationships/hyperlink" Target="http://www.sec.gov/Archives/edgar/data/1462418/000146241818000016/exhibit101_432018.htm" TargetMode="External"/><Relationship Id="rId179" Type="http://schemas.openxmlformats.org/officeDocument/2006/relationships/hyperlink" Target="http://www.sec.gov/Archives/edgar/data/1462418/000146241818000033/asps-6302018ex101.htm" TargetMode="External"/><Relationship Id="rId180" Type="http://schemas.openxmlformats.org/officeDocument/2006/relationships/hyperlink" Target="http://www.sec.gov/Archives/edgar/data/1462418/000146241818000033/asps-6302018ex103.htm" TargetMode="External"/><Relationship Id="rId182" Type="http://schemas.openxmlformats.org/officeDocument/2006/relationships/hyperlink" Target="http://www.sec.gov/Archives/edgar/data/1462418/000146241818000036/ex101resiomnibusamendment.htm" TargetMode="External"/><Relationship Id="rId183" Type="http://schemas.openxmlformats.org/officeDocument/2006/relationships/hyperlink" Target="http://www.sec.gov/Archives/edgar/data/1462418/000146241818000055/asps-9302018ex104.htm" TargetMode="External"/><Relationship Id="rId184" Type="http://schemas.openxmlformats.org/officeDocument/2006/relationships/hyperlink" Target="http://www.sec.gov/Archives/edgar/data/1462418/000146241819000009/asps-12312018xex1078.htm" TargetMode="External"/><Relationship Id="rId185" Type="http://schemas.openxmlformats.org/officeDocument/2006/relationships/hyperlink" Target="http://www.sec.gov/Archives/edgar/data/1462418/000146241819000009/asps-12312018xex1079.htm" TargetMode="External"/><Relationship Id="rId186" Type="http://schemas.openxmlformats.org/officeDocument/2006/relationships/hyperlink" Target="http://www.sec.gov/Archives/edgar/data/1462418/000146241819000009/aspa-12312018xex1080.htm" TargetMode="External"/><Relationship Id="rId187" Type="http://schemas.openxmlformats.org/officeDocument/2006/relationships/hyperlink" Target="http://www.sec.gov/Archives/edgar/data/1462418/000146241819000009/aspa-12312018xex1081.htm" TargetMode="External"/><Relationship Id="rId188" Type="http://schemas.openxmlformats.org/officeDocument/2006/relationships/hyperlink" Target="http://www.sec.gov/Archives/edgar/data/1462418/000146241819000009/asps-12312018xex1082.htm" TargetMode="External"/><Relationship Id="rId189" Type="http://schemas.openxmlformats.org/officeDocument/2006/relationships/hyperlink" Target="http://www.sec.gov/Archives/edgar/data/1462418/000146241819000024/asps-03312019xex101.htm" TargetMode="External"/><Relationship Id="rId190" Type="http://schemas.openxmlformats.org/officeDocument/2006/relationships/hyperlink" Target="http://www.sec.gov/Archives/edgar/data/1462418/000146241819000024/asps-03312019xex102.htm" TargetMode="External"/><Relationship Id="rId191" Type="http://schemas.openxmlformats.org/officeDocument/2006/relationships/hyperlink" Target="http://www.sec.gov/Archives/edgar/data/1462418/000146241819000024/asps-03312019xex103.htm" TargetMode="External"/><Relationship Id="rId192" Type="http://schemas.openxmlformats.org/officeDocument/2006/relationships/hyperlink" Target="http://www.sec.gov/Archives/edgar/data/1462418/000146241819000024/asps-03312019xex104.htm" TargetMode="External"/><Relationship Id="rId193" Type="http://schemas.openxmlformats.org/officeDocument/2006/relationships/hyperlink" Target="http://www.sec.gov/Archives/edgar/data/1462418/000146241819000024/asps-03312019xex105.htm" TargetMode="External"/><Relationship Id="rId194" Type="http://schemas.openxmlformats.org/officeDocument/2006/relationships/hyperlink" Target="http://www.sec.gov/Archives/edgar/data/1462418/000146241819000024/asps-03312019xex106.htm" TargetMode="External"/><Relationship Id="rId195" Type="http://schemas.openxmlformats.org/officeDocument/2006/relationships/hyperlink" Target="http://www.sec.gov/Archives/edgar/data/1462418/000146241819000037/asps-06302019xex101.htm" TargetMode="External"/><Relationship Id="rId196" Type="http://schemas.openxmlformats.org/officeDocument/2006/relationships/hyperlink" Target="http://www.sec.gov/Archives/edgar/data/1462418/000146241819000054/asps-09302019xex101.htm" TargetMode="External"/><Relationship Id="rId197" Type="http://schemas.openxmlformats.org/officeDocument/2006/relationships/hyperlink" Target="https://www.sec.gov/Archives/edgar/data/0001462418/000146241821000019/asps-03312021xex101.htm" TargetMode="External"/><Relationship Id="rId198" Type="http://schemas.openxmlformats.org/officeDocument/2006/relationships/hyperlink" Target="https://www.sec.gov/Archives/edgar/data/0001462418/000146241821000019/asps-03312021xex102.htm" TargetMode="External"/><Relationship Id="rId199" Type="http://schemas.openxmlformats.org/officeDocument/2006/relationships/hyperlink" Target="https://www.sec.gov/Archives/edgar/data/0001462418/000146241821000019/asps-03312021xex103.htm" TargetMode="External"/><Relationship Id="rId200" Type="http://schemas.openxmlformats.org/officeDocument/2006/relationships/hyperlink" Target="https://www.sec.gov/Archives/edgar/data/0001462418/000146241821000025/ex101creditagreement.htm" TargetMode="External"/><Relationship Id="rId202" Type="http://schemas.openxmlformats.org/officeDocument/2006/relationships/hyperlink" Target="https://www.sec.gov/Archives/edgar/data/1462418/000146241822000020/asps-03312022xex101.htm" TargetMode="External"/><Relationship Id="rId203" Type="http://schemas.openxmlformats.org/officeDocument/2006/relationships/hyperlink" Target="https://www.sec.gov/Archives/edgar/data/1462418/000146241823000006/altisource-transactionsu.htm" TargetMode="External"/><Relationship Id="rId204" Type="http://schemas.openxmlformats.org/officeDocument/2006/relationships/hyperlink" Target="https://www.sec.gov/Archives/edgar/data/1462418/000146241823000019/ex102-altisourcexregistr.htm" TargetMode="External"/><Relationship Id="rId205" Type="http://schemas.openxmlformats.org/officeDocument/2006/relationships/hyperlink" Target="https://www.sec.gov/Archives/edgar/data/1462418/000146241823000019/ex103-altisourcexwarrant.htm" TargetMode="External"/><Relationship Id="rId206" Type="http://schemas.openxmlformats.org/officeDocument/2006/relationships/hyperlink" Target="https://www.sec.gov/Archives/edgar/data/1462418/000146241823000024/altisource-amendmentandr.htm" TargetMode="External"/><Relationship Id="rId207" Type="http://schemas.openxmlformats.org/officeDocument/2006/relationships/hyperlink" Target="https://www.sec.gov/Archives/edgar/data/1462418/000146241823000024/executedaltisource-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2024-03-07T06:15:55Z</dcterms:created>
  <dcterms:modified xsi:type="dcterms:W3CDTF">2024-03-07T06:15:55Z</dcterms:modified>
</cp:coreProperties>
</file>