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11">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11"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UNITED STATES</w:t>
      </w:r>
    </w:p>
    <w:p>
      <w:pPr>
        <w:spacing w:after="0" w:line="24"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Washington, D.C. 20549</w:t>
      </w:r>
    </w:p>
    <w:p>
      <w:pPr>
        <w:spacing w:after="0" w:line="198" w:lineRule="exact"/>
        <w:rPr>
          <w:sz w:val="24"/>
          <w:szCs w:val="24"/>
          <w:color w:val="auto"/>
        </w:rPr>
      </w:pPr>
    </w:p>
    <w:p>
      <w:pPr>
        <w:jc w:val="center"/>
        <w:ind w:right="-1159"/>
        <w:spacing w:after="0"/>
        <w:rPr>
          <w:sz w:val="20"/>
          <w:szCs w:val="20"/>
          <w:color w:val="auto"/>
        </w:rPr>
      </w:pPr>
      <w:r>
        <w:rPr>
          <w:rFonts w:ascii="Arial" w:cs="Arial" w:eastAsia="Arial" w:hAnsi="Arial"/>
          <w:sz w:val="23"/>
          <w:szCs w:val="23"/>
          <w:b w:val="1"/>
          <w:bCs w:val="1"/>
          <w:color w:val="auto"/>
        </w:rPr>
        <w:t>SCHEDULE 14A INFORMATION</w:t>
      </w:r>
    </w:p>
    <w:p>
      <w:pPr>
        <w:spacing w:after="0" w:line="236"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Proxy Statement Pursuant to Section 14(a) of the</w:t>
      </w:r>
    </w:p>
    <w:p>
      <w:pPr>
        <w:spacing w:after="0" w:line="20"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Securities Exchange Act of 1934</w:t>
      </w:r>
    </w:p>
    <w:p>
      <w:pPr>
        <w:spacing w:after="0" w:line="184"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48" w:lineRule="exact"/>
        <w:rPr>
          <w:sz w:val="24"/>
          <w:szCs w:val="24"/>
          <w:color w:val="auto"/>
        </w:rPr>
      </w:pPr>
    </w:p>
    <w:p>
      <w:pPr>
        <w:ind w:left="1520" w:hanging="374"/>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4" w:lineRule="exact"/>
        <w:rPr>
          <w:sz w:val="24"/>
          <w:szCs w:val="24"/>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52" w:lineRule="exact"/>
        <w:rPr>
          <w:rFonts w:ascii="Arial" w:cs="Arial" w:eastAsia="Arial" w:hAnsi="Arial"/>
          <w:sz w:val="17"/>
          <w:szCs w:val="17"/>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48" w:lineRule="exact"/>
        <w:rPr>
          <w:rFonts w:ascii="Arial" w:cs="Arial" w:eastAsia="Arial" w:hAnsi="Arial"/>
          <w:sz w:val="17"/>
          <w:szCs w:val="17"/>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8" w:lineRule="exact"/>
        <w:rPr>
          <w:rFonts w:ascii="Arial" w:cs="Arial" w:eastAsia="Arial" w:hAnsi="Arial"/>
          <w:sz w:val="17"/>
          <w:szCs w:val="17"/>
          <w:color w:val="auto"/>
        </w:rPr>
      </w:pPr>
    </w:p>
    <w:p>
      <w:pPr>
        <w:ind w:left="1520" w:hanging="374"/>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74295</wp:posOffset>
            </wp:positionV>
            <wp:extent cx="581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0"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(Name of Registrant as Specified in its Charter)</w:t>
      </w:r>
    </w:p>
    <w:p>
      <w:pPr>
        <w:spacing w:after="0" w:line="244"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74295</wp:posOffset>
            </wp:positionV>
            <wp:extent cx="5817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0"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8" w:lineRule="exact"/>
        <w:rPr>
          <w:sz w:val="24"/>
          <w:szCs w:val="24"/>
          <w:color w:val="auto"/>
        </w:rPr>
      </w:pPr>
    </w:p>
    <w:p>
      <w:pPr>
        <w:ind w:left="1520" w:hanging="374"/>
        <w:spacing w:after="0"/>
        <w:tabs>
          <w:tab w:leader="none" w:pos="1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8" w:lineRule="exact"/>
        <w:rPr>
          <w:sz w:val="24"/>
          <w:szCs w:val="24"/>
          <w:color w:val="auto"/>
        </w:rPr>
      </w:pPr>
    </w:p>
    <w:p>
      <w:pPr>
        <w:ind w:left="1520" w:hanging="374"/>
        <w:spacing w:after="0"/>
        <w:tabs>
          <w:tab w:leader="none" w:pos="1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8" w:lineRule="exact"/>
        <w:rPr>
          <w:sz w:val="24"/>
          <w:szCs w:val="24"/>
          <w:color w:val="auto"/>
        </w:rPr>
      </w:pPr>
    </w:p>
    <w:p>
      <w:pPr>
        <w:ind w:left="1860" w:right="4680" w:hanging="714"/>
        <w:spacing w:after="0" w:line="280" w:lineRule="auto"/>
        <w:tabs>
          <w:tab w:leader="none" w:pos="1521" w:val="left"/>
        </w:tabs>
        <w:numPr>
          <w:ilvl w:val="0"/>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 N/A</w:t>
      </w:r>
    </w:p>
    <w:p>
      <w:pPr>
        <w:ind w:left="1860" w:right="4380" w:hanging="714"/>
        <w:spacing w:after="0" w:line="280" w:lineRule="auto"/>
        <w:tabs>
          <w:tab w:leader="none" w:pos="1521"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 N/A</w:t>
      </w:r>
    </w:p>
    <w:p>
      <w:pPr>
        <w:ind w:left="1520" w:right="180" w:hanging="374"/>
        <w:spacing w:after="0" w:line="272"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1860"/>
        <w:spacing w:after="0"/>
        <w:rPr>
          <w:rFonts w:ascii="Arial" w:cs="Arial" w:eastAsia="Arial" w:hAnsi="Arial"/>
          <w:sz w:val="17"/>
          <w:szCs w:val="17"/>
          <w:color w:val="auto"/>
        </w:rPr>
      </w:pPr>
      <w:r>
        <w:rPr>
          <w:rFonts w:ascii="Arial" w:cs="Arial" w:eastAsia="Arial" w:hAnsi="Arial"/>
          <w:sz w:val="17"/>
          <w:szCs w:val="17"/>
          <w:color w:val="auto"/>
        </w:rPr>
        <w:t>N/A</w:t>
      </w:r>
    </w:p>
    <w:p>
      <w:pPr>
        <w:spacing w:after="0" w:line="26" w:lineRule="exact"/>
        <w:rPr>
          <w:rFonts w:ascii="Arial" w:cs="Arial" w:eastAsia="Arial" w:hAnsi="Arial"/>
          <w:sz w:val="17"/>
          <w:szCs w:val="17"/>
          <w:color w:val="auto"/>
        </w:rPr>
      </w:pPr>
    </w:p>
    <w:p>
      <w:pPr>
        <w:ind w:left="1520" w:hanging="374"/>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-838835</wp:posOffset>
            </wp:positionV>
            <wp:extent cx="5560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-549275</wp:posOffset>
            </wp:positionV>
            <wp:extent cx="5560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-126365</wp:posOffset>
            </wp:positionV>
            <wp:extent cx="5560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163195</wp:posOffset>
            </wp:positionV>
            <wp:extent cx="5560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pacing w:after="0" w:line="241" w:lineRule="exact"/>
        <w:rPr>
          <w:sz w:val="24"/>
          <w:szCs w:val="24"/>
          <w:color w:val="auto"/>
        </w:rPr>
      </w:pPr>
    </w:p>
    <w:p>
      <w:pPr>
        <w:ind w:left="1520" w:hanging="374"/>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8"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5"/>
          <w:szCs w:val="15"/>
          <w:color w:val="auto"/>
        </w:rPr>
        <w:t>Fee paid previously with preliminary materials.</w:t>
      </w:r>
    </w:p>
    <w:p>
      <w:pPr>
        <w:spacing w:after="0" w:line="248" w:lineRule="exact"/>
        <w:rPr>
          <w:rFonts w:ascii="Arial" w:cs="Arial" w:eastAsia="Arial" w:hAnsi="Arial"/>
          <w:sz w:val="17"/>
          <w:szCs w:val="17"/>
          <w:color w:val="auto"/>
        </w:rPr>
      </w:pPr>
    </w:p>
    <w:p>
      <w:pPr>
        <w:ind w:left="1940" w:hanging="418"/>
        <w:spacing w:after="0" w:line="268" w:lineRule="auto"/>
        <w:rPr>
          <w:rFonts w:ascii="Arial" w:cs="Arial" w:eastAsia="Arial" w:hAnsi="Arial"/>
          <w:sz w:val="17"/>
          <w:szCs w:val="17"/>
          <w:color w:val="auto"/>
        </w:rPr>
      </w:pPr>
      <w:r>
        <w:rPr>
          <w:rFonts w:ascii="Arial" w:cs="Arial" w:eastAsia="Arial" w:hAnsi="Arial"/>
          <w:sz w:val="17"/>
          <w:szCs w:val="17"/>
          <w:color w:val="auto"/>
        </w:rPr>
        <w:t>oCheck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sz w:val="24"/>
          <w:szCs w:val="24"/>
          <w:color w:val="auto"/>
        </w:rPr>
      </w:pPr>
    </w:p>
    <w:p>
      <w:pPr>
        <w:ind w:left="1860" w:right="7040" w:hanging="714"/>
        <w:spacing w:after="0" w:line="280" w:lineRule="auto"/>
        <w:tabs>
          <w:tab w:leader="none" w:pos="1521"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Previously Paid: N/A</w:t>
      </w:r>
    </w:p>
    <w:p>
      <w:pPr>
        <w:ind w:left="1860" w:right="5560" w:hanging="714"/>
        <w:spacing w:after="0" w:line="280" w:lineRule="auto"/>
        <w:tabs>
          <w:tab w:leader="none" w:pos="1521"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Form, Schedule or Registration Statement No.: N/A</w:t>
      </w:r>
    </w:p>
    <w:p>
      <w:pPr>
        <w:ind w:left="1520" w:hanging="374"/>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-416560</wp:posOffset>
            </wp:positionV>
            <wp:extent cx="556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-126365</wp:posOffset>
            </wp:positionV>
            <wp:extent cx="556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163195</wp:posOffset>
            </wp:positionV>
            <wp:extent cx="556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pacing w:after="0" w:line="241" w:lineRule="exact"/>
        <w:rPr>
          <w:sz w:val="24"/>
          <w:szCs w:val="24"/>
          <w:color w:val="auto"/>
        </w:rPr>
      </w:pPr>
    </w:p>
    <w:p>
      <w:pPr>
        <w:ind w:left="1860" w:right="8000" w:hanging="714"/>
        <w:spacing w:after="0" w:line="386" w:lineRule="auto"/>
        <w:tabs>
          <w:tab w:leader="none" w:pos="1521" w:val="left"/>
        </w:tabs>
        <w:numPr>
          <w:ilvl w:val="0"/>
          <w:numId w:val="8"/>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-64770</wp:posOffset>
            </wp:positionV>
            <wp:extent cx="5560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ectPr>
          <w:pgSz w:w="11900" w:h="16838" w:orient="portrait"/>
          <w:cols w:equalWidth="0" w:num="1">
            <w:col w:w="10280"/>
          </w:cols>
          <w:pgMar w:left="240" w:top="457" w:right="1379" w:bottom="814" w:gutter="0" w:footer="0" w:header="0"/>
        </w:sectPr>
      </w:pPr>
    </w:p>
    <w:bookmarkStart w:id="1" w:name="page2"/>
    <w:bookmarkEnd w:id="1"/>
    <w:p>
      <w:pPr>
        <w:jc w:val="center"/>
        <w:ind w:right="-139"/>
        <w:spacing w:after="0"/>
        <w:tabs>
          <w:tab w:leader="none" w:pos="16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4646930</wp:posOffset>
            </wp:positionH>
            <wp:positionV relativeFrom="page">
              <wp:posOffset>88900</wp:posOffset>
            </wp:positionV>
            <wp:extent cx="2759710" cy="671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59710" cy="671195"/>
                    </a:xfrm>
                    <a:prstGeom prst="rect">
                      <a:avLst/>
                    </a:prstGeom>
                    <a:noFill/>
                  </pic:spPr>
                </pic:pic>
              </a:graphicData>
            </a:graphic>
          </wp:anchor>
        </w:drawing>
        <w:t>February [</w:t>
      </w:r>
      <w:r>
        <w:rPr>
          <w:sz w:val="20"/>
          <w:szCs w:val="20"/>
          <w:color w:val="auto"/>
        </w:rPr>
        <w:tab/>
      </w:r>
      <w:r>
        <w:rPr>
          <w:rFonts w:ascii="Arial" w:cs="Arial" w:eastAsia="Arial" w:hAnsi="Arial"/>
          <w:sz w:val="15"/>
          <w:szCs w:val="15"/>
          <w:color w:val="auto"/>
        </w:rPr>
        <w:t>], 2014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On behalf of the Board of Directors, we cordially invite you to attend the Special Meeting of Shareholders of Altisource Portfolio Solutions S.A. which will be held at</w:t>
      </w:r>
    </w:p>
    <w:p>
      <w:pPr>
        <w:spacing w:after="0" w:line="43" w:lineRule="exact"/>
        <w:rPr>
          <w:sz w:val="20"/>
          <w:szCs w:val="20"/>
          <w:color w:val="auto"/>
        </w:rPr>
      </w:pPr>
    </w:p>
    <w:p>
      <w:pPr>
        <w:ind w:right="100"/>
        <w:spacing w:after="0" w:line="341" w:lineRule="auto"/>
        <w:rPr>
          <w:sz w:val="20"/>
          <w:szCs w:val="20"/>
          <w:color w:val="auto"/>
        </w:rPr>
      </w:pPr>
      <w:r>
        <w:rPr>
          <w:rFonts w:ascii="Arial" w:cs="Arial" w:eastAsia="Arial" w:hAnsi="Arial"/>
          <w:sz w:val="15"/>
          <w:szCs w:val="15"/>
          <w:color w:val="auto"/>
        </w:rPr>
        <w:t>the offices of the Company located at 40, avenue Monterey, L-2163 Luxembourg City, Grand Duchy of Luxembourg on [ ], February [ ], 2014, at 9:00 a.m., Central European Time. The matters to be considered by shareholders at the Special Meeting of Shareholders are described in detail in the accompanying materials.</w:t>
      </w:r>
    </w:p>
    <w:p>
      <w:pPr>
        <w:spacing w:after="0" w:line="130"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It is very important that you be represented at the Special Meeting of Shareholders regardless of the number of shares you own or whether you are able to attend the Special Meeting of Shareholders in person. We urge you to complete your proxy card in one of the manners described in the accompanying materials even if you plan to attend the Special Meeting of Shareholders. This will not prevent you from voting in person but will ensure that your vote is counted if you are unable to attend.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Your support of and interest in Altisource Portfolio Solutions S.A. is sincerely appreciated.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554990" cy="571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99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William C. Erbey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105219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21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919480</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316230</wp:posOffset>
            </wp:positionV>
            <wp:extent cx="3662680" cy="472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62680" cy="472440"/>
                    </a:xfrm>
                    <a:prstGeom prst="rect">
                      <a:avLst/>
                    </a:prstGeom>
                    <a:noFill/>
                  </pic:spPr>
                </pic:pic>
              </a:graphicData>
            </a:graphic>
          </wp:anchor>
        </w:drawing>
      </w:r>
    </w:p>
    <w:p>
      <w:pPr>
        <w:sectPr>
          <w:pgSz w:w="11900" w:h="16838" w:orient="portrait"/>
          <w:cols w:equalWidth="0" w:num="1">
            <w:col w:w="11300"/>
          </w:cols>
          <w:pgMar w:left="240" w:top="1397"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ALTISOURCE PORTFOLIO SOLUTIONS S.A.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40, avenue Monterey</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L-2163 Luxembourg City</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Duchy of Luxembourg</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R.C.S. Luxembourg B 72 391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SPECIAL MEETING OF SHAREHOLDERS</w:t>
      </w:r>
    </w:p>
    <w:p>
      <w:pPr>
        <w:spacing w:after="0" w:line="24"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7"/>
          <w:szCs w:val="17"/>
          <w:b w:val="1"/>
          <w:bCs w:val="1"/>
          <w:color w:val="auto"/>
        </w:rPr>
        <w:t xml:space="preserve">TO BE HELD ON FEBRUARY </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 2014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NOTICE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Our Special Meeting of Shareholders will be held:</w:t>
      </w:r>
    </w:p>
    <w:p>
      <w:pPr>
        <w:spacing w:after="0" w:line="200" w:lineRule="exact"/>
        <w:rPr>
          <w:sz w:val="20"/>
          <w:szCs w:val="20"/>
          <w:color w:val="auto"/>
        </w:rPr>
      </w:pPr>
    </w:p>
    <w:p>
      <w:pPr>
        <w:spacing w:after="0" w:line="371" w:lineRule="exact"/>
        <w:rPr>
          <w:sz w:val="20"/>
          <w:szCs w:val="20"/>
          <w:color w:val="auto"/>
        </w:rPr>
      </w:pPr>
    </w:p>
    <w:p>
      <w:pPr>
        <w:ind w:left="1500"/>
        <w:spacing w:after="0"/>
        <w:tabs>
          <w:tab w:leader="none" w:pos="2420" w:val="left"/>
          <w:tab w:leader="none" w:pos="2980" w:val="left"/>
          <w:tab w:leader="none" w:pos="404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February [</w:t>
      </w:r>
      <w:r>
        <w:rPr>
          <w:sz w:val="20"/>
          <w:szCs w:val="20"/>
          <w:color w:val="auto"/>
        </w:rPr>
        <w:tab/>
      </w:r>
      <w:r>
        <w:rPr>
          <w:rFonts w:ascii="Arial" w:cs="Arial" w:eastAsia="Arial" w:hAnsi="Arial"/>
          <w:sz w:val="15"/>
          <w:szCs w:val="15"/>
          <w:color w:val="auto"/>
        </w:rPr>
        <w:t>], 2014</w:t>
      </w:r>
    </w:p>
    <w:p>
      <w:pPr>
        <w:spacing w:after="0" w:line="222"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9:00 a.m., Central European Time</w:t>
      </w:r>
    </w:p>
    <w:p>
      <w:pPr>
        <w:spacing w:after="0" w:line="222"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Altisource Portfolio Solutions S.A.</w:t>
      </w:r>
    </w:p>
    <w:p>
      <w:pPr>
        <w:spacing w:after="0" w:line="24"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40, avenue Monterey</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L-2163 Luxembourg City</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Grand Duchy of Luxembourg</w:t>
      </w:r>
    </w:p>
    <w:p>
      <w:pPr>
        <w:spacing w:after="0" w:line="229" w:lineRule="exact"/>
        <w:rPr>
          <w:sz w:val="20"/>
          <w:szCs w:val="20"/>
          <w:color w:val="auto"/>
        </w:rPr>
      </w:pPr>
    </w:p>
    <w:p>
      <w:pPr>
        <w:ind w:left="1040" w:right="320" w:hanging="514"/>
        <w:spacing w:after="0" w:line="280"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a share repurchase program whereby Altisource Portfolio Solutions S.A. may repurchase outstanding shares of its common stock within certain limits; and</w:t>
      </w:r>
    </w:p>
    <w:p>
      <w:pPr>
        <w:spacing w:after="0" w:line="196" w:lineRule="exact"/>
        <w:rPr>
          <w:rFonts w:ascii="Arial" w:cs="Arial" w:eastAsia="Arial" w:hAnsi="Arial"/>
          <w:sz w:val="17"/>
          <w:szCs w:val="17"/>
          <w:color w:val="auto"/>
        </w:rPr>
      </w:pPr>
    </w:p>
    <w:p>
      <w:pPr>
        <w:ind w:left="1040" w:hanging="51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PROCEDURES</w:t>
      </w:r>
    </w:p>
    <w:p>
      <w:pPr>
        <w:spacing w:after="0" w:line="239" w:lineRule="exact"/>
        <w:rPr>
          <w:sz w:val="20"/>
          <w:szCs w:val="20"/>
          <w:color w:val="auto"/>
        </w:rPr>
      </w:pPr>
    </w:p>
    <w:p>
      <w:pPr>
        <w:ind w:left="1040" w:hanging="514"/>
        <w:spacing w:after="0" w:line="280"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Board of Directors has fixed February [ ], 2014 as the record date for the determination of shareholders entitled to notice of and to vote at the Special Meeting of Shareholders.</w:t>
      </w:r>
    </w:p>
    <w:p>
      <w:pPr>
        <w:spacing w:after="0" w:line="183" w:lineRule="exact"/>
        <w:rPr>
          <w:rFonts w:ascii="Arial" w:cs="Arial" w:eastAsia="Arial" w:hAnsi="Arial"/>
          <w:sz w:val="17"/>
          <w:szCs w:val="17"/>
          <w:color w:val="auto"/>
        </w:rPr>
      </w:pPr>
    </w:p>
    <w:p>
      <w:pPr>
        <w:ind w:left="1040" w:right="560" w:hanging="514"/>
        <w:spacing w:after="0" w:line="280"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Only shareholders of record at the close of business on that date will be entitled to vote at the Special Meeting of Shareholders, unless otherwise provided under Luxembourg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972310" cy="447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February [</w:t>
      </w:r>
      <w:r>
        <w:rPr>
          <w:sz w:val="20"/>
          <w:szCs w:val="20"/>
          <w:color w:val="auto"/>
        </w:rPr>
        <w:tab/>
      </w:r>
      <w:r>
        <w:rPr>
          <w:rFonts w:ascii="Arial" w:cs="Arial" w:eastAsia="Arial" w:hAnsi="Arial"/>
          <w:sz w:val="15"/>
          <w:szCs w:val="15"/>
          <w:color w:val="auto"/>
        </w:rPr>
        <w:t>], 2014</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72555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ALTISOURCE PORTFOLIO SOLUTIONS S.A.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MEETING OF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26"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We have made this proxy statement available to you on or about February [</w:t>
      </w:r>
      <w:r>
        <w:rPr>
          <w:sz w:val="20"/>
          <w:szCs w:val="20"/>
          <w:color w:val="auto"/>
        </w:rPr>
        <w:tab/>
      </w:r>
      <w:r>
        <w:rPr>
          <w:rFonts w:ascii="Arial" w:cs="Arial" w:eastAsia="Arial" w:hAnsi="Arial"/>
          <w:sz w:val="15"/>
          <w:szCs w:val="15"/>
          <w:color w:val="auto"/>
        </w:rPr>
        <w:t>], 2014, as a holder of common stock of Altisource Portfolio Solutions S.A.</w:t>
      </w:r>
    </w:p>
    <w:p>
      <w:pPr>
        <w:spacing w:after="0" w:line="20"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("Altisource" or the "Company") because our Board of Directors is soliciting your proxy to be used at our Special Meeting of Shareholders and at any adjournment or postponement of this meeting. The Special Meeting of Shareholders will be held at our offices located at 40, avenue Monterey, L-2163 Luxembourg City, Grand Duchy</w:t>
      </w:r>
    </w:p>
    <w:p>
      <w:pPr>
        <w:spacing w:after="0" w:line="1" w:lineRule="exact"/>
        <w:rPr>
          <w:sz w:val="20"/>
          <w:szCs w:val="20"/>
          <w:color w:val="auto"/>
        </w:rPr>
      </w:pPr>
    </w:p>
    <w:p>
      <w:pPr>
        <w:spacing w:after="0"/>
        <w:tabs>
          <w:tab w:leader="none" w:pos="1860" w:val="left"/>
          <w:tab w:leader="none" w:pos="3220" w:val="left"/>
        </w:tabs>
        <w:rPr>
          <w:sz w:val="20"/>
          <w:szCs w:val="20"/>
          <w:color w:val="auto"/>
        </w:rPr>
      </w:pPr>
      <w:r>
        <w:rPr>
          <w:rFonts w:ascii="Arial" w:cs="Arial" w:eastAsia="Arial" w:hAnsi="Arial"/>
          <w:sz w:val="17"/>
          <w:szCs w:val="17"/>
          <w:color w:val="auto"/>
        </w:rPr>
        <w:t>of Luxembourg on [</w:t>
      </w:r>
      <w:r>
        <w:rPr>
          <w:sz w:val="20"/>
          <w:szCs w:val="20"/>
          <w:color w:val="auto"/>
        </w:rPr>
        <w:tab/>
      </w:r>
      <w:r>
        <w:rPr>
          <w:rFonts w:ascii="Arial" w:cs="Arial" w:eastAsia="Arial" w:hAnsi="Arial"/>
          <w:sz w:val="17"/>
          <w:szCs w:val="17"/>
          <w:color w:val="auto"/>
        </w:rPr>
        <w:t>], February [</w:t>
      </w:r>
      <w:r>
        <w:rPr>
          <w:sz w:val="20"/>
          <w:szCs w:val="20"/>
          <w:color w:val="auto"/>
        </w:rPr>
        <w:tab/>
      </w:r>
      <w:r>
        <w:rPr>
          <w:rFonts w:ascii="Arial" w:cs="Arial" w:eastAsia="Arial" w:hAnsi="Arial"/>
          <w:sz w:val="15"/>
          <w:szCs w:val="15"/>
          <w:color w:val="auto"/>
        </w:rPr>
        <w:t>], 2014, at 9:00 a.m., Central European Time for the purposes listed in the Notice of Special Meeting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 Proxy Works</w:t>
      </w:r>
    </w:p>
    <w:p>
      <w:pPr>
        <w:spacing w:after="0" w:line="226"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If you properly complete, sign and return your proxy to Altisource and do not revoke it prior to its use, it will be voted in accordance with your instructions. If no contrary instructions are given, other than as discussed below with respect to broker "non-votes," each proxy received will be voted to approve a share repurchase program whereby Altisource may repurchase outstanding shares of its common stock within certain limits; and with regard to any other business that properly comes before the meeting in accordance with the best judgment of the persons appointed as proxies.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a Proxy</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Your proxy may be used only at the Special Meeting of Shareholders and any adjournment or postponement of this meeting and will not be used for any other meeting.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You have the power to revoke your proxy at any time before it is exercised by:</w:t>
      </w:r>
    </w:p>
    <w:p>
      <w:pPr>
        <w:spacing w:after="0" w:line="229" w:lineRule="exact"/>
        <w:rPr>
          <w:sz w:val="20"/>
          <w:szCs w:val="20"/>
          <w:color w:val="auto"/>
        </w:rPr>
      </w:pPr>
    </w:p>
    <w:p>
      <w:pPr>
        <w:ind w:left="1040" w:hanging="514"/>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filing written notice with our Corporate Secretary at the following address:</w:t>
      </w:r>
    </w:p>
    <w:p>
      <w:pPr>
        <w:spacing w:after="0" w:line="22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Kevin J. Wilcox, Corporate Secretary</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Altisource Portfolio Solutions S.A.</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40, avenue Monterey</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L-2163 Luxembourg City</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Grand Duchy of Luxembourg</w:t>
      </w:r>
    </w:p>
    <w:p>
      <w:pPr>
        <w:spacing w:after="0" w:line="242" w:lineRule="exact"/>
        <w:rPr>
          <w:sz w:val="20"/>
          <w:szCs w:val="20"/>
          <w:color w:val="auto"/>
        </w:rPr>
      </w:pPr>
    </w:p>
    <w:p>
      <w:pPr>
        <w:ind w:left="1040" w:hanging="51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submitting a properly executed proxy bearing a later date; or</w:t>
      </w:r>
    </w:p>
    <w:p>
      <w:pPr>
        <w:spacing w:after="0" w:line="235" w:lineRule="exact"/>
        <w:rPr>
          <w:rFonts w:ascii="Arial" w:cs="Arial" w:eastAsia="Arial" w:hAnsi="Arial"/>
          <w:sz w:val="17"/>
          <w:szCs w:val="17"/>
          <w:color w:val="auto"/>
        </w:rPr>
      </w:pPr>
    </w:p>
    <w:p>
      <w:pPr>
        <w:ind w:left="1040" w:hanging="51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appearing at the Special Meeting of Shareholders and giving the Corporate Secretary notice of your intention to vote in person.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May Vote</w:t>
      </w:r>
    </w:p>
    <w:p>
      <w:pPr>
        <w:spacing w:after="0" w:line="226"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Under Luxembourg law, you are entitled to vote at the Special Meeting of Shareholders or any adjournment or postponement of the Special Meeting of Shareholders if you are a holder of record of our common stock on the meeting date, or, if you hold our common stock through a clearing agency, you are a holder as midnight, Luxembourg time on the fourteenth day prior to the meeting date. For purposes of establishing those holders to whom proxies will be mailed, our Board of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gridSpan w:val="2"/>
          </w:tcPr>
          <w:p>
            <w:pPr>
              <w:spacing w:after="0"/>
              <w:rPr>
                <w:sz w:val="20"/>
                <w:szCs w:val="20"/>
                <w:color w:val="auto"/>
              </w:rPr>
            </w:pPr>
            <w:r>
              <w:rPr>
                <w:rFonts w:ascii="Arial" w:cs="Arial" w:eastAsia="Arial" w:hAnsi="Arial"/>
                <w:sz w:val="17"/>
                <w:szCs w:val="17"/>
                <w:color w:val="auto"/>
                <w:w w:val="93"/>
              </w:rPr>
              <w:t>has set a record date and time of the close of business on February [</w:t>
            </w:r>
          </w:p>
        </w:tc>
        <w:tc>
          <w:tcPr>
            <w:tcW w:w="3640" w:type="dxa"/>
            <w:vAlign w:val="bottom"/>
          </w:tcPr>
          <w:p>
            <w:pPr>
              <w:jc w:val="right"/>
              <w:ind w:right="155"/>
              <w:spacing w:after="0"/>
              <w:rPr>
                <w:sz w:val="20"/>
                <w:szCs w:val="20"/>
                <w:color w:val="auto"/>
              </w:rPr>
            </w:pPr>
            <w:r>
              <w:rPr>
                <w:rFonts w:ascii="Arial" w:cs="Arial" w:eastAsia="Arial" w:hAnsi="Arial"/>
                <w:sz w:val="17"/>
                <w:szCs w:val="17"/>
                <w:color w:val="auto"/>
                <w:w w:val="97"/>
              </w:rPr>
              <w:t>], 2014. At the close of business on February [</w:t>
            </w:r>
          </w:p>
        </w:tc>
        <w:tc>
          <w:tcPr>
            <w:tcW w:w="1980" w:type="dxa"/>
            <w:vAlign w:val="bottom"/>
          </w:tcPr>
          <w:p>
            <w:pPr>
              <w:ind w:left="260"/>
              <w:spacing w:after="0"/>
              <w:rPr>
                <w:sz w:val="20"/>
                <w:szCs w:val="20"/>
                <w:color w:val="auto"/>
              </w:rPr>
            </w:pPr>
            <w:r>
              <w:rPr>
                <w:rFonts w:ascii="Arial" w:cs="Arial" w:eastAsia="Arial" w:hAnsi="Arial"/>
                <w:sz w:val="17"/>
                <w:szCs w:val="17"/>
                <w:color w:val="auto"/>
              </w:rPr>
              <w:t>], 2014, there were [</w:t>
            </w:r>
          </w:p>
        </w:tc>
        <w:tc>
          <w:tcPr>
            <w:tcW w:w="940" w:type="dxa"/>
            <w:vAlign w:val="bottom"/>
          </w:tcPr>
          <w:p>
            <w:pPr>
              <w:ind w:left="340"/>
              <w:spacing w:after="0"/>
              <w:rPr>
                <w:sz w:val="20"/>
                <w:szCs w:val="20"/>
                <w:color w:val="auto"/>
              </w:rPr>
            </w:pPr>
            <w:r>
              <w:rPr>
                <w:rFonts w:ascii="Arial" w:cs="Arial" w:eastAsia="Arial" w:hAnsi="Arial"/>
                <w:sz w:val="17"/>
                <w:szCs w:val="17"/>
                <w:color w:val="auto"/>
                <w:w w:val="98"/>
              </w:rPr>
              <w:t>] issued</w:t>
            </w:r>
          </w:p>
        </w:tc>
      </w:tr>
      <w:tr>
        <w:trPr>
          <w:trHeight w:val="215"/>
        </w:trPr>
        <w:tc>
          <w:tcPr>
            <w:tcW w:w="1500" w:type="dxa"/>
            <w:vAlign w:val="bottom"/>
          </w:tcPr>
          <w:p>
            <w:pPr>
              <w:spacing w:after="0"/>
              <w:rPr>
                <w:sz w:val="20"/>
                <w:szCs w:val="20"/>
                <w:color w:val="auto"/>
              </w:rPr>
            </w:pPr>
            <w:r>
              <w:rPr>
                <w:rFonts w:ascii="Arial" w:cs="Arial" w:eastAsia="Arial" w:hAnsi="Arial"/>
                <w:sz w:val="17"/>
                <w:szCs w:val="17"/>
                <w:color w:val="auto"/>
              </w:rPr>
              <w:t>shares of which [</w:t>
            </w:r>
          </w:p>
        </w:tc>
        <w:tc>
          <w:tcPr>
            <w:tcW w:w="8980" w:type="dxa"/>
            <w:vAlign w:val="bottom"/>
            <w:gridSpan w:val="3"/>
          </w:tcPr>
          <w:p>
            <w:pPr>
              <w:ind w:left="340"/>
              <w:spacing w:after="0"/>
              <w:rPr>
                <w:sz w:val="20"/>
                <w:szCs w:val="20"/>
                <w:color w:val="auto"/>
              </w:rPr>
            </w:pPr>
            <w:r>
              <w:rPr>
                <w:rFonts w:ascii="Arial" w:cs="Arial" w:eastAsia="Arial" w:hAnsi="Arial"/>
                <w:sz w:val="17"/>
                <w:szCs w:val="17"/>
                <w:color w:val="auto"/>
                <w:w w:val="95"/>
              </w:rPr>
              <w:t>] shares of common stock are outstanding and able to be voted and no other class of equity securities outstanding. Each</w:t>
            </w:r>
          </w:p>
        </w:tc>
        <w:tc>
          <w:tcPr>
            <w:tcW w:w="940" w:type="dxa"/>
            <w:vAlign w:val="bottom"/>
          </w:tcPr>
          <w:p>
            <w:pPr>
              <w:spacing w:after="0"/>
              <w:rPr>
                <w:sz w:val="18"/>
                <w:szCs w:val="18"/>
                <w:color w:val="auto"/>
              </w:rPr>
            </w:pPr>
          </w:p>
        </w:tc>
      </w:tr>
      <w:tr>
        <w:trPr>
          <w:trHeight w:val="418"/>
        </w:trPr>
        <w:tc>
          <w:tcPr>
            <w:tcW w:w="15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40" w:type="dxa"/>
            <w:vAlign w:val="bottom"/>
          </w:tcPr>
          <w:p>
            <w:pPr>
              <w:jc w:val="right"/>
              <w:ind w:right="2655"/>
              <w:spacing w:after="0"/>
              <w:rPr>
                <w:sz w:val="20"/>
                <w:szCs w:val="20"/>
                <w:color w:val="auto"/>
              </w:rPr>
            </w:pPr>
            <w:r>
              <w:rPr>
                <w:rFonts w:ascii="Arial" w:cs="Arial" w:eastAsia="Arial" w:hAnsi="Arial"/>
                <w:sz w:val="17"/>
                <w:szCs w:val="17"/>
                <w:color w:val="auto"/>
              </w:rPr>
              <w:t>1</w:t>
            </w: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1"/>
        </w:trPr>
        <w:tc>
          <w:tcPr>
            <w:tcW w:w="150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share of our common stock is entitled to one (1) vote at the Special Meeting of Shareholders on all matters properly presented.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Information</w:t>
      </w:r>
    </w:p>
    <w:p>
      <w:pPr>
        <w:spacing w:after="0" w:line="226"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The proposal to approve a share repurchase program whereby Altisource may repurchase outstanding shares of its common stock within certain limits will be approved if the votes cast in favor of the action exceed the votes cast opposing the action, irrespective of the number of shares present or represented at the meeting. Any other matter properly submitted for your consideration at the Special Meeting of Shareholders will be approved with such vote as required by Luxembourg law.</w:t>
      </w:r>
    </w:p>
    <w:p>
      <w:pPr>
        <w:spacing w:after="0" w:line="14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Abstentions and broker "non-votes" will not be counted in determining the votes cast in connection with the foregoing matters. A broker "non-vote" occurs when a shareholder has not provided voting instructions to the broker on a non-routine item. In the event of a broker non-vote, brokers may not vote on behalf of their clients on the above proposals.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Please contact your bank or brokerage firm for further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w:t>
      </w:r>
    </w:p>
    <w:p>
      <w:pPr>
        <w:spacing w:after="0" w:line="24"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color w:val="auto"/>
        </w:rPr>
        <w:t>HELD ON FEBRUARY[ ], 2014</w:t>
      </w:r>
      <w:r>
        <w:rPr>
          <w:rFonts w:ascii="Arial" w:cs="Arial" w:eastAsia="Arial" w:hAnsi="Arial"/>
          <w:sz w:val="17"/>
          <w:szCs w:val="17"/>
          <w:color w:val="auto"/>
        </w:rPr>
        <w:t>: This Proxy Statement can be accessed on our website under Investor Relations—Financial Information at</w:t>
      </w:r>
      <w:r>
        <w:rPr>
          <w:rFonts w:ascii="Arial" w:cs="Arial" w:eastAsia="Arial" w:hAnsi="Arial"/>
          <w:sz w:val="17"/>
          <w:szCs w:val="17"/>
          <w:b w:val="1"/>
          <w:bCs w:val="1"/>
          <w:color w:val="auto"/>
        </w:rPr>
        <w:t xml:space="preserve"> </w:t>
      </w:r>
      <w:r>
        <w:rPr>
          <w:rFonts w:ascii="Arial" w:cs="Arial" w:eastAsia="Arial" w:hAnsi="Arial"/>
          <w:sz w:val="17"/>
          <w:szCs w:val="17"/>
          <w:color w:val="auto"/>
        </w:rPr>
        <w:t>http://ir.altisource.com/financials.cfm or on the Securities and Exchange Commission's website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In addition, you may access this proxy statement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a website that does not identify or track visitors of the site, by entering the 12 digit Control Number found on your Proxy Card in the space provided.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jc w:val="center"/>
        <w:spacing w:after="0" w:line="285" w:lineRule="auto"/>
        <w:rPr>
          <w:sz w:val="20"/>
          <w:szCs w:val="20"/>
          <w:color w:val="auto"/>
        </w:rPr>
      </w:pPr>
      <w:r>
        <w:rPr>
          <w:rFonts w:ascii="Arial" w:cs="Arial" w:eastAsia="Arial" w:hAnsi="Arial"/>
          <w:sz w:val="17"/>
          <w:szCs w:val="17"/>
          <w:b w:val="1"/>
          <w:bCs w:val="1"/>
          <w:color w:val="auto"/>
        </w:rPr>
        <w:t>APPROVAL OF A SHARE REPURCHASE PROGRAM WHEREBY ALTISOURCE MAY REPURCHASE OUTSTANDING SHARES OF ITS COMMON STOCK WITHIN CERTAIN LIMITS</w:t>
      </w:r>
    </w:p>
    <w:p>
      <w:pPr>
        <w:spacing w:after="0" w:line="166"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At the Annual Meeting of Shareholders on May 16, 2012, our shareholders approved a share repurchase program authorizing up to fifteen percent (15%) of the outstanding shares of the Company's stock to be repurchased. Under that program, shares are eligible for repurchase at a minimum price of one dollar ($1.00) per share</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and a maximum price of one hundred and twenty-five dollars ($125.00) per share. As of February [ ], 2014, the total number of shares repurchased under the program amounted to [ ]% of Altisource's [ ] outstanding shares. On February [ ], 2014, the closing trading price of the Company's common stock was [ ] dollars and [ ] cents ($ [ ]), which exceeds the upper repurchase limitation of the program. Therefore, the Board of Directors of Altisource</w:t>
      </w:r>
    </w:p>
    <w:p>
      <w:pPr>
        <w:spacing w:after="0" w:line="1" w:lineRule="exact"/>
        <w:rPr>
          <w:sz w:val="20"/>
          <w:szCs w:val="20"/>
          <w:color w:val="auto"/>
        </w:rPr>
      </w:pPr>
    </w:p>
    <w:p>
      <w:pPr>
        <w:ind w:right="420"/>
        <w:spacing w:after="0" w:line="272" w:lineRule="auto"/>
        <w:rPr>
          <w:sz w:val="20"/>
          <w:szCs w:val="20"/>
          <w:color w:val="auto"/>
        </w:rPr>
      </w:pPr>
      <w:r>
        <w:rPr>
          <w:rFonts w:ascii="Arial" w:cs="Arial" w:eastAsia="Arial" w:hAnsi="Arial"/>
          <w:sz w:val="17"/>
          <w:szCs w:val="17"/>
          <w:color w:val="auto"/>
        </w:rPr>
        <w:t>has approved presenting a new share repurchase program (the "Share Repurchase Program") to the shareholders, whereby the Board of Directors is empowered to purchase outstanding shares of the Company's stock within the following limits.</w:t>
      </w:r>
    </w:p>
    <w:p>
      <w:pPr>
        <w:spacing w:after="0" w:line="17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Share Repurchase Program will continue to be subject to Luxembourg law and provides for the equal treatment of shareholders. The term of authorization for repurchases will be five (5) years from the date of shareholder approval. The maximum number of shares authorized to be repurchased will be up to fifteen percent (15%) of shares outstanding as of the date of the shareholder approval. Shares will be eligible for purchase at a minimum price of one dollar ($1.00) per share and a maximum price of five hundred dollars ($500.00)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 Program.</w:t>
      </w:r>
    </w:p>
    <w:p>
      <w:pPr>
        <w:spacing w:after="0" w:line="17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Altisource has historically demonstrated strong cash earnings capabilities. In lieu of accumulating cash, which provides a low rate of return to shareholders, or paying dividends, which are often subject to double taxation, the Board of Directors believes the Share Repurchase Program will continue to be an effective use of Altisource's cash earnings and will provide flexibility for Altisource to be opportunistic in generating shareholder value. Additionally, the Board of Directors believes the Share Repurchase Program will assist in offsetting shareholder dilution resulting from periodic grants of equity incentive awards.</w:t>
      </w:r>
    </w:p>
    <w:p>
      <w:pPr>
        <w:spacing w:after="0" w:line="166" w:lineRule="exact"/>
        <w:rPr>
          <w:sz w:val="20"/>
          <w:szCs w:val="20"/>
          <w:color w:val="auto"/>
        </w:rPr>
      </w:pPr>
    </w:p>
    <w:p>
      <w:pPr>
        <w:jc w:val="center"/>
        <w:spacing w:after="0" w:line="285" w:lineRule="auto"/>
        <w:rPr>
          <w:sz w:val="20"/>
          <w:szCs w:val="20"/>
          <w:color w:val="auto"/>
        </w:rPr>
      </w:pPr>
      <w:r>
        <w:rPr>
          <w:rFonts w:ascii="Arial" w:cs="Arial" w:eastAsia="Arial" w:hAnsi="Arial"/>
          <w:sz w:val="17"/>
          <w:szCs w:val="17"/>
          <w:b w:val="1"/>
          <w:bCs w:val="1"/>
          <w:color w:val="auto"/>
        </w:rPr>
        <w:t>OUR BOARD OF DIRECTORS UNANIMOUSLY RECOMMENDS THAT YOU VOTE "FOR" THE APPROVAL OF A SHARE REPURCHASE PROGRAM WHEREBY ALTISOURCE MAY REPURCHASE OUTSTANDING SHARES OF ITS COMMON STOCK WITHIN CERTAIN LIMITS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 RELATED SHAREHOLDER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Common Stock</w:t>
      </w:r>
    </w:p>
    <w:p>
      <w:pPr>
        <w:spacing w:after="0" w:line="226" w:lineRule="exact"/>
        <w:rPr>
          <w:sz w:val="20"/>
          <w:szCs w:val="20"/>
          <w:color w:val="auto"/>
        </w:rPr>
      </w:pPr>
    </w:p>
    <w:p>
      <w:pPr>
        <w:spacing w:after="0"/>
        <w:tabs>
          <w:tab w:leader="none" w:pos="8520" w:val="left"/>
        </w:tabs>
        <w:rPr>
          <w:sz w:val="20"/>
          <w:szCs w:val="20"/>
          <w:color w:val="auto"/>
        </w:rPr>
      </w:pPr>
      <w:r>
        <w:rPr>
          <w:rFonts w:ascii="Arial" w:cs="Arial" w:eastAsia="Arial" w:hAnsi="Arial"/>
          <w:sz w:val="17"/>
          <w:szCs w:val="17"/>
          <w:color w:val="auto"/>
        </w:rPr>
        <w:t>The following table sets forth certain information regarding the beneficial ownership of our common stock as of February [</w:t>
      </w:r>
      <w:r>
        <w:rPr>
          <w:sz w:val="20"/>
          <w:szCs w:val="20"/>
          <w:color w:val="auto"/>
        </w:rPr>
        <w:tab/>
      </w:r>
      <w:r>
        <w:rPr>
          <w:rFonts w:ascii="Arial" w:cs="Arial" w:eastAsia="Arial" w:hAnsi="Arial"/>
          <w:sz w:val="15"/>
          <w:szCs w:val="15"/>
          <w:color w:val="auto"/>
        </w:rPr>
        <w:t>], 2014 by:</w:t>
      </w:r>
    </w:p>
    <w:p>
      <w:pPr>
        <w:spacing w:after="0" w:line="235" w:lineRule="exact"/>
        <w:rPr>
          <w:sz w:val="20"/>
          <w:szCs w:val="20"/>
          <w:color w:val="auto"/>
        </w:rPr>
      </w:pPr>
    </w:p>
    <w:p>
      <w:pPr>
        <w:ind w:left="1040" w:hanging="51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Director and named executive officer of Altisource;</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Directors and named executive officers of Altisource as a group; and</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persons known by Altisource to own beneficially 5% or more of the outstanding common stock.</w:t>
      </w:r>
    </w:p>
    <w:p>
      <w:pPr>
        <w:spacing w:after="0" w:line="222"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and filings under the Exchange Act. Unless otherwise indicated, the address of all persons below is: 40, avenue Monterey, L-2163 Luxembourg City, Grand Duchy of Luxembourg.</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720" w:type="dxa"/>
            <w:vAlign w:val="bottom"/>
            <w:gridSpan w:val="2"/>
          </w:tcPr>
          <w:p>
            <w:pPr>
              <w:ind w:left="500"/>
              <w:spacing w:after="0"/>
              <w:rPr>
                <w:sz w:val="20"/>
                <w:szCs w:val="20"/>
                <w:color w:val="auto"/>
              </w:rPr>
            </w:pPr>
            <w:r>
              <w:rPr>
                <w:rFonts w:ascii="Arial" w:cs="Arial" w:eastAsia="Arial" w:hAnsi="Arial"/>
                <w:sz w:val="17"/>
                <w:szCs w:val="17"/>
                <w:b w:val="1"/>
                <w:bCs w:val="1"/>
                <w:color w:val="auto"/>
                <w:w w:val="91"/>
              </w:rPr>
              <w:t>Shares Beneficially Owned as of February [</w:t>
            </w:r>
          </w:p>
        </w:tc>
        <w:tc>
          <w:tcPr>
            <w:tcW w:w="1540" w:type="dxa"/>
            <w:vAlign w:val="bottom"/>
          </w:tcPr>
          <w:p>
            <w:pPr>
              <w:jc w:val="right"/>
              <w:ind w:right="715"/>
              <w:spacing w:after="0"/>
              <w:rPr>
                <w:sz w:val="20"/>
                <w:szCs w:val="20"/>
                <w:color w:val="auto"/>
              </w:rPr>
            </w:pPr>
            <w:r>
              <w:rPr>
                <w:rFonts w:ascii="Arial" w:cs="Arial" w:eastAsia="Arial" w:hAnsi="Arial"/>
                <w:sz w:val="17"/>
                <w:szCs w:val="17"/>
                <w:b w:val="1"/>
                <w:bCs w:val="1"/>
                <w:color w:val="auto"/>
                <w:w w:val="95"/>
              </w:rPr>
              <w:t>], 2014</w:t>
            </w:r>
            <w:r>
              <w:rPr>
                <w:rFonts w:ascii="Arial" w:cs="Arial" w:eastAsia="Arial" w:hAnsi="Arial"/>
                <w:sz w:val="28"/>
                <w:szCs w:val="28"/>
                <w:color w:val="auto"/>
                <w:w w:val="95"/>
                <w:vertAlign w:val="superscript"/>
              </w:rPr>
              <w:t>(1)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00" w:type="dxa"/>
            <w:vAlign w:val="bottom"/>
            <w:gridSpan w:val="5"/>
          </w:tcPr>
          <w:p>
            <w:pPr>
              <w:spacing w:after="0"/>
              <w:rPr>
                <w:sz w:val="20"/>
                <w:szCs w:val="20"/>
                <w:color w:val="auto"/>
              </w:rPr>
            </w:pPr>
            <w:r>
              <w:rPr>
                <w:rFonts w:ascii="Arial" w:cs="Arial" w:eastAsia="Arial" w:hAnsi="Arial"/>
                <w:sz w:val="17"/>
                <w:szCs w:val="17"/>
                <w:b w:val="1"/>
                <w:bCs w:val="1"/>
                <w:color w:val="auto"/>
              </w:rPr>
              <w:t>Name of Beneficial Owner:</w:t>
            </w:r>
          </w:p>
        </w:tc>
        <w:tc>
          <w:tcPr>
            <w:tcW w:w="1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7"/>
                <w:szCs w:val="17"/>
                <w:b w:val="1"/>
                <w:bCs w:val="1"/>
                <w:color w:val="auto"/>
                <w:w w:val="89"/>
              </w:rPr>
              <w:t>Percent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20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FMR LLC</w:t>
            </w:r>
            <w:r>
              <w:rPr>
                <w:rFonts w:ascii="Arial" w:cs="Arial" w:eastAsia="Arial" w:hAnsi="Arial"/>
                <w:sz w:val="28"/>
                <w:szCs w:val="28"/>
                <w:color w:val="auto"/>
                <w:vertAlign w:val="superscript"/>
              </w:rPr>
              <w:t>(2)</w:t>
            </w:r>
          </w:p>
        </w:tc>
        <w:tc>
          <w:tcPr>
            <w:tcW w:w="3720" w:type="dxa"/>
            <w:vAlign w:val="bottom"/>
            <w:gridSpan w:val="2"/>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Neuberger Berman Group LLC</w:t>
            </w:r>
            <w:r>
              <w:rPr>
                <w:rFonts w:ascii="Arial" w:cs="Arial" w:eastAsia="Arial" w:hAnsi="Arial"/>
                <w:sz w:val="28"/>
                <w:szCs w:val="28"/>
                <w:color w:val="auto"/>
                <w:vertAlign w:val="superscript"/>
              </w:rPr>
              <w:t>(3)</w:t>
            </w:r>
          </w:p>
        </w:tc>
        <w:tc>
          <w:tcPr>
            <w:tcW w:w="22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center"/>
              <w:ind w:left="135"/>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2"/>
        </w:trPr>
        <w:tc>
          <w:tcPr>
            <w:tcW w:w="5800" w:type="dxa"/>
            <w:vAlign w:val="bottom"/>
            <w:gridSpan w:val="5"/>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20" w:type="dxa"/>
            <w:vAlign w:val="bottom"/>
            <w:tcBorders>
              <w:top w:val="single" w:sz="8" w:color="auto"/>
            </w:tcBorders>
            <w:gridSpan w:val="3"/>
            <w:shd w:val="clear" w:color="auto" w:fill="CCEEFF"/>
          </w:tcPr>
          <w:p>
            <w:pPr>
              <w:spacing w:after="0" w:line="242" w:lineRule="exact"/>
              <w:rPr>
                <w:sz w:val="20"/>
                <w:szCs w:val="20"/>
                <w:color w:val="auto"/>
              </w:rPr>
            </w:pPr>
            <w:r>
              <w:rPr>
                <w:rFonts w:ascii="Arial" w:cs="Arial" w:eastAsia="Arial" w:hAnsi="Arial"/>
                <w:sz w:val="17"/>
                <w:szCs w:val="17"/>
                <w:color w:val="auto"/>
              </w:rPr>
              <w:t>William C. Erbey</w:t>
            </w:r>
            <w:r>
              <w:rPr>
                <w:rFonts w:ascii="Arial" w:cs="Arial" w:eastAsia="Arial" w:hAnsi="Arial"/>
                <w:sz w:val="28"/>
                <w:szCs w:val="28"/>
                <w:color w:val="auto"/>
                <w:vertAlign w:val="superscript"/>
              </w:rPr>
              <w:t>(4)</w:t>
            </w:r>
          </w:p>
        </w:tc>
        <w:tc>
          <w:tcPr>
            <w:tcW w:w="266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gridSpan w:val="4"/>
          </w:tcPr>
          <w:p>
            <w:pPr>
              <w:spacing w:after="0" w:line="247"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8"/>
                <w:szCs w:val="28"/>
                <w:color w:val="auto"/>
                <w:vertAlign w:val="superscript"/>
              </w:rPr>
              <w:t>(5)</w:t>
            </w:r>
          </w:p>
        </w:tc>
        <w:tc>
          <w:tcPr>
            <w:tcW w:w="22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gridSpan w:val="4"/>
            <w:shd w:val="clear" w:color="auto" w:fill="CCEEFF"/>
          </w:tcPr>
          <w:p>
            <w:pPr>
              <w:spacing w:after="0" w:line="247"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8"/>
                <w:szCs w:val="28"/>
                <w:color w:val="auto"/>
                <w:vertAlign w:val="superscript"/>
              </w:rPr>
              <w:t>(6)</w:t>
            </w:r>
          </w:p>
        </w:tc>
        <w:tc>
          <w:tcPr>
            <w:tcW w:w="226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gridSpan w:val="4"/>
          </w:tcPr>
          <w:p>
            <w:pPr>
              <w:spacing w:after="0" w:line="247" w:lineRule="exact"/>
              <w:rPr>
                <w:sz w:val="20"/>
                <w:szCs w:val="20"/>
                <w:color w:val="auto"/>
              </w:rPr>
            </w:pPr>
            <w:r>
              <w:rPr>
                <w:rFonts w:ascii="Arial" w:cs="Arial" w:eastAsia="Arial" w:hAnsi="Arial"/>
                <w:sz w:val="17"/>
                <w:szCs w:val="17"/>
                <w:color w:val="auto"/>
              </w:rPr>
              <w:t>W. Michael Linn</w:t>
            </w:r>
            <w:r>
              <w:rPr>
                <w:rFonts w:ascii="Arial" w:cs="Arial" w:eastAsia="Arial" w:hAnsi="Arial"/>
                <w:sz w:val="28"/>
                <w:szCs w:val="28"/>
                <w:color w:val="auto"/>
                <w:vertAlign w:val="superscript"/>
              </w:rPr>
              <w:t>(7)</w:t>
            </w:r>
          </w:p>
        </w:tc>
        <w:tc>
          <w:tcPr>
            <w:tcW w:w="22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gridSpan w:val="4"/>
            <w:shd w:val="clear" w:color="auto" w:fill="CCEEFF"/>
          </w:tcPr>
          <w:p>
            <w:pPr>
              <w:spacing w:after="0" w:line="247" w:lineRule="exact"/>
              <w:rPr>
                <w:sz w:val="20"/>
                <w:szCs w:val="20"/>
                <w:color w:val="auto"/>
              </w:rPr>
            </w:pPr>
            <w:r>
              <w:rPr>
                <w:rFonts w:ascii="Arial" w:cs="Arial" w:eastAsia="Arial" w:hAnsi="Arial"/>
                <w:sz w:val="17"/>
                <w:szCs w:val="17"/>
                <w:color w:val="auto"/>
              </w:rPr>
              <w:t>William B. Shepro</w:t>
            </w:r>
            <w:r>
              <w:rPr>
                <w:rFonts w:ascii="Arial" w:cs="Arial" w:eastAsia="Arial" w:hAnsi="Arial"/>
                <w:sz w:val="28"/>
                <w:szCs w:val="28"/>
                <w:color w:val="auto"/>
                <w:vertAlign w:val="superscript"/>
              </w:rPr>
              <w:t>(8)</w:t>
            </w:r>
          </w:p>
        </w:tc>
        <w:tc>
          <w:tcPr>
            <w:tcW w:w="226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gridSpan w:val="4"/>
          </w:tcPr>
          <w:p>
            <w:pPr>
              <w:spacing w:after="0" w:line="247" w:lineRule="exact"/>
              <w:rPr>
                <w:sz w:val="20"/>
                <w:szCs w:val="20"/>
                <w:color w:val="auto"/>
              </w:rPr>
            </w:pPr>
            <w:r>
              <w:rPr>
                <w:rFonts w:ascii="Arial" w:cs="Arial" w:eastAsia="Arial" w:hAnsi="Arial"/>
                <w:sz w:val="17"/>
                <w:szCs w:val="17"/>
                <w:color w:val="auto"/>
              </w:rPr>
              <w:t>Timo Vättö</w:t>
            </w:r>
            <w:r>
              <w:rPr>
                <w:rFonts w:ascii="Arial" w:cs="Arial" w:eastAsia="Arial" w:hAnsi="Arial"/>
                <w:sz w:val="28"/>
                <w:szCs w:val="28"/>
                <w:color w:val="auto"/>
                <w:vertAlign w:val="superscript"/>
              </w:rPr>
              <w:t>(9)</w:t>
            </w:r>
          </w:p>
        </w:tc>
        <w:tc>
          <w:tcPr>
            <w:tcW w:w="22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80" w:type="dxa"/>
            <w:vAlign w:val="bottom"/>
            <w:gridSpan w:val="4"/>
            <w:shd w:val="clear" w:color="auto" w:fill="CCEEFF"/>
          </w:tcPr>
          <w:p>
            <w:pPr>
              <w:spacing w:after="0" w:line="247" w:lineRule="exact"/>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(10)</w:t>
            </w:r>
          </w:p>
        </w:tc>
        <w:tc>
          <w:tcPr>
            <w:tcW w:w="226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All Directors and Named Executive Officers as a Group (7 persons)</w:t>
            </w:r>
          </w:p>
        </w:tc>
        <w:tc>
          <w:tcPr>
            <w:tcW w:w="226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center"/>
              <w:ind w:left="135"/>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22"/>
        </w:trPr>
        <w:tc>
          <w:tcPr>
            <w:tcW w:w="300" w:type="dxa"/>
            <w:vAlign w:val="bottom"/>
            <w:gridSpan w:val="2"/>
          </w:tcPr>
          <w:p>
            <w:pPr>
              <w:spacing w:after="0"/>
              <w:rPr>
                <w:sz w:val="20"/>
                <w:szCs w:val="20"/>
                <w:color w:val="auto"/>
              </w:rPr>
            </w:pPr>
            <w:r>
              <w:rPr>
                <w:rFonts w:ascii="Arial" w:cs="Arial" w:eastAsia="Arial" w:hAnsi="Arial"/>
                <w:sz w:val="17"/>
                <w:szCs w:val="17"/>
                <w:color w:val="auto"/>
              </w:rPr>
              <w:t>*</w:t>
            </w:r>
          </w:p>
        </w:tc>
        <w:tc>
          <w:tcPr>
            <w:tcW w:w="5500" w:type="dxa"/>
            <w:vAlign w:val="bottom"/>
            <w:gridSpan w:val="3"/>
          </w:tcPr>
          <w:p>
            <w:pPr>
              <w:ind w:left="220"/>
              <w:spacing w:after="0"/>
              <w:rPr>
                <w:sz w:val="20"/>
                <w:szCs w:val="20"/>
                <w:color w:val="auto"/>
              </w:rPr>
            </w:pPr>
            <w:r>
              <w:rPr>
                <w:rFonts w:ascii="Arial" w:cs="Arial" w:eastAsia="Arial" w:hAnsi="Arial"/>
                <w:sz w:val="17"/>
                <w:szCs w:val="17"/>
                <w:color w:val="auto"/>
              </w:rPr>
              <w:t>Less than 1%</w:t>
            </w: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660" w:right="80" w:hanging="514"/>
        <w:spacing w:after="0" w:line="222" w:lineRule="auto"/>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6020" w:type="dxa"/>
            <w:vAlign w:val="bottom"/>
            <w:gridSpan w:val="3"/>
          </w:tcPr>
          <w:p>
            <w:pPr>
              <w:ind w:left="180"/>
              <w:spacing w:after="0"/>
              <w:rPr>
                <w:sz w:val="20"/>
                <w:szCs w:val="20"/>
                <w:color w:val="auto"/>
              </w:rPr>
            </w:pPr>
            <w:r>
              <w:rPr>
                <w:rFonts w:ascii="Arial" w:cs="Arial" w:eastAsia="Arial" w:hAnsi="Arial"/>
                <w:sz w:val="17"/>
                <w:szCs w:val="17"/>
                <w:color w:val="auto"/>
              </w:rPr>
              <w:t>Based on information contained in a Schedule 13G filed with the SEC on [</w:t>
            </w:r>
          </w:p>
        </w:tc>
        <w:tc>
          <w:tcPr>
            <w:tcW w:w="2960" w:type="dxa"/>
            <w:vAlign w:val="bottom"/>
          </w:tcPr>
          <w:p>
            <w:pPr>
              <w:ind w:left="260"/>
              <w:spacing w:after="0"/>
              <w:rPr>
                <w:sz w:val="20"/>
                <w:szCs w:val="20"/>
                <w:color w:val="auto"/>
              </w:rPr>
            </w:pPr>
            <w:r>
              <w:rPr>
                <w:rFonts w:ascii="Arial" w:cs="Arial" w:eastAsia="Arial" w:hAnsi="Arial"/>
                <w:sz w:val="17"/>
                <w:szCs w:val="17"/>
                <w:color w:val="auto"/>
              </w:rPr>
              <w:t>] by FMR LLC ("FMR"). Includes [</w:t>
            </w:r>
          </w:p>
        </w:tc>
        <w:tc>
          <w:tcPr>
            <w:tcW w:w="960" w:type="dxa"/>
            <w:vAlign w:val="bottom"/>
          </w:tcPr>
          <w:p>
            <w:pPr>
              <w:ind w:left="260"/>
              <w:spacing w:after="0"/>
              <w:rPr>
                <w:sz w:val="20"/>
                <w:szCs w:val="20"/>
                <w:color w:val="auto"/>
              </w:rPr>
            </w:pPr>
            <w:r>
              <w:rPr>
                <w:rFonts w:ascii="Arial" w:cs="Arial" w:eastAsia="Arial" w:hAnsi="Arial"/>
                <w:sz w:val="17"/>
                <w:szCs w:val="17"/>
                <w:color w:val="auto"/>
                <w:w w:val="81"/>
              </w:rPr>
              <w:t>] shares as</w:t>
            </w:r>
          </w:p>
        </w:tc>
      </w:tr>
      <w:tr>
        <w:trPr>
          <w:trHeight w:val="209"/>
        </w:trPr>
        <w:tc>
          <w:tcPr>
            <w:tcW w:w="148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7"/>
                <w:szCs w:val="17"/>
                <w:color w:val="auto"/>
                <w:w w:val="95"/>
              </w:rPr>
              <w:t>to which sole voting power and [</w:t>
            </w:r>
          </w:p>
        </w:tc>
        <w:tc>
          <w:tcPr>
            <w:tcW w:w="340" w:type="dxa"/>
            <w:vAlign w:val="bottom"/>
          </w:tcPr>
          <w:p>
            <w:pPr>
              <w:spacing w:after="0"/>
              <w:rPr>
                <w:sz w:val="18"/>
                <w:szCs w:val="18"/>
                <w:color w:val="auto"/>
              </w:rPr>
            </w:pPr>
          </w:p>
        </w:tc>
        <w:tc>
          <w:tcPr>
            <w:tcW w:w="7080" w:type="dxa"/>
            <w:vAlign w:val="bottom"/>
            <w:gridSpan w:val="3"/>
          </w:tcPr>
          <w:p>
            <w:pPr>
              <w:ind w:left="80"/>
              <w:spacing w:after="0"/>
              <w:rPr>
                <w:sz w:val="20"/>
                <w:szCs w:val="20"/>
                <w:color w:val="auto"/>
              </w:rPr>
            </w:pPr>
            <w:r>
              <w:rPr>
                <w:rFonts w:ascii="Arial" w:cs="Arial" w:eastAsia="Arial" w:hAnsi="Arial"/>
                <w:sz w:val="17"/>
                <w:szCs w:val="17"/>
                <w:color w:val="auto"/>
                <w:w w:val="90"/>
              </w:rPr>
              <w:t>] shares as to which sole dispositive power is claimed. FMR's address is 82 Devonshire Street, Boston,</w:t>
            </w:r>
          </w:p>
        </w:tc>
      </w:tr>
      <w:tr>
        <w:trPr>
          <w:trHeight w:val="215"/>
        </w:trPr>
        <w:tc>
          <w:tcPr>
            <w:tcW w:w="148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7"/>
                <w:szCs w:val="17"/>
                <w:color w:val="auto"/>
              </w:rPr>
              <w:t>Massachusetts 02109.</w:t>
            </w:r>
          </w:p>
        </w:tc>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11"/>
        </w:trPr>
        <w:tc>
          <w:tcPr>
            <w:tcW w:w="148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6020" w:type="dxa"/>
            <w:vAlign w:val="bottom"/>
            <w:gridSpan w:val="3"/>
          </w:tcPr>
          <w:p>
            <w:pPr>
              <w:ind w:left="180"/>
              <w:spacing w:after="0"/>
              <w:rPr>
                <w:sz w:val="20"/>
                <w:szCs w:val="20"/>
                <w:color w:val="auto"/>
              </w:rPr>
            </w:pPr>
            <w:r>
              <w:rPr>
                <w:rFonts w:ascii="Arial" w:cs="Arial" w:eastAsia="Arial" w:hAnsi="Arial"/>
                <w:sz w:val="17"/>
                <w:szCs w:val="17"/>
                <w:color w:val="auto"/>
                <w:w w:val="96"/>
              </w:rPr>
              <w:t>Based on information contained in a Schedule 13G filed jointly with the SEC on [</w:t>
            </w:r>
          </w:p>
        </w:tc>
        <w:tc>
          <w:tcPr>
            <w:tcW w:w="3920" w:type="dxa"/>
            <w:vAlign w:val="bottom"/>
            <w:gridSpan w:val="2"/>
          </w:tcPr>
          <w:p>
            <w:pPr>
              <w:ind w:left="740"/>
              <w:spacing w:after="0"/>
              <w:rPr>
                <w:sz w:val="20"/>
                <w:szCs w:val="20"/>
                <w:color w:val="auto"/>
              </w:rPr>
            </w:pPr>
            <w:r>
              <w:rPr>
                <w:rFonts w:ascii="Arial" w:cs="Arial" w:eastAsia="Arial" w:hAnsi="Arial"/>
                <w:sz w:val="17"/>
                <w:szCs w:val="17"/>
                <w:color w:val="auto"/>
              </w:rPr>
              <w:t>] by Neuberger Berman Group LLC,</w:t>
            </w:r>
          </w:p>
        </w:tc>
      </w:tr>
      <w:tr>
        <w:trPr>
          <w:trHeight w:val="209"/>
        </w:trPr>
        <w:tc>
          <w:tcPr>
            <w:tcW w:w="1480" w:type="dxa"/>
            <w:vAlign w:val="bottom"/>
          </w:tcPr>
          <w:p>
            <w:pPr>
              <w:spacing w:after="0"/>
              <w:rPr>
                <w:sz w:val="18"/>
                <w:szCs w:val="18"/>
                <w:color w:val="auto"/>
              </w:rPr>
            </w:pPr>
          </w:p>
        </w:tc>
        <w:tc>
          <w:tcPr>
            <w:tcW w:w="8980" w:type="dxa"/>
            <w:vAlign w:val="bottom"/>
            <w:gridSpan w:val="4"/>
          </w:tcPr>
          <w:p>
            <w:pPr>
              <w:ind w:left="180"/>
              <w:spacing w:after="0"/>
              <w:rPr>
                <w:sz w:val="20"/>
                <w:szCs w:val="20"/>
                <w:color w:val="auto"/>
              </w:rPr>
            </w:pPr>
            <w:r>
              <w:rPr>
                <w:rFonts w:ascii="Arial" w:cs="Arial" w:eastAsia="Arial" w:hAnsi="Arial"/>
                <w:sz w:val="17"/>
                <w:szCs w:val="17"/>
                <w:color w:val="auto"/>
                <w:w w:val="92"/>
              </w:rPr>
              <w:t>Neuberger Berman LLC, Neuberger Berman Management LLC and Neuberger Berman Equity Funds ("Neuberger"). Includes [</w:t>
            </w:r>
          </w:p>
        </w:tc>
        <w:tc>
          <w:tcPr>
            <w:tcW w:w="960" w:type="dxa"/>
            <w:vAlign w:val="bottom"/>
          </w:tcPr>
          <w:p>
            <w:pPr>
              <w:ind w:left="380"/>
              <w:spacing w:after="0"/>
              <w:rPr>
                <w:sz w:val="20"/>
                <w:szCs w:val="20"/>
                <w:color w:val="auto"/>
              </w:rPr>
            </w:pPr>
            <w:r>
              <w:rPr>
                <w:rFonts w:ascii="Arial" w:cs="Arial" w:eastAsia="Arial" w:hAnsi="Arial"/>
                <w:sz w:val="17"/>
                <w:szCs w:val="17"/>
                <w:color w:val="auto"/>
                <w:w w:val="92"/>
              </w:rPr>
              <w:t>] shares</w:t>
            </w:r>
          </w:p>
        </w:tc>
      </w:tr>
      <w:tr>
        <w:trPr>
          <w:trHeight w:val="209"/>
        </w:trPr>
        <w:tc>
          <w:tcPr>
            <w:tcW w:w="1480" w:type="dxa"/>
            <w:vAlign w:val="bottom"/>
          </w:tcPr>
          <w:p>
            <w:pPr>
              <w:spacing w:after="0"/>
              <w:rPr>
                <w:sz w:val="18"/>
                <w:szCs w:val="18"/>
                <w:color w:val="auto"/>
              </w:rPr>
            </w:pPr>
          </w:p>
        </w:tc>
        <w:tc>
          <w:tcPr>
            <w:tcW w:w="2860" w:type="dxa"/>
            <w:vAlign w:val="bottom"/>
            <w:gridSpan w:val="2"/>
          </w:tcPr>
          <w:p>
            <w:pPr>
              <w:ind w:left="180"/>
              <w:spacing w:after="0"/>
              <w:rPr>
                <w:sz w:val="20"/>
                <w:szCs w:val="20"/>
                <w:color w:val="auto"/>
              </w:rPr>
            </w:pPr>
            <w:r>
              <w:rPr>
                <w:rFonts w:ascii="Arial" w:cs="Arial" w:eastAsia="Arial" w:hAnsi="Arial"/>
                <w:sz w:val="17"/>
                <w:szCs w:val="17"/>
                <w:color w:val="auto"/>
                <w:w w:val="93"/>
              </w:rPr>
              <w:t>as to which shared voting power and [</w:t>
            </w:r>
          </w:p>
        </w:tc>
        <w:tc>
          <w:tcPr>
            <w:tcW w:w="7080" w:type="dxa"/>
            <w:vAlign w:val="bottom"/>
            <w:gridSpan w:val="3"/>
          </w:tcPr>
          <w:p>
            <w:pPr>
              <w:ind w:left="420"/>
              <w:spacing w:after="0"/>
              <w:rPr>
                <w:sz w:val="20"/>
                <w:szCs w:val="20"/>
                <w:color w:val="auto"/>
              </w:rPr>
            </w:pPr>
            <w:r>
              <w:rPr>
                <w:rFonts w:ascii="Arial" w:cs="Arial" w:eastAsia="Arial" w:hAnsi="Arial"/>
                <w:sz w:val="17"/>
                <w:szCs w:val="17"/>
                <w:color w:val="auto"/>
                <w:w w:val="97"/>
              </w:rPr>
              <w:t>] shares as to which shared dispositive power is claimed. Neuberger's address is 605 Third</w:t>
            </w:r>
          </w:p>
        </w:tc>
      </w:tr>
      <w:tr>
        <w:trPr>
          <w:trHeight w:val="215"/>
        </w:trPr>
        <w:tc>
          <w:tcPr>
            <w:tcW w:w="1480" w:type="dxa"/>
            <w:vAlign w:val="bottom"/>
          </w:tcPr>
          <w:p>
            <w:pPr>
              <w:spacing w:after="0"/>
              <w:rPr>
                <w:sz w:val="18"/>
                <w:szCs w:val="18"/>
                <w:color w:val="auto"/>
              </w:rPr>
            </w:pPr>
          </w:p>
        </w:tc>
        <w:tc>
          <w:tcPr>
            <w:tcW w:w="2860" w:type="dxa"/>
            <w:vAlign w:val="bottom"/>
            <w:gridSpan w:val="2"/>
          </w:tcPr>
          <w:p>
            <w:pPr>
              <w:ind w:left="180"/>
              <w:spacing w:after="0"/>
              <w:rPr>
                <w:sz w:val="20"/>
                <w:szCs w:val="20"/>
                <w:color w:val="auto"/>
              </w:rPr>
            </w:pPr>
            <w:r>
              <w:rPr>
                <w:rFonts w:ascii="Arial" w:cs="Arial" w:eastAsia="Arial" w:hAnsi="Arial"/>
                <w:sz w:val="17"/>
                <w:szCs w:val="17"/>
                <w:color w:val="auto"/>
                <w:w w:val="94"/>
              </w:rPr>
              <w:t>Avenue, New York, New York 10158.</w:t>
            </w:r>
          </w:p>
        </w:tc>
        <w:tc>
          <w:tcPr>
            <w:tcW w:w="3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24"/>
        </w:trPr>
        <w:tc>
          <w:tcPr>
            <w:tcW w:w="148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2520" w:type="dxa"/>
            <w:vAlign w:val="bottom"/>
          </w:tcPr>
          <w:p>
            <w:pPr>
              <w:ind w:left="180"/>
              <w:spacing w:after="0"/>
              <w:rPr>
                <w:sz w:val="20"/>
                <w:szCs w:val="20"/>
                <w:color w:val="auto"/>
              </w:rPr>
            </w:pPr>
            <w:r>
              <w:rPr>
                <w:rFonts w:ascii="Arial" w:cs="Arial" w:eastAsia="Arial" w:hAnsi="Arial"/>
                <w:sz w:val="17"/>
                <w:szCs w:val="17"/>
                <w:color w:val="auto"/>
              </w:rPr>
              <w:t>Includes options to acquire [</w:t>
            </w:r>
          </w:p>
        </w:tc>
        <w:tc>
          <w:tcPr>
            <w:tcW w:w="6460" w:type="dxa"/>
            <w:vAlign w:val="bottom"/>
            <w:gridSpan w:val="3"/>
          </w:tcPr>
          <w:p>
            <w:pPr>
              <w:ind w:left="100"/>
              <w:spacing w:after="0"/>
              <w:rPr>
                <w:sz w:val="20"/>
                <w:szCs w:val="20"/>
                <w:color w:val="auto"/>
              </w:rPr>
            </w:pPr>
            <w:r>
              <w:rPr>
                <w:rFonts w:ascii="Arial" w:cs="Arial" w:eastAsia="Arial" w:hAnsi="Arial"/>
                <w:sz w:val="17"/>
                <w:szCs w:val="17"/>
                <w:color w:val="auto"/>
                <w:w w:val="97"/>
              </w:rPr>
              <w:t>] shares which are exercisable on or within 60 days after February [  ], 2014. Includes [</w:t>
            </w:r>
          </w:p>
        </w:tc>
        <w:tc>
          <w:tcPr>
            <w:tcW w:w="960" w:type="dxa"/>
            <w:vAlign w:val="bottom"/>
          </w:tcPr>
          <w:p>
            <w:pPr>
              <w:ind w:left="140"/>
              <w:spacing w:after="0"/>
              <w:rPr>
                <w:sz w:val="20"/>
                <w:szCs w:val="20"/>
                <w:color w:val="auto"/>
              </w:rPr>
            </w:pPr>
            <w:r>
              <w:rPr>
                <w:rFonts w:ascii="Arial" w:cs="Arial" w:eastAsia="Arial" w:hAnsi="Arial"/>
                <w:sz w:val="17"/>
                <w:szCs w:val="17"/>
                <w:color w:val="auto"/>
              </w:rPr>
              <w:t>] shares</w:t>
            </w:r>
          </w:p>
        </w:tc>
      </w:tr>
      <w:tr>
        <w:trPr>
          <w:trHeight w:val="215"/>
        </w:trPr>
        <w:tc>
          <w:tcPr>
            <w:tcW w:w="1480" w:type="dxa"/>
            <w:vAlign w:val="bottom"/>
          </w:tcPr>
          <w:p>
            <w:pPr>
              <w:spacing w:after="0"/>
              <w:rPr>
                <w:sz w:val="18"/>
                <w:szCs w:val="18"/>
                <w:color w:val="auto"/>
              </w:rPr>
            </w:pPr>
          </w:p>
        </w:tc>
        <w:tc>
          <w:tcPr>
            <w:tcW w:w="9940" w:type="dxa"/>
            <w:vAlign w:val="bottom"/>
            <w:gridSpan w:val="5"/>
          </w:tcPr>
          <w:p>
            <w:pPr>
              <w:ind w:left="180"/>
              <w:spacing w:after="0"/>
              <w:rPr>
                <w:sz w:val="20"/>
                <w:szCs w:val="20"/>
                <w:color w:val="auto"/>
              </w:rPr>
            </w:pPr>
            <w:r>
              <w:rPr>
                <w:rFonts w:ascii="Arial" w:cs="Arial" w:eastAsia="Arial" w:hAnsi="Arial"/>
                <w:sz w:val="17"/>
                <w:szCs w:val="17"/>
                <w:color w:val="auto"/>
                <w:w w:val="92"/>
              </w:rPr>
              <w:t>held by Salt Pond Holdings, LLC, a United States Virgin Islands limited liability company, of which the members are William C. Erbey and his</w:t>
            </w:r>
          </w:p>
        </w:tc>
      </w:tr>
      <w:tr>
        <w:trPr>
          <w:trHeight w:val="418"/>
        </w:trPr>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Pr>
          <w:p>
            <w:pPr>
              <w:jc w:val="right"/>
              <w:ind w:right="1655"/>
              <w:spacing w:after="0"/>
              <w:rPr>
                <w:sz w:val="20"/>
                <w:szCs w:val="20"/>
                <w:color w:val="auto"/>
              </w:rPr>
            </w:pPr>
            <w:r>
              <w:rPr>
                <w:rFonts w:ascii="Arial" w:cs="Arial" w:eastAsia="Arial" w:hAnsi="Arial"/>
                <w:sz w:val="17"/>
                <w:szCs w:val="17"/>
                <w:color w:val="auto"/>
              </w:rPr>
              <w:t>4</w:t>
            </w:r>
          </w:p>
        </w:tc>
        <w:tc>
          <w:tcPr>
            <w:tcW w:w="2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1"/>
        </w:trPr>
        <w:tc>
          <w:tcPr>
            <w:tcW w:w="14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 w:name="page8"/>
    <w:bookmarkEnd w:id="7"/>
    <w:p>
      <w:pPr>
        <w:ind w:left="520"/>
        <w:spacing w:after="0" w:line="294" w:lineRule="auto"/>
        <w:rPr>
          <w:sz w:val="20"/>
          <w:szCs w:val="20"/>
          <w:color w:val="auto"/>
        </w:rPr>
      </w:pPr>
      <w:r>
        <w:rPr>
          <w:rFonts w:ascii="Arial" w:cs="Arial" w:eastAsia="Arial" w:hAnsi="Arial"/>
          <w:sz w:val="15"/>
          <w:szCs w:val="15"/>
          <w:color w:val="auto"/>
        </w:rPr>
        <w:t>spouse, E. Elaine Erbey; FF Plaza Limited Partnership, a Delaware partnership, of which the partners are Mr. and Mrs. Erbey and Delaware Permanent Corporation, a Delaware corporation wholly owned by Mr. Erbey; and Erbey Holding Corporation, a Delaware corporation, wholly</w:t>
      </w:r>
    </w:p>
    <w:p>
      <w:pPr>
        <w:spacing w:after="0" w:line="1" w:lineRule="exact"/>
        <w:rPr>
          <w:sz w:val="20"/>
          <w:szCs w:val="20"/>
          <w:color w:val="auto"/>
        </w:rPr>
      </w:pPr>
    </w:p>
    <w:p>
      <w:pPr>
        <w:ind w:left="520"/>
        <w:spacing w:after="0"/>
        <w:tabs>
          <w:tab w:leader="none" w:pos="3160" w:val="left"/>
        </w:tabs>
        <w:rPr>
          <w:sz w:val="20"/>
          <w:szCs w:val="20"/>
          <w:color w:val="auto"/>
        </w:rPr>
      </w:pPr>
      <w:r>
        <w:rPr>
          <w:rFonts w:ascii="Arial" w:cs="Arial" w:eastAsia="Arial" w:hAnsi="Arial"/>
          <w:sz w:val="17"/>
          <w:szCs w:val="17"/>
          <w:color w:val="auto"/>
        </w:rPr>
        <w:t>owned by Mr. Erbey. Includes [</w:t>
      </w:r>
      <w:r>
        <w:rPr>
          <w:sz w:val="20"/>
          <w:szCs w:val="20"/>
          <w:color w:val="auto"/>
        </w:rPr>
        <w:tab/>
      </w:r>
      <w:r>
        <w:rPr>
          <w:rFonts w:ascii="Arial" w:cs="Arial" w:eastAsia="Arial" w:hAnsi="Arial"/>
          <w:sz w:val="15"/>
          <w:szCs w:val="15"/>
          <w:color w:val="auto"/>
        </w:rPr>
        <w:t>] shares of unvested restricted common stock, subject to forfeiture until vested.</w:t>
      </w:r>
    </w:p>
    <w:p>
      <w:pPr>
        <w:spacing w:after="0" w:line="109" w:lineRule="exact"/>
        <w:rPr>
          <w:sz w:val="20"/>
          <w:szCs w:val="20"/>
          <w:color w:val="auto"/>
        </w:rPr>
      </w:pPr>
    </w:p>
    <w:p>
      <w:pPr>
        <w:spacing w:after="0"/>
        <w:tabs>
          <w:tab w:leader="none" w:pos="500" w:val="left"/>
          <w:tab w:leader="none" w:pos="3140" w:val="left"/>
          <w:tab w:leader="none" w:pos="7880" w:val="left"/>
        </w:tabs>
        <w:rPr>
          <w:sz w:val="20"/>
          <w:szCs w:val="20"/>
          <w:color w:val="auto"/>
        </w:rPr>
      </w:pPr>
      <w:r>
        <w:rPr>
          <w:rFonts w:ascii="Arial" w:cs="Arial" w:eastAsia="Arial" w:hAnsi="Arial"/>
          <w:sz w:val="28"/>
          <w:szCs w:val="28"/>
          <w:color w:val="auto"/>
          <w:vertAlign w:val="superscript"/>
        </w:rPr>
        <w:t>(5)</w:t>
      </w:r>
      <w:r>
        <w:rPr>
          <w:sz w:val="20"/>
          <w:szCs w:val="20"/>
          <w:color w:val="auto"/>
        </w:rPr>
        <w:tab/>
      </w:r>
      <w:r>
        <w:rPr>
          <w:rFonts w:ascii="Arial" w:cs="Arial" w:eastAsia="Arial" w:hAnsi="Arial"/>
          <w:sz w:val="17"/>
          <w:szCs w:val="17"/>
          <w:color w:val="auto"/>
        </w:rPr>
        <w:t>Consists of options to acquire [</w:t>
      </w:r>
      <w:r>
        <w:rPr>
          <w:sz w:val="20"/>
          <w:szCs w:val="20"/>
          <w:color w:val="auto"/>
        </w:rPr>
        <w:tab/>
      </w:r>
      <w:r>
        <w:rPr>
          <w:rFonts w:ascii="Arial" w:cs="Arial" w:eastAsia="Arial" w:hAnsi="Arial"/>
          <w:sz w:val="17"/>
          <w:szCs w:val="17"/>
          <w:color w:val="auto"/>
        </w:rPr>
        <w:t>] shares which are exercisable on or within 60 days after February [</w:t>
      </w:r>
      <w:r>
        <w:rPr>
          <w:sz w:val="20"/>
          <w:szCs w:val="20"/>
          <w:color w:val="auto"/>
        </w:rPr>
        <w:tab/>
      </w:r>
      <w:r>
        <w:rPr>
          <w:rFonts w:ascii="Arial" w:cs="Arial" w:eastAsia="Arial" w:hAnsi="Arial"/>
          <w:sz w:val="15"/>
          <w:szCs w:val="15"/>
          <w:color w:val="auto"/>
        </w:rPr>
        <w:t>], 2014.</w:t>
      </w:r>
    </w:p>
    <w:p>
      <w:pPr>
        <w:spacing w:after="0" w:line="109" w:lineRule="exact"/>
        <w:rPr>
          <w:sz w:val="20"/>
          <w:szCs w:val="20"/>
          <w:color w:val="auto"/>
        </w:rPr>
      </w:pPr>
    </w:p>
    <w:p>
      <w:pPr>
        <w:ind w:left="520" w:hanging="514"/>
        <w:spacing w:after="0"/>
        <w:tabs>
          <w:tab w:leader="none" w:pos="52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Includes [</w:t>
      </w:r>
      <w:r>
        <w:rPr>
          <w:rFonts w:ascii="Arial" w:cs="Arial" w:eastAsia="Arial" w:hAnsi="Arial"/>
          <w:sz w:val="15"/>
          <w:szCs w:val="15"/>
          <w:color w:val="auto"/>
        </w:rPr>
        <w:t>] shares of unvested restricted common stock, subject to forfeiture until vested.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jc w:val="right"/>
              <w:ind w:right="89"/>
              <w:spacing w:after="0"/>
              <w:rPr>
                <w:sz w:val="20"/>
                <w:szCs w:val="20"/>
                <w:color w:val="auto"/>
              </w:rPr>
            </w:pPr>
            <w:r>
              <w:rPr>
                <w:rFonts w:ascii="Arial" w:cs="Arial" w:eastAsia="Arial" w:hAnsi="Arial"/>
                <w:sz w:val="14"/>
                <w:szCs w:val="14"/>
                <w:color w:val="auto"/>
                <w:w w:val="93"/>
              </w:rPr>
              <w:t>(7)</w:t>
            </w:r>
          </w:p>
        </w:tc>
        <w:tc>
          <w:tcPr>
            <w:tcW w:w="1340" w:type="dxa"/>
            <w:vAlign w:val="bottom"/>
            <w:gridSpan w:val="2"/>
          </w:tcPr>
          <w:p>
            <w:pPr>
              <w:ind w:left="180"/>
              <w:spacing w:after="0"/>
              <w:rPr>
                <w:sz w:val="20"/>
                <w:szCs w:val="20"/>
                <w:color w:val="auto"/>
              </w:rPr>
            </w:pPr>
            <w:r>
              <w:rPr>
                <w:rFonts w:ascii="Arial" w:cs="Arial" w:eastAsia="Arial" w:hAnsi="Arial"/>
                <w:sz w:val="17"/>
                <w:szCs w:val="17"/>
                <w:color w:val="auto"/>
              </w:rPr>
              <w:t>Includes (a) [</w:t>
            </w:r>
          </w:p>
        </w:tc>
        <w:tc>
          <w:tcPr>
            <w:tcW w:w="4500" w:type="dxa"/>
            <w:vAlign w:val="bottom"/>
            <w:gridSpan w:val="3"/>
          </w:tcPr>
          <w:p>
            <w:pPr>
              <w:ind w:left="260"/>
              <w:spacing w:after="0"/>
              <w:rPr>
                <w:sz w:val="20"/>
                <w:szCs w:val="20"/>
                <w:color w:val="auto"/>
              </w:rPr>
            </w:pPr>
            <w:r>
              <w:rPr>
                <w:rFonts w:ascii="Arial" w:cs="Arial" w:eastAsia="Arial" w:hAnsi="Arial"/>
                <w:sz w:val="17"/>
                <w:szCs w:val="17"/>
                <w:color w:val="auto"/>
                <w:w w:val="96"/>
              </w:rPr>
              <w:t>] shares held by Brown's Valley Development Co, LP, (b) [</w:t>
            </w:r>
          </w:p>
        </w:tc>
        <w:tc>
          <w:tcPr>
            <w:tcW w:w="3980" w:type="dxa"/>
            <w:vAlign w:val="bottom"/>
            <w:gridSpan w:val="2"/>
          </w:tcPr>
          <w:p>
            <w:pPr>
              <w:ind w:left="260"/>
              <w:spacing w:after="0"/>
              <w:rPr>
                <w:sz w:val="20"/>
                <w:szCs w:val="20"/>
                <w:color w:val="auto"/>
              </w:rPr>
            </w:pPr>
            <w:r>
              <w:rPr>
                <w:rFonts w:ascii="Arial" w:cs="Arial" w:eastAsia="Arial" w:hAnsi="Arial"/>
                <w:sz w:val="17"/>
                <w:szCs w:val="17"/>
                <w:color w:val="auto"/>
              </w:rPr>
              <w:t>] shares held by Mr. Linn's minor child(ren) and</w:t>
            </w:r>
          </w:p>
        </w:tc>
      </w:tr>
      <w:tr>
        <w:trPr>
          <w:trHeight w:val="215"/>
        </w:trPr>
        <w:tc>
          <w:tcPr>
            <w:tcW w:w="3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7"/>
                <w:szCs w:val="17"/>
                <w:color w:val="auto"/>
              </w:rPr>
              <w:t>(c) [</w:t>
            </w:r>
          </w:p>
        </w:tc>
        <w:tc>
          <w:tcPr>
            <w:tcW w:w="3400" w:type="dxa"/>
            <w:vAlign w:val="bottom"/>
            <w:gridSpan w:val="3"/>
          </w:tcPr>
          <w:p>
            <w:pPr>
              <w:ind w:left="160"/>
              <w:spacing w:after="0"/>
              <w:rPr>
                <w:sz w:val="20"/>
                <w:szCs w:val="20"/>
                <w:color w:val="auto"/>
              </w:rPr>
            </w:pPr>
            <w:r>
              <w:rPr>
                <w:rFonts w:ascii="Arial" w:cs="Arial" w:eastAsia="Arial" w:hAnsi="Arial"/>
                <w:sz w:val="17"/>
                <w:szCs w:val="17"/>
                <w:color w:val="auto"/>
                <w:w w:val="99"/>
              </w:rPr>
              <w:t>] shares held by W M Linn Trust. Includes [</w:t>
            </w:r>
          </w:p>
        </w:tc>
        <w:tc>
          <w:tcPr>
            <w:tcW w:w="5600" w:type="dxa"/>
            <w:vAlign w:val="bottom"/>
            <w:gridSpan w:val="3"/>
          </w:tcPr>
          <w:p>
            <w:pPr>
              <w:ind w:left="240"/>
              <w:spacing w:after="0"/>
              <w:rPr>
                <w:sz w:val="20"/>
                <w:szCs w:val="20"/>
                <w:color w:val="auto"/>
              </w:rPr>
            </w:pPr>
            <w:r>
              <w:rPr>
                <w:rFonts w:ascii="Arial" w:cs="Arial" w:eastAsia="Arial" w:hAnsi="Arial"/>
                <w:sz w:val="17"/>
                <w:szCs w:val="17"/>
                <w:color w:val="auto"/>
                <w:w w:val="90"/>
              </w:rPr>
              <w:t>] shares of unvested restricted common stock, subject to forfeiture until vested.</w:t>
            </w:r>
          </w:p>
        </w:tc>
      </w:tr>
      <w:tr>
        <w:trPr>
          <w:trHeight w:val="411"/>
        </w:trPr>
        <w:tc>
          <w:tcPr>
            <w:tcW w:w="340" w:type="dxa"/>
            <w:vAlign w:val="bottom"/>
          </w:tcPr>
          <w:p>
            <w:pPr>
              <w:jc w:val="right"/>
              <w:ind w:right="89"/>
              <w:spacing w:after="0"/>
              <w:rPr>
                <w:sz w:val="20"/>
                <w:szCs w:val="20"/>
                <w:color w:val="auto"/>
              </w:rPr>
            </w:pPr>
            <w:r>
              <w:rPr>
                <w:rFonts w:ascii="Arial" w:cs="Arial" w:eastAsia="Arial" w:hAnsi="Arial"/>
                <w:sz w:val="14"/>
                <w:szCs w:val="14"/>
                <w:color w:val="auto"/>
                <w:w w:val="93"/>
              </w:rPr>
              <w:t>(8)</w:t>
            </w:r>
          </w:p>
        </w:tc>
        <w:tc>
          <w:tcPr>
            <w:tcW w:w="2380" w:type="dxa"/>
            <w:vAlign w:val="bottom"/>
            <w:gridSpan w:val="3"/>
          </w:tcPr>
          <w:p>
            <w:pPr>
              <w:ind w:left="180"/>
              <w:spacing w:after="0"/>
              <w:rPr>
                <w:sz w:val="20"/>
                <w:szCs w:val="20"/>
                <w:color w:val="auto"/>
              </w:rPr>
            </w:pPr>
            <w:r>
              <w:rPr>
                <w:rFonts w:ascii="Arial" w:cs="Arial" w:eastAsia="Arial" w:hAnsi="Arial"/>
                <w:sz w:val="17"/>
                <w:szCs w:val="17"/>
                <w:color w:val="auto"/>
              </w:rPr>
              <w:t>Includes options to acquire [</w:t>
            </w:r>
          </w:p>
        </w:tc>
        <w:tc>
          <w:tcPr>
            <w:tcW w:w="6500" w:type="dxa"/>
            <w:vAlign w:val="bottom"/>
            <w:gridSpan w:val="3"/>
          </w:tcPr>
          <w:p>
            <w:pPr>
              <w:ind w:left="240"/>
              <w:spacing w:after="0"/>
              <w:rPr>
                <w:sz w:val="20"/>
                <w:szCs w:val="20"/>
                <w:color w:val="auto"/>
              </w:rPr>
            </w:pPr>
            <w:r>
              <w:rPr>
                <w:rFonts w:ascii="Arial" w:cs="Arial" w:eastAsia="Arial" w:hAnsi="Arial"/>
                <w:sz w:val="17"/>
                <w:szCs w:val="17"/>
                <w:color w:val="auto"/>
                <w:w w:val="96"/>
              </w:rPr>
              <w:t>] shares which are exercisable on or within 60 days after February [  ], 2014. Includes [</w:t>
            </w:r>
          </w:p>
        </w:tc>
        <w:tc>
          <w:tcPr>
            <w:tcW w:w="940" w:type="dxa"/>
            <w:vAlign w:val="bottom"/>
          </w:tcPr>
          <w:p>
            <w:pPr>
              <w:ind w:left="240"/>
              <w:spacing w:after="0"/>
              <w:rPr>
                <w:sz w:val="20"/>
                <w:szCs w:val="20"/>
                <w:color w:val="auto"/>
              </w:rPr>
            </w:pPr>
            <w:r>
              <w:rPr>
                <w:rFonts w:ascii="Arial" w:cs="Arial" w:eastAsia="Arial" w:hAnsi="Arial"/>
                <w:sz w:val="17"/>
                <w:szCs w:val="17"/>
                <w:color w:val="auto"/>
              </w:rPr>
              <w:t>] shares</w:t>
            </w:r>
          </w:p>
        </w:tc>
      </w:tr>
      <w:tr>
        <w:trPr>
          <w:trHeight w:val="209"/>
        </w:trPr>
        <w:tc>
          <w:tcPr>
            <w:tcW w:w="340" w:type="dxa"/>
            <w:vAlign w:val="bottom"/>
          </w:tcPr>
          <w:p>
            <w:pPr>
              <w:spacing w:after="0"/>
              <w:rPr>
                <w:sz w:val="18"/>
                <w:szCs w:val="18"/>
                <w:color w:val="auto"/>
              </w:rPr>
            </w:pPr>
          </w:p>
        </w:tc>
        <w:tc>
          <w:tcPr>
            <w:tcW w:w="9820" w:type="dxa"/>
            <w:vAlign w:val="bottom"/>
            <w:gridSpan w:val="7"/>
          </w:tcPr>
          <w:p>
            <w:pPr>
              <w:ind w:left="180"/>
              <w:spacing w:after="0"/>
              <w:rPr>
                <w:sz w:val="20"/>
                <w:szCs w:val="20"/>
                <w:color w:val="auto"/>
              </w:rPr>
            </w:pPr>
            <w:r>
              <w:rPr>
                <w:rFonts w:ascii="Arial" w:cs="Arial" w:eastAsia="Arial" w:hAnsi="Arial"/>
                <w:sz w:val="17"/>
                <w:szCs w:val="17"/>
                <w:color w:val="auto"/>
                <w:w w:val="94"/>
              </w:rPr>
              <w:t>held by the William B. Shepro Revocable Trust. Mr. and Mrs. William B. Shepro share voting and dispositive power with respect to these</w:t>
            </w:r>
          </w:p>
        </w:tc>
      </w:tr>
      <w:tr>
        <w:trPr>
          <w:trHeight w:val="215"/>
        </w:trPr>
        <w:tc>
          <w:tcPr>
            <w:tcW w:w="3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7"/>
                <w:szCs w:val="17"/>
                <w:color w:val="auto"/>
              </w:rPr>
              <w:t>shares.</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09" w:lineRule="exact"/>
        <w:rPr>
          <w:sz w:val="20"/>
          <w:szCs w:val="20"/>
          <w:color w:val="auto"/>
        </w:rPr>
      </w:pPr>
    </w:p>
    <w:p>
      <w:pPr>
        <w:ind w:left="520" w:hanging="514"/>
        <w:spacing w:after="0"/>
        <w:tabs>
          <w:tab w:leader="none" w:pos="52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w:t>
      </w:r>
      <w:r>
        <w:rPr>
          <w:rFonts w:ascii="Arial" w:cs="Arial" w:eastAsia="Arial" w:hAnsi="Arial"/>
          <w:sz w:val="15"/>
          <w:szCs w:val="15"/>
          <w:color w:val="auto"/>
        </w:rPr>
        <w:t>] shares of unvested restricted common stock, subject to forfeiture until vested.</w:t>
      </w:r>
    </w:p>
    <w:p>
      <w:pPr>
        <w:spacing w:after="0" w:line="96" w:lineRule="exact"/>
        <w:rPr>
          <w:sz w:val="20"/>
          <w:szCs w:val="20"/>
          <w:color w:val="auto"/>
        </w:rPr>
      </w:pPr>
    </w:p>
    <w:p>
      <w:pPr>
        <w:spacing w:after="0"/>
        <w:tabs>
          <w:tab w:leader="none" w:pos="500" w:val="left"/>
          <w:tab w:leader="none" w:pos="2940" w:val="left"/>
          <w:tab w:leader="none" w:pos="7700" w:val="left"/>
        </w:tabs>
        <w:rPr>
          <w:sz w:val="20"/>
          <w:szCs w:val="20"/>
          <w:color w:val="auto"/>
        </w:rPr>
      </w:pPr>
      <w:r>
        <w:rPr>
          <w:rFonts w:ascii="Arial" w:cs="Arial" w:eastAsia="Arial" w:hAnsi="Arial"/>
          <w:sz w:val="28"/>
          <w:szCs w:val="28"/>
          <w:color w:val="auto"/>
          <w:vertAlign w:val="superscript"/>
        </w:rPr>
        <w:t>(10)</w:t>
      </w:r>
      <w:r>
        <w:rPr>
          <w:sz w:val="20"/>
          <w:szCs w:val="20"/>
          <w:color w:val="auto"/>
        </w:rPr>
        <w:tab/>
      </w:r>
      <w:r>
        <w:rPr>
          <w:rFonts w:ascii="Arial" w:cs="Arial" w:eastAsia="Arial" w:hAnsi="Arial"/>
          <w:sz w:val="17"/>
          <w:szCs w:val="17"/>
          <w:color w:val="auto"/>
        </w:rPr>
        <w:t>Includes options to acquire [</w:t>
      </w:r>
      <w:r>
        <w:rPr>
          <w:sz w:val="20"/>
          <w:szCs w:val="20"/>
          <w:color w:val="auto"/>
        </w:rPr>
        <w:tab/>
      </w:r>
      <w:r>
        <w:rPr>
          <w:rFonts w:ascii="Arial" w:cs="Arial" w:eastAsia="Arial" w:hAnsi="Arial"/>
          <w:sz w:val="17"/>
          <w:szCs w:val="17"/>
          <w:color w:val="auto"/>
        </w:rPr>
        <w:t>] shares which are exercisable on or within 60 days after February [</w:t>
      </w:r>
      <w:r>
        <w:rPr>
          <w:sz w:val="20"/>
          <w:szCs w:val="20"/>
          <w:color w:val="auto"/>
        </w:rPr>
        <w:tab/>
      </w:r>
      <w:r>
        <w:rPr>
          <w:rFonts w:ascii="Arial" w:cs="Arial" w:eastAsia="Arial" w:hAnsi="Arial"/>
          <w:sz w:val="15"/>
          <w:szCs w:val="15"/>
          <w:color w:val="auto"/>
        </w:rPr>
        <w:t>], 2014.</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144145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20"/>
          </w:cols>
          <w:pgMar w:left="1380" w:top="131"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7"/>
          <w:szCs w:val="17"/>
          <w:b w:val="1"/>
          <w:bCs w:val="1"/>
          <w:color w:val="auto"/>
        </w:rPr>
        <w:t>SHAREHOLDER PROPOSALS FOR THE 2014 ANNUAL MEETING</w:t>
      </w:r>
    </w:p>
    <w:p>
      <w:pPr>
        <w:spacing w:after="0" w:line="22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Any proposal which a shareholder desires to have included in our proxy materials relating to our next Annual Meeting of Shareholders, which is scheduled to be held on May 21, 2014, must have been received at our executive offices no later than December 3, 2013.</w:t>
      </w:r>
    </w:p>
    <w:p>
      <w:pPr>
        <w:spacing w:after="0" w:line="170"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For any proposal that is not submitted for inclusion in the 2014 Annual Meeting proxy statement, but is instead sought to be presented directly at the 2014 Annual Meeting of Shareholders, SEC rules permit management to vote proxies in its discretion if we:</w:t>
      </w:r>
    </w:p>
    <w:p>
      <w:pPr>
        <w:spacing w:after="0" w:line="183" w:lineRule="exact"/>
        <w:rPr>
          <w:sz w:val="20"/>
          <w:szCs w:val="20"/>
          <w:color w:val="auto"/>
        </w:rPr>
      </w:pPr>
    </w:p>
    <w:p>
      <w:pPr>
        <w:ind w:left="520" w:hanging="516"/>
        <w:spacing w:after="0" w:line="280"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receive notice of the proposal before the close of business on February 16, 2014 and advise shareholders in the 2014 Annual Meeting proxy statement about the nature of the matter and how management intends to vote on such matter, or</w:t>
      </w:r>
    </w:p>
    <w:p>
      <w:pPr>
        <w:spacing w:after="0" w:line="196" w:lineRule="exact"/>
        <w:rPr>
          <w:rFonts w:ascii="Arial" w:cs="Arial" w:eastAsia="Arial" w:hAnsi="Arial"/>
          <w:sz w:val="17"/>
          <w:szCs w:val="17"/>
          <w:color w:val="auto"/>
        </w:rPr>
      </w:pPr>
    </w:p>
    <w:p>
      <w:pPr>
        <w:ind w:left="520" w:hanging="516"/>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do not receive notice of the proposal prior to the close of business on February 16, 2014.</w:t>
      </w:r>
    </w:p>
    <w:p>
      <w:pPr>
        <w:spacing w:after="0" w:line="222"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Notice of intent to present a proposal at the 2014 Annual Meeting of Shareholders should be directed to our Corporate Secretary at Altisource Portfolio Solutions S.A., 40, avenue Monterey, L-2163 Luxembourg City, Grand Duchy of Luxembourg.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MATTERS</w:t>
      </w:r>
    </w:p>
    <w:p>
      <w:pPr>
        <w:spacing w:after="0" w:line="226"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Proxies will be solicited on behalf of the Board of Directors by mail, and we will pay the solicitation costs. Copies of this proxy statement will be made available to brokers, dealers, banks and voting trustees, or their nominees, for the purpose of soliciting proxies from beneficial owners. In addition to solicitations by mail, our Directors, officers and employees may solicit proxies personally or by telephone without additional compensation.</w:t>
      </w:r>
    </w:p>
    <w:p>
      <w:pPr>
        <w:spacing w:after="0" w:line="164"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The shares represented by all valid proxies received will be voted in the manner specified. Where specific choices are not indicated, the shares represented by all valid proxies received will be voted for approval of a share repurchase program whereby Altisource may repurchase outstanding shares of its common stock within certain limits. Should any matter not described above be properly presented at the meeting, the persons named in the proxy form will vote in accordance with their judgment.</w:t>
      </w:r>
    </w:p>
    <w:p>
      <w:pPr>
        <w:spacing w:after="0" w:line="14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If you are the beneficial owner, but not the record holder of shares of our common stock and have requested a copy of this proxy statement, your broker, bank or other nominee may only deliver one (1) copy of this proxy statement to multiple shareholders who share an address unless that nominee has received contrary instructions from one (1) or more of the shareholders. Shareholders at an address to which a single copy of this proxy statement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88" w:lineRule="exact"/>
        <w:rPr>
          <w:sz w:val="20"/>
          <w:szCs w:val="20"/>
          <w:color w:val="auto"/>
        </w:rPr>
      </w:pPr>
    </w:p>
    <w:p>
      <w:pPr>
        <w:ind w:right="640"/>
        <w:spacing w:after="0" w:line="280" w:lineRule="auto"/>
        <w:rPr>
          <w:sz w:val="20"/>
          <w:szCs w:val="20"/>
          <w:color w:val="auto"/>
        </w:rPr>
      </w:pPr>
      <w:r>
        <w:rPr>
          <w:rFonts w:ascii="Arial" w:cs="Arial" w:eastAsia="Arial" w:hAnsi="Arial"/>
          <w:sz w:val="17"/>
          <w:szCs w:val="17"/>
          <w:color w:val="auto"/>
        </w:rPr>
        <w:t>ALL STOCKHOLDERS ARE URGED TO EXECUTE THE ACCOMPANYING PROXY AND TO RETURN IT PROMPTLY IN THE ACCOMPANYING ENVELOPE. STOCKHOLDERS MAY REVOKE ANY PROXY IF SO DESIRED AT ANY TIME BEFORE IT IS VOTED.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809625</wp:posOffset>
            </wp:positionH>
            <wp:positionV relativeFrom="page">
              <wp:posOffset>88900</wp:posOffset>
            </wp:positionV>
            <wp:extent cx="5634990" cy="7292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634990" cy="7292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88900</wp:posOffset>
            </wp:positionV>
            <wp:extent cx="5634990" cy="7292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634990" cy="729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QuickLinks</w:t>
      </w:r>
    </w:p>
    <w:p>
      <w:pPr>
        <w:spacing w:after="0" w:line="215" w:lineRule="exact"/>
        <w:rPr>
          <w:sz w:val="20"/>
          <w:szCs w:val="20"/>
          <w:color w:val="auto"/>
        </w:rPr>
      </w:pPr>
    </w:p>
    <w:p>
      <w:pPr>
        <w:ind w:right="640"/>
        <w:spacing w:after="0" w:line="260"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ALTISOURCE PORTFOLIO SOLUTIONS S.A. 40, avenue Monterey L-2163 Luxembourg City Grand Duchy of Luxembourg R.C.S. Luxembourg B 72 391</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NOTICE OF SPECIAL MEETING OF SHAREHOLDERS TO BE HELD ON FEBRUARY [ ] , 2014</w:t>
        </w:r>
      </w:hyperlink>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ALTISOURCE PORTFOLIO SOLUTIONS S.A. PROXY STATEMENT SPECIAL MEETING OF SHAREHOLDERS</w:t>
        </w:r>
      </w:hyperlink>
    </w:p>
    <w:p>
      <w:pPr>
        <w:spacing w:after="0" w:line="13" w:lineRule="exact"/>
        <w:rPr>
          <w:sz w:val="20"/>
          <w:szCs w:val="20"/>
          <w:color w:val="auto"/>
        </w:rPr>
      </w:pPr>
    </w:p>
    <w:p>
      <w:pPr>
        <w:spacing w:after="0" w:line="256"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APPROVAL OF A SHARE REPURCHASE PROGRAM WHEREBY ALTISOURCE MAY REPURCHASE OUTSTANDING SHARES OF ITS COMMON STOCK</w:t>
        </w:r>
      </w:hyperlink>
      <w:r>
        <w:rPr>
          <w:rFonts w:ascii="Arial" w:cs="Arial" w:eastAsia="Arial" w:hAnsi="Arial"/>
          <w:sz w:val="17"/>
          <w:szCs w:val="17"/>
          <w:u w:val="single" w:color="auto"/>
          <w:color w:val="0000EE"/>
        </w:rPr>
        <w:t xml:space="preserve"> </w:t>
      </w:r>
      <w:hyperlink w:anchor="page6">
        <w:r>
          <w:rPr>
            <w:rFonts w:ascii="Arial" w:cs="Arial" w:eastAsia="Arial" w:hAnsi="Arial"/>
            <w:sz w:val="17"/>
            <w:szCs w:val="17"/>
            <w:u w:val="single" w:color="auto"/>
            <w:color w:val="0000EE"/>
          </w:rPr>
          <w:t>WITHIN CERTAIN LIMITS</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SECURITY OWNERSHIP OF CERTAIN BENEFICIAL OWNERS AND RELATED SHAREHOLDER MATTERS</w:t>
        </w:r>
      </w:hyperlink>
    </w:p>
    <w:p>
      <w:pPr>
        <w:spacing w:after="0" w:line="200" w:lineRule="auto"/>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 xml:space="preserve">Shares Beneficially Owned as of February [ ], 2014 </w:t>
        </w:r>
        <w:r>
          <w:rPr>
            <w:rFonts w:ascii="Arial" w:cs="Arial" w:eastAsia="Arial" w:hAnsi="Arial"/>
            <w:sz w:val="28"/>
            <w:szCs w:val="28"/>
            <w:u w:val="single" w:color="auto"/>
            <w:color w:val="0000EE"/>
            <w:vertAlign w:val="superscript"/>
          </w:rPr>
          <w:t>(1)</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SHAREHOLDER PROPOSALS FOR THE 2014 ANNUAL MEETING</w:t>
        </w:r>
      </w:hyperlink>
    </w:p>
    <w:p>
      <w:pPr>
        <w:spacing w:after="0" w:line="6" w:lineRule="exact"/>
        <w:rPr>
          <w:sz w:val="20"/>
          <w:szCs w:val="20"/>
          <w:color w:val="auto"/>
        </w:rPr>
      </w:pPr>
    </w:p>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OTHER MATTERS</w:t>
        </w:r>
      </w:hyperlink>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o"/>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6"/>
    </w:lvl>
  </w:abstractNum>
  <w:abstractNum w:abstractNumId="15">
    <w:nsid w:val="4E6AFB66"/>
    <w:multiLevelType w:val="hybridMultilevel"/>
    <w:lvl w:ilvl="0">
      <w:lvlJc w:val="left"/>
      <w:lvlText w:val="(%1)"/>
      <w:numFmt w:val="decimal"/>
      <w:start w:val="9"/>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2019-12-07T20:22:05Z</dcterms:created>
  <dcterms:modified xsi:type="dcterms:W3CDTF">2019-12-07T20:22:05Z</dcterms:modified>
</cp:coreProperties>
</file>