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184785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203835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8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206375</wp:posOffset>
            </wp:positionV>
            <wp:extent cx="1612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ALTISOURCE PORTFOLIO SOLUTIONS S.A.</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184785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12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1219"/>
        <w:spacing w:after="0"/>
        <w:rPr>
          <w:sz w:val="20"/>
          <w:szCs w:val="20"/>
          <w:color w:val="auto"/>
        </w:rPr>
      </w:pPr>
      <w:r>
        <w:rPr>
          <w:rFonts w:ascii="Arial" w:cs="Arial" w:eastAsia="Arial" w:hAnsi="Arial"/>
          <w:sz w:val="17"/>
          <w:szCs w:val="17"/>
          <w:color w:val="auto"/>
        </w:rPr>
        <w:t>(I.R.S. Employer Identification No.)</w:t>
      </w:r>
    </w:p>
    <w:p>
      <w:pPr>
        <w:spacing w:after="0" w:line="191" w:lineRule="exact"/>
        <w:rPr>
          <w:sz w:val="20"/>
          <w:szCs w:val="20"/>
          <w:color w:val="auto"/>
        </w:rPr>
      </w:pPr>
    </w:p>
    <w:p>
      <w:pPr>
        <w:sectPr>
          <w:pgSz w:w="11900" w:h="16838" w:orient="portrait"/>
          <w:cols w:equalWidth="0" w:num="2">
            <w:col w:w="5660" w:space="720"/>
            <w:col w:w="3839"/>
          </w:cols>
          <w:pgMar w:left="240" w:top="122" w:right="1440" w:bottom="1440" w:gutter="0" w:footer="0" w:header="0"/>
          <w:type w:val="continuous"/>
        </w:sectPr>
      </w:pPr>
    </w:p>
    <w:p>
      <w:pPr>
        <w:jc w:val="center"/>
        <w:ind w:right="-180"/>
        <w:spacing w:after="0"/>
        <w:rPr>
          <w:sz w:val="20"/>
          <w:szCs w:val="20"/>
          <w:color w:val="auto"/>
        </w:rPr>
      </w:pPr>
      <w:r>
        <w:rPr>
          <w:rFonts w:ascii="Arial" w:cs="Arial" w:eastAsia="Arial" w:hAnsi="Arial"/>
          <w:sz w:val="18"/>
          <w:szCs w:val="18"/>
          <w:b w:val="1"/>
          <w:bCs w:val="1"/>
          <w:color w:val="auto"/>
        </w:rPr>
        <w:t>291, route d’Arlon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L-1150 Luxembourg</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(Address of principal executive offices) (Zip Code)</w:t>
      </w:r>
    </w:p>
    <w:p>
      <w:pPr>
        <w:spacing w:after="0" w:line="16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Registrant’s telephone number</w:t>
      </w:r>
    </w:p>
    <w:p>
      <w:pPr>
        <w:spacing w:after="0" w:line="170"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jc w:val="both"/>
        <w:ind w:left="340" w:right="159"/>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0219"/>
          </w:cols>
          <w:pgMar w:left="240" w:top="122" w:right="1440" w:bottom="1440" w:gutter="0" w:footer="0" w:header="0"/>
          <w:type w:val="continuous"/>
        </w:sectPr>
      </w:pP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080" w:space="420"/>
            <w:col w:w="1420" w:space="420"/>
            <w:col w:w="3340" w:space="280"/>
            <w:col w:w="2259"/>
          </w:cols>
          <w:pgMar w:left="240" w:top="122" w:right="1440" w:bottom="1440" w:gutter="0" w:footer="0" w:header="0"/>
          <w:type w:val="continuous"/>
        </w:sect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42"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As of October 15, 2011, there were 23,850,249 outstanding shares of the registrant’s shares of beneficial interest (excluding 1,562,499 shares held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100330</wp:posOffset>
            </wp:positionV>
            <wp:extent cx="6174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117475</wp:posOffset>
            </wp:positionV>
            <wp:extent cx="617474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784225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0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w w:val="89"/>
              </w:rPr>
              <w:t>Table of Contents</w:t>
            </w:r>
          </w:p>
        </w:tc>
        <w:tc>
          <w:tcPr>
            <w:tcW w:w="960" w:type="dxa"/>
            <w:vAlign w:val="bottom"/>
          </w:tcPr>
          <w:p>
            <w:pPr>
              <w:spacing w:after="0"/>
              <w:rPr>
                <w:sz w:val="20"/>
                <w:szCs w:val="20"/>
                <w:color w:val="auto"/>
              </w:rPr>
            </w:pPr>
          </w:p>
        </w:tc>
      </w:tr>
      <w:tr>
        <w:trPr>
          <w:trHeight w:val="405"/>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23"/>
          </w:tcPr>
          <w:p>
            <w:pPr>
              <w:jc w:val="center"/>
              <w:ind w:right="1780"/>
              <w:spacing w:after="0"/>
              <w:rPr>
                <w:sz w:val="20"/>
                <w:szCs w:val="20"/>
                <w:color w:val="auto"/>
              </w:rPr>
            </w:pPr>
            <w:r>
              <w:rPr>
                <w:rFonts w:ascii="Arial" w:cs="Arial" w:eastAsia="Arial" w:hAnsi="Arial"/>
                <w:sz w:val="18"/>
                <w:szCs w:val="18"/>
                <w:b w:val="1"/>
                <w:bCs w:val="1"/>
                <w:color w:val="auto"/>
                <w:w w:val="99"/>
              </w:rPr>
              <w:t>ALTISOURCE PORTFOLIO SOLUTIONS S.A.</w:t>
            </w:r>
          </w:p>
        </w:tc>
        <w:tc>
          <w:tcPr>
            <w:tcW w:w="960" w:type="dxa"/>
            <w:vAlign w:val="bottom"/>
          </w:tcPr>
          <w:p>
            <w:pPr>
              <w:spacing w:after="0"/>
              <w:rPr>
                <w:sz w:val="24"/>
                <w:szCs w:val="24"/>
                <w:color w:val="auto"/>
              </w:rPr>
            </w:pPr>
          </w:p>
        </w:tc>
      </w:tr>
      <w:tr>
        <w:trPr>
          <w:trHeight w:val="39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gridSpan w:val="9"/>
          </w:tcPr>
          <w:p>
            <w:pPr>
              <w:jc w:val="center"/>
              <w:ind w:right="3120"/>
              <w:spacing w:after="0"/>
              <w:rPr>
                <w:sz w:val="20"/>
                <w:szCs w:val="20"/>
                <w:color w:val="auto"/>
              </w:rPr>
            </w:pPr>
            <w:r>
              <w:rPr>
                <w:rFonts w:ascii="Arial" w:cs="Arial" w:eastAsia="Arial" w:hAnsi="Arial"/>
                <w:sz w:val="18"/>
                <w:szCs w:val="18"/>
                <w:b w:val="1"/>
                <w:bCs w:val="1"/>
                <w:color w:val="auto"/>
                <w:w w:val="99"/>
              </w:rPr>
              <w:t>FORM 10-Q</w:t>
            </w:r>
          </w:p>
        </w:tc>
        <w:tc>
          <w:tcPr>
            <w:tcW w:w="96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r>
      <w:tr>
        <w:trPr>
          <w:trHeight w:val="385"/>
        </w:trPr>
        <w:tc>
          <w:tcPr>
            <w:tcW w:w="23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PART I — Financial Information</w:t>
              </w:r>
            </w:hyperlink>
          </w:p>
        </w:tc>
        <w:tc>
          <w:tcPr>
            <w:tcW w:w="6280" w:type="dxa"/>
            <w:vAlign w:val="bottom"/>
            <w:gridSpan w:val="28"/>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8460" w:type="dxa"/>
            <w:vAlign w:val="bottom"/>
            <w:gridSpan w:val="3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Interim Condensed Consolidated Financial Statements</w:t>
              </w:r>
            </w:hyperlink>
          </w:p>
        </w:tc>
        <w:tc>
          <w:tcPr>
            <w:tcW w:w="96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9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Balance Sheets</w:t>
              </w:r>
            </w:hyperlink>
          </w:p>
        </w:tc>
        <w:tc>
          <w:tcPr>
            <w:tcW w:w="1280" w:type="dxa"/>
            <w:vAlign w:val="bottom"/>
            <w:tcBorders>
              <w:top w:val="single" w:sz="8" w:color="0000EE"/>
            </w:tcBorders>
            <w:gridSpan w:val="14"/>
          </w:tcPr>
          <w:p>
            <w:pPr>
              <w:spacing w:after="0"/>
              <w:rPr>
                <w:sz w:val="24"/>
                <w:szCs w:val="24"/>
                <w:color w:val="auto"/>
              </w:rPr>
            </w:pPr>
          </w:p>
        </w:tc>
        <w:tc>
          <w:tcPr>
            <w:tcW w:w="404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w:t>
              </w:r>
            </w:hyperlink>
          </w:p>
        </w:tc>
        <w:tc>
          <w:tcPr>
            <w:tcW w:w="460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3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Equity</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454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260" w:type="dxa"/>
            <w:vAlign w:val="bottom"/>
            <w:gridSpan w:val="8"/>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 1 — Organization and Basis of Presentation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Borders>
              <w:top w:val="single" w:sz="8" w:color="0000EE"/>
            </w:tcBorders>
            <w:gridSpan w:val="2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 2 — Transactions with Related Parties</w:t>
              </w:r>
            </w:hyperlink>
          </w:p>
        </w:tc>
        <w:tc>
          <w:tcPr>
            <w:tcW w:w="450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tcBorders>
              <w:top w:val="single" w:sz="8" w:color="0000EE"/>
            </w:tcBorders>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 3 — Acquisitions</w:t>
              </w:r>
            </w:hyperlink>
          </w:p>
        </w:tc>
        <w:tc>
          <w:tcPr>
            <w:tcW w:w="4900" w:type="dxa"/>
            <w:vAlign w:val="bottom"/>
            <w:gridSpan w:val="1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 4 — Accounts Receivable, Net</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Note 5 — Prepaid Expenses and Other Current Assets</w:t>
              </w:r>
            </w:hyperlink>
          </w:p>
        </w:tc>
        <w:tc>
          <w:tcPr>
            <w:tcW w:w="416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Note 6 — Premises and Equipment, Net</w:t>
              </w:r>
            </w:hyperlink>
          </w:p>
        </w:tc>
        <w:tc>
          <w:tcPr>
            <w:tcW w:w="5160" w:type="dxa"/>
            <w:vAlign w:val="bottom"/>
            <w:gridSpan w:val="1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Note 7 — Goodwill and Intangible Assets, Net</w:t>
              </w:r>
            </w:hyperlink>
          </w:p>
        </w:tc>
        <w:tc>
          <w:tcPr>
            <w:tcW w:w="468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Note 8 — Investment in Equity Affiliate</w:t>
              </w:r>
            </w:hyperlink>
          </w:p>
        </w:tc>
        <w:tc>
          <w:tcPr>
            <w:tcW w:w="5140" w:type="dxa"/>
            <w:vAlign w:val="bottom"/>
            <w:gridSpan w:val="1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Note 9 — Other Non-current Assets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00" w:type="dxa"/>
            <w:vAlign w:val="bottom"/>
            <w:tcBorders>
              <w:bottom w:val="single" w:sz="8" w:color="0000EE"/>
            </w:tcBorders>
            <w:gridSpan w:val="31"/>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Note 10 — Accounts Payable, Accrued Expenses and Other Current Liabilities</w:t>
              </w:r>
            </w:hyperlink>
          </w:p>
        </w:tc>
        <w:tc>
          <w:tcPr>
            <w:tcW w:w="236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Note 11 — Stock Based Compensation</w:t>
              </w:r>
            </w:hyperlink>
          </w:p>
        </w:tc>
        <w:tc>
          <w:tcPr>
            <w:tcW w:w="5240" w:type="dxa"/>
            <w:vAlign w:val="bottom"/>
            <w:gridSpan w:val="1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Note 12 — Cost of Revenue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Note 13 — Selling, General and Administrative Expenses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tcBorders>
              <w:top w:val="single" w:sz="8" w:color="0000EE"/>
            </w:tcBorders>
            <w:gridSpan w:val="2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Note 14 — Other Income (Expense), Net</w:t>
              </w:r>
            </w:hyperlink>
          </w:p>
        </w:tc>
        <w:tc>
          <w:tcPr>
            <w:tcW w:w="390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Borders>
              <w:top w:val="single" w:sz="8" w:color="0000EE"/>
            </w:tcBorders>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Note 15 — Earnings Per Share</w:t>
              </w:r>
            </w:hyperlink>
          </w:p>
        </w:tc>
        <w:tc>
          <w:tcPr>
            <w:tcW w:w="5100" w:type="dxa"/>
            <w:vAlign w:val="bottom"/>
            <w:gridSpan w:val="1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Note 16 — Commitments and Contingencies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Note 17 — Segment Reporting</w:t>
              </w:r>
            </w:hyperlink>
          </w:p>
        </w:tc>
        <w:tc>
          <w:tcPr>
            <w:tcW w:w="1000" w:type="dxa"/>
            <w:vAlign w:val="bottom"/>
            <w:tcBorders>
              <w:top w:val="single" w:sz="8" w:color="0000EE"/>
            </w:tcBorders>
            <w:gridSpan w:val="10"/>
          </w:tcPr>
          <w:p>
            <w:pPr>
              <w:spacing w:after="0"/>
              <w:rPr>
                <w:sz w:val="24"/>
                <w:szCs w:val="24"/>
                <w:color w:val="auto"/>
              </w:rPr>
            </w:pPr>
          </w:p>
        </w:tc>
        <w:tc>
          <w:tcPr>
            <w:tcW w:w="482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200" w:type="dxa"/>
            <w:vAlign w:val="bottom"/>
          </w:tcPr>
          <w:p>
            <w:pPr>
              <w:spacing w:after="0"/>
              <w:rPr>
                <w:sz w:val="24"/>
                <w:szCs w:val="24"/>
                <w:color w:val="auto"/>
              </w:rPr>
            </w:pPr>
          </w:p>
        </w:tc>
        <w:tc>
          <w:tcPr>
            <w:tcW w:w="8460" w:type="dxa"/>
            <w:vAlign w:val="bottom"/>
            <w:gridSpan w:val="3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200" w:type="dxa"/>
            <w:vAlign w:val="bottom"/>
          </w:tcPr>
          <w:p>
            <w:pPr>
              <w:spacing w:after="0"/>
              <w:rPr>
                <w:sz w:val="24"/>
                <w:szCs w:val="24"/>
                <w:color w:val="auto"/>
              </w:rPr>
            </w:pPr>
          </w:p>
        </w:tc>
        <w:tc>
          <w:tcPr>
            <w:tcW w:w="4820" w:type="dxa"/>
            <w:vAlign w:val="bottom"/>
            <w:tcBorders>
              <w:top w:val="single" w:sz="8" w:color="0000EE"/>
              <w:bottom w:val="single" w:sz="8" w:color="0000EE"/>
            </w:tcBorders>
            <w:gridSpan w:val="31"/>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200" w:type="dxa"/>
            <w:vAlign w:val="bottom"/>
          </w:tcPr>
          <w:p>
            <w:pPr>
              <w:spacing w:after="0"/>
              <w:rPr>
                <w:sz w:val="24"/>
                <w:szCs w:val="24"/>
                <w:color w:val="auto"/>
              </w:rPr>
            </w:pPr>
          </w:p>
        </w:tc>
        <w:tc>
          <w:tcPr>
            <w:tcW w:w="22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Item 4 Controls and Procedures</w:t>
              </w:r>
            </w:hyperlink>
          </w:p>
        </w:tc>
        <w:tc>
          <w:tcPr>
            <w:tcW w:w="6180" w:type="dxa"/>
            <w:vAlign w:val="bottom"/>
            <w:gridSpan w:val="2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21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PART II — Other Information</w:t>
              </w:r>
            </w:hyperlink>
          </w:p>
        </w:tc>
        <w:tc>
          <w:tcPr>
            <w:tcW w:w="6480" w:type="dxa"/>
            <w:vAlign w:val="bottom"/>
            <w:gridSpan w:val="30"/>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18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 1 Legal Proceedings</w:t>
              </w:r>
            </w:hyperlink>
          </w:p>
        </w:tc>
        <w:tc>
          <w:tcPr>
            <w:tcW w:w="6620" w:type="dxa"/>
            <w:vAlign w:val="bottom"/>
            <w:gridSpan w:val="3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200" w:type="dxa"/>
            <w:vAlign w:val="bottom"/>
          </w:tcPr>
          <w:p>
            <w:pPr>
              <w:spacing w:after="0"/>
              <w:rPr>
                <w:sz w:val="24"/>
                <w:szCs w:val="24"/>
                <w:color w:val="auto"/>
              </w:rPr>
            </w:pPr>
          </w:p>
        </w:tc>
        <w:tc>
          <w:tcPr>
            <w:tcW w:w="15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1A Risk Factors</w:t>
              </w:r>
            </w:hyperlink>
          </w:p>
        </w:tc>
        <w:tc>
          <w:tcPr>
            <w:tcW w:w="6920" w:type="dxa"/>
            <w:vAlign w:val="bottom"/>
            <w:gridSpan w:val="3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200" w:type="dxa"/>
            <w:vAlign w:val="bottom"/>
          </w:tcPr>
          <w:p>
            <w:pPr>
              <w:spacing w:after="0"/>
              <w:rPr>
                <w:sz w:val="24"/>
                <w:szCs w:val="24"/>
                <w:color w:val="auto"/>
              </w:rPr>
            </w:pPr>
          </w:p>
        </w:tc>
        <w:tc>
          <w:tcPr>
            <w:tcW w:w="4860" w:type="dxa"/>
            <w:vAlign w:val="bottom"/>
            <w:tcBorders>
              <w:bottom w:val="single" w:sz="8" w:color="0000EE"/>
            </w:tcBorders>
            <w:gridSpan w:val="32"/>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 2 Unregistered Sales of Equity Securities and Use of Proceeds</w:t>
              </w:r>
            </w:hyperlink>
          </w:p>
        </w:tc>
        <w:tc>
          <w:tcPr>
            <w:tcW w:w="360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200" w:type="dxa"/>
            <w:vAlign w:val="bottom"/>
          </w:tcPr>
          <w:p>
            <w:pPr>
              <w:spacing w:after="0"/>
              <w:rPr>
                <w:sz w:val="24"/>
                <w:szCs w:val="24"/>
                <w:color w:val="auto"/>
              </w:rPr>
            </w:pPr>
          </w:p>
        </w:tc>
        <w:tc>
          <w:tcPr>
            <w:tcW w:w="8460" w:type="dxa"/>
            <w:vAlign w:val="bottom"/>
            <w:gridSpan w:val="3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3 Defaults Upon Senior Securities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20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Item 4 (Removed and Reserved)</w:t>
              </w:r>
            </w:hyperlink>
          </w:p>
        </w:tc>
        <w:tc>
          <w:tcPr>
            <w:tcW w:w="480" w:type="dxa"/>
            <w:vAlign w:val="bottom"/>
            <w:tcBorders>
              <w:top w:val="single" w:sz="8" w:color="0000EE"/>
            </w:tcBorders>
            <w:gridSpan w:val="4"/>
          </w:tcPr>
          <w:p>
            <w:pPr>
              <w:spacing w:after="0"/>
              <w:rPr>
                <w:sz w:val="24"/>
                <w:szCs w:val="24"/>
                <w:color w:val="auto"/>
              </w:rPr>
            </w:pPr>
          </w:p>
        </w:tc>
        <w:tc>
          <w:tcPr>
            <w:tcW w:w="5640" w:type="dxa"/>
            <w:vAlign w:val="bottom"/>
            <w:gridSpan w:val="2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43" w:orient="portrait"/>
          <w:cols w:equalWidth="0" w:num="1">
            <w:col w:w="9879"/>
          </w:cols>
          <w:pgMar w:left="580" w:top="931" w:right="1440" w:bottom="0" w:gutter="0" w:footer="0" w:header="0"/>
        </w:sectPr>
      </w:pPr>
    </w:p>
    <w:bookmarkStart w:id="3" w:name="page4"/>
    <w:bookmarkEnd w:id="3"/>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480" w:type="dxa"/>
            <w:vAlign w:val="bottom"/>
            <w:tcBorders>
              <w:bottom w:val="single" w:sz="8" w:color="0000EE"/>
            </w:tcBorders>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Item 5</w:t>
              </w:r>
            </w:hyperlink>
          </w:p>
        </w:tc>
        <w:tc>
          <w:tcPr>
            <w:tcW w:w="1340" w:type="dxa"/>
            <w:vAlign w:val="bottom"/>
            <w:tcBorders>
              <w:bottom w:val="single" w:sz="8" w:color="0000EE"/>
            </w:tcBorders>
            <w:gridSpan w:val="2"/>
          </w:tcPr>
          <w:p>
            <w:pPr>
              <w:ind w:left="20"/>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Other Information</w:t>
              </w:r>
            </w:hyperlink>
          </w:p>
        </w:tc>
        <w:tc>
          <w:tcPr>
            <w:tcW w:w="3720" w:type="dxa"/>
            <w:vAlign w:val="bottom"/>
          </w:tcPr>
          <w:p>
            <w:pPr>
              <w:spacing w:after="0"/>
              <w:rPr>
                <w:sz w:val="17"/>
                <w:szCs w:val="17"/>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480" w:type="dxa"/>
            <w:vAlign w:val="bottom"/>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Item 6</w:t>
              </w:r>
            </w:hyperlink>
          </w:p>
        </w:tc>
        <w:tc>
          <w:tcPr>
            <w:tcW w:w="5060" w:type="dxa"/>
            <w:vAlign w:val="bottom"/>
            <w:gridSpan w:val="3"/>
          </w:tcPr>
          <w:p>
            <w:pPr>
              <w:ind w:left="20"/>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3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SIGNATURES</w:t>
        </w:r>
      </w:hyperlink>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32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ALTISOURCE PORTFOLIO SOLUTIONS S.A.</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0" w:type="dxa"/>
            <w:vAlign w:val="bottom"/>
          </w:tcPr>
          <w:p>
            <w:pPr>
              <w:jc w:val="center"/>
              <w:ind w:left="13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0" w:type="dxa"/>
            <w:vAlign w:val="bottom"/>
          </w:tcPr>
          <w:p>
            <w:pPr>
              <w:jc w:val="center"/>
              <w:ind w:left="1390"/>
              <w:spacing w:after="0"/>
              <w:rPr>
                <w:sz w:val="20"/>
                <w:szCs w:val="20"/>
                <w:color w:val="auto"/>
              </w:rPr>
            </w:pPr>
            <w:r>
              <w:rPr>
                <w:rFonts w:ascii="Arial" w:cs="Arial" w:eastAsia="Arial" w:hAnsi="Arial"/>
                <w:sz w:val="18"/>
                <w:szCs w:val="18"/>
                <w:b w:val="1"/>
                <w:bCs w:val="1"/>
                <w:i w:val="1"/>
                <w:iCs w:val="1"/>
                <w:color w:val="auto"/>
                <w:w w:val="87"/>
              </w:rPr>
              <w:t>(Dollars in thousands, Except per Share Data)</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0" w:type="dxa"/>
            <w:vAlign w:val="bottom"/>
            <w:shd w:val="clear" w:color="auto" w:fill="CCEEFF"/>
          </w:tcPr>
          <w:p>
            <w:pPr>
              <w:jc w:val="center"/>
              <w:ind w:left="1370"/>
              <w:spacing w:after="0"/>
              <w:rPr>
                <w:sz w:val="20"/>
                <w:szCs w:val="20"/>
                <w:color w:val="auto"/>
              </w:rPr>
            </w:pPr>
            <w:r>
              <w:rPr>
                <w:rFonts w:ascii="Arial" w:cs="Arial" w:eastAsia="Arial" w:hAnsi="Arial"/>
                <w:sz w:val="18"/>
                <w:szCs w:val="18"/>
                <w:color w:val="auto"/>
                <w:w w:val="92"/>
              </w:rPr>
              <w:t>ASSETS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53,495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Deferred Tax Asset,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89,256</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Deferred Tax Asset, net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in Equity Affiliate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0" w:type="dxa"/>
            <w:vAlign w:val="bottom"/>
            <w:vMerge w:val="restart"/>
          </w:tcPr>
          <w:p>
            <w:pPr>
              <w:jc w:val="center"/>
              <w:ind w:left="1370"/>
              <w:spacing w:after="0"/>
              <w:rPr>
                <w:sz w:val="20"/>
                <w:szCs w:val="20"/>
                <w:color w:val="auto"/>
              </w:rPr>
            </w:pPr>
            <w:r>
              <w:rPr>
                <w:rFonts w:ascii="Arial" w:cs="Arial" w:eastAsia="Arial" w:hAnsi="Arial"/>
                <w:sz w:val="18"/>
                <w:szCs w:val="18"/>
                <w:color w:val="auto"/>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33,697</w:t>
            </w:r>
          </w:p>
        </w:tc>
        <w:tc>
          <w:tcPr>
            <w:tcW w:w="22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35,384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 Lease Obligations — Current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41,680</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Capital Lease Obligations — Non-current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 and Contingencies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($1.00 par value; 100,000 shares authorized; 25,413 shares issued and</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23,979 outstanding in 2011; 25,413 shares issued and 24,881 outstanding in 2010)</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100,984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58,546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Paid-in-Capital</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w w:val="96"/>
              </w:rPr>
              <w:t>Treasury Stock, at cost ($1.00 par value; 1,434 and 532 shares in 2011 2010, respectively)</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(46,171)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(14,418)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Altisource Equity</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148,838</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151,898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209,729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197,800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5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300" w:type="dxa"/>
            <w:vAlign w:val="bottom"/>
            <w:gridSpan w:val="9"/>
          </w:tcPr>
          <w:p>
            <w:pPr>
              <w:jc w:val="center"/>
              <w:ind w:left="1290"/>
              <w:spacing w:after="0"/>
              <w:rPr>
                <w:sz w:val="20"/>
                <w:szCs w:val="20"/>
                <w:color w:val="auto"/>
              </w:rPr>
            </w:pPr>
            <w:r>
              <w:rPr>
                <w:rFonts w:ascii="Arial" w:cs="Arial" w:eastAsia="Arial" w:hAnsi="Arial"/>
                <w:sz w:val="18"/>
                <w:szCs w:val="18"/>
                <w:b w:val="1"/>
                <w:bCs w:val="1"/>
                <w:color w:val="auto"/>
                <w:w w:val="99"/>
              </w:rPr>
              <w:t>ALTISOURCE PORTFOLIO SOLUTIONS S.A.</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560" w:type="dxa"/>
            <w:vAlign w:val="bottom"/>
            <w:gridSpan w:val="10"/>
          </w:tcPr>
          <w:p>
            <w:pPr>
              <w:jc w:val="center"/>
              <w:ind w:left="10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300" w:type="dxa"/>
            <w:vAlign w:val="bottom"/>
            <w:gridSpan w:val="9"/>
          </w:tcPr>
          <w:p>
            <w:pPr>
              <w:jc w:val="center"/>
              <w:ind w:left="1270"/>
              <w:spacing w:after="0"/>
              <w:rPr>
                <w:sz w:val="20"/>
                <w:szCs w:val="20"/>
                <w:color w:val="auto"/>
              </w:rPr>
            </w:pPr>
            <w:r>
              <w:rPr>
                <w:rFonts w:ascii="Arial" w:cs="Arial" w:eastAsia="Arial" w:hAnsi="Arial"/>
                <w:sz w:val="18"/>
                <w:szCs w:val="18"/>
                <w:b w:val="1"/>
                <w:bCs w:val="1"/>
                <w:i w:val="1"/>
                <w:iCs w:val="1"/>
                <w:color w:val="auto"/>
                <w:w w:val="88"/>
              </w:rPr>
              <w:t>(Dollars in thousands, Except Per Share Data)</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214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40"/>
              <w:spacing w:after="0"/>
              <w:rPr>
                <w:sz w:val="20"/>
                <w:szCs w:val="20"/>
                <w:color w:val="auto"/>
              </w:rPr>
            </w:pPr>
            <w:r>
              <w:rPr>
                <w:rFonts w:ascii="Arial" w:cs="Arial" w:eastAsia="Arial" w:hAnsi="Arial"/>
                <w:sz w:val="18"/>
                <w:szCs w:val="18"/>
                <w:color w:val="auto"/>
              </w:rPr>
              <w:t>September 30,</w:t>
            </w:r>
          </w:p>
        </w:tc>
        <w:tc>
          <w:tcPr>
            <w:tcW w:w="260" w:type="dxa"/>
            <w:vAlign w:val="bottom"/>
          </w:tcPr>
          <w:p>
            <w:pPr>
              <w:spacing w:after="0"/>
              <w:rPr>
                <w:sz w:val="20"/>
                <w:szCs w:val="20"/>
                <w:color w:val="auto"/>
              </w:rPr>
            </w:pPr>
          </w:p>
        </w:tc>
        <w:tc>
          <w:tcPr>
            <w:tcW w:w="214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109,793</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77,580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291,731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73,339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48,913</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191,385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132,642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28,667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100,346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15,329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14,730</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45,487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39,275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13,937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54,859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37,984</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698</w:t>
            </w:r>
          </w:p>
        </w:tc>
        <w:tc>
          <w:tcPr>
            <w:tcW w:w="26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Non-controlling</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20,805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14,635</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55,153</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(2,751)</w:t>
            </w: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(5,377)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11,884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49,776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36,621</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(1,791)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(2,052)</w:t>
            </w:r>
          </w:p>
        </w:tc>
        <w:tc>
          <w:tcPr>
            <w:tcW w:w="2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(4,395)</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6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17,171</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32,485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1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0.71</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8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3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24,341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25,318</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24,602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25,489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26,544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1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63,827</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39,459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166,311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104,494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1,352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(in thousands)</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6"/>
                <w:szCs w:val="16"/>
                <w:color w:val="auto"/>
                <w:w w:val="93"/>
              </w:rPr>
              <w:t>Altisource Equity</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Non-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6"/>
        </w:trPr>
        <w:tc>
          <w:tcPr>
            <w:tcW w:w="2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auto"/>
              </w:rPr>
              <w:t>Retained</w:t>
            </w:r>
          </w:p>
        </w:tc>
        <w:tc>
          <w:tcPr>
            <w:tcW w:w="10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Additional</w:t>
            </w:r>
          </w:p>
        </w:tc>
        <w:tc>
          <w:tcPr>
            <w:tcW w:w="12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6"/>
                <w:szCs w:val="16"/>
                <w:color w:val="auto"/>
                <w:w w:val="94"/>
              </w:rPr>
              <w:t>Treasury</w:t>
            </w:r>
          </w:p>
        </w:tc>
        <w:tc>
          <w:tcPr>
            <w:tcW w:w="100" w:type="dxa"/>
            <w:vAlign w:val="bottom"/>
          </w:tcPr>
          <w:p>
            <w:pPr>
              <w:spacing w:after="0"/>
              <w:rPr>
                <w:sz w:val="16"/>
                <w:szCs w:val="16"/>
                <w:color w:val="auto"/>
              </w:rPr>
            </w:pPr>
          </w:p>
        </w:tc>
        <w:tc>
          <w:tcPr>
            <w:tcW w:w="860" w:type="dxa"/>
            <w:vAlign w:val="bottom"/>
            <w:gridSpan w:val="4"/>
          </w:tcPr>
          <w:p>
            <w:pPr>
              <w:ind w:left="60"/>
              <w:spacing w:after="0"/>
              <w:rPr>
                <w:sz w:val="20"/>
                <w:szCs w:val="20"/>
                <w:color w:val="auto"/>
              </w:rPr>
            </w:pPr>
            <w:r>
              <w:rPr>
                <w:rFonts w:ascii="Arial" w:cs="Arial" w:eastAsia="Arial" w:hAnsi="Arial"/>
                <w:sz w:val="16"/>
                <w:szCs w:val="16"/>
                <w:color w:val="auto"/>
              </w:rPr>
              <w:t>controlling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tcPr>
          <w:p>
            <w:pPr>
              <w:ind w:left="60"/>
              <w:spacing w:after="0"/>
              <w:rPr>
                <w:sz w:val="20"/>
                <w:szCs w:val="20"/>
                <w:color w:val="auto"/>
              </w:rPr>
            </w:pPr>
            <w:r>
              <w:rPr>
                <w:rFonts w:ascii="Arial" w:cs="Arial" w:eastAsia="Arial" w:hAnsi="Arial"/>
                <w:sz w:val="16"/>
                <w:szCs w:val="16"/>
                <w:color w:val="auto"/>
                <w:w w:val="96"/>
              </w:rPr>
              <w:t>Comprehensive</w:t>
            </w:r>
          </w:p>
        </w:tc>
      </w:tr>
      <w:tr>
        <w:trPr>
          <w:trHeight w:val="209"/>
        </w:trPr>
        <w:tc>
          <w:tcPr>
            <w:tcW w:w="2620" w:type="dxa"/>
            <w:vAlign w:val="bottom"/>
          </w:tcPr>
          <w:p>
            <w:pPr>
              <w:spacing w:after="0"/>
              <w:rPr>
                <w:sz w:val="18"/>
                <w:szCs w:val="18"/>
                <w:color w:val="auto"/>
              </w:rPr>
            </w:pPr>
          </w:p>
        </w:tc>
        <w:tc>
          <w:tcPr>
            <w:tcW w:w="1460" w:type="dxa"/>
            <w:vAlign w:val="bottom"/>
            <w:gridSpan w:val="6"/>
          </w:tcPr>
          <w:p>
            <w:pPr>
              <w:jc w:val="right"/>
              <w:ind w:right="320"/>
              <w:spacing w:after="0"/>
              <w:rPr>
                <w:sz w:val="20"/>
                <w:szCs w:val="20"/>
                <w:color w:val="auto"/>
              </w:rPr>
            </w:pPr>
            <w:r>
              <w:rPr>
                <w:rFonts w:ascii="Arial" w:cs="Arial" w:eastAsia="Arial" w:hAnsi="Arial"/>
                <w:sz w:val="16"/>
                <w:szCs w:val="16"/>
                <w:color w:val="auto"/>
              </w:rPr>
              <w:t>Common Stock</w:t>
            </w:r>
          </w:p>
        </w:tc>
        <w:tc>
          <w:tcPr>
            <w:tcW w:w="740" w:type="dxa"/>
            <w:vAlign w:val="bottom"/>
            <w:gridSpan w:val="3"/>
          </w:tcPr>
          <w:p>
            <w:pPr>
              <w:spacing w:after="0"/>
              <w:rPr>
                <w:sz w:val="20"/>
                <w:szCs w:val="20"/>
                <w:color w:val="auto"/>
              </w:rPr>
            </w:pPr>
            <w:r>
              <w:rPr>
                <w:rFonts w:ascii="Arial" w:cs="Arial" w:eastAsia="Arial" w:hAnsi="Arial"/>
                <w:sz w:val="16"/>
                <w:szCs w:val="16"/>
                <w:color w:val="auto"/>
              </w:rPr>
              <w:t>Earnings</w:t>
            </w:r>
          </w:p>
        </w:tc>
        <w:tc>
          <w:tcPr>
            <w:tcW w:w="1120" w:type="dxa"/>
            <w:vAlign w:val="bottom"/>
            <w:gridSpan w:val="3"/>
          </w:tcPr>
          <w:p>
            <w:pPr>
              <w:spacing w:after="0"/>
              <w:rPr>
                <w:sz w:val="20"/>
                <w:szCs w:val="20"/>
                <w:color w:val="auto"/>
              </w:rPr>
            </w:pPr>
            <w:r>
              <w:rPr>
                <w:rFonts w:ascii="Arial" w:cs="Arial" w:eastAsia="Arial" w:hAnsi="Arial"/>
                <w:sz w:val="16"/>
                <w:szCs w:val="16"/>
                <w:color w:val="auto"/>
              </w:rPr>
              <w:t>Paid-in Capital</w:t>
            </w:r>
          </w:p>
        </w:tc>
        <w:tc>
          <w:tcPr>
            <w:tcW w:w="1020" w:type="dxa"/>
            <w:vAlign w:val="bottom"/>
            <w:gridSpan w:val="3"/>
          </w:tcPr>
          <w:p>
            <w:pPr>
              <w:spacing w:after="0"/>
              <w:rPr>
                <w:sz w:val="20"/>
                <w:szCs w:val="20"/>
                <w:color w:val="auto"/>
              </w:rPr>
            </w:pPr>
            <w:r>
              <w:rPr>
                <w:rFonts w:ascii="Arial" w:cs="Arial" w:eastAsia="Arial" w:hAnsi="Arial"/>
                <w:sz w:val="16"/>
                <w:szCs w:val="16"/>
                <w:color w:val="auto"/>
              </w:rPr>
              <w:t>Stock, at Cost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Interests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w w:val="95"/>
              </w:rPr>
              <w:t>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auto"/>
              </w:rPr>
              <w:t>Income</w:t>
            </w:r>
          </w:p>
        </w:tc>
      </w:tr>
      <w:tr>
        <w:trPr>
          <w:trHeight w:val="145"/>
        </w:trPr>
        <w:tc>
          <w:tcPr>
            <w:tcW w:w="26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2009</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24,145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24,145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11,665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50,538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86,348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32,485</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4,136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36,621</w:t>
            </w: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36,621</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MPA</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22,941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27,168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30"/>
        </w:trPr>
        <w:tc>
          <w:tcPr>
            <w:tcW w:w="2620" w:type="dxa"/>
            <w:vAlign w:val="bottom"/>
          </w:tcPr>
          <w:p>
            <w:pPr>
              <w:spacing w:after="0" w:line="130" w:lineRule="exact"/>
              <w:rPr>
                <w:sz w:val="20"/>
                <w:szCs w:val="20"/>
                <w:color w:val="auto"/>
              </w:rPr>
            </w:pPr>
            <w:r>
              <w:rPr>
                <w:rFonts w:ascii="Arial" w:cs="Arial" w:eastAsia="Arial" w:hAnsi="Arial"/>
                <w:sz w:val="14"/>
                <w:szCs w:val="14"/>
                <w:color w:val="auto"/>
                <w:w w:val="98"/>
              </w:rPr>
              <w:t>Contributions from Non-controlling Interest</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20" w:type="dxa"/>
            <w:vAlign w:val="bottom"/>
          </w:tcPr>
          <w:p>
            <w:pPr>
              <w:ind w:left="200"/>
              <w:spacing w:after="0"/>
              <w:rPr>
                <w:sz w:val="20"/>
                <w:szCs w:val="20"/>
                <w:color w:val="auto"/>
              </w:rPr>
            </w:pPr>
            <w:r>
              <w:rPr>
                <w:rFonts w:ascii="Arial" w:cs="Arial" w:eastAsia="Arial" w:hAnsi="Arial"/>
                <w:sz w:val="14"/>
                <w:szCs w:val="14"/>
                <w:color w:val="auto"/>
              </w:rPr>
              <w:t>Holders</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Distributions to Non-controlling Interest</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Holders</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(5,207)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(5,207)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2,134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2,708</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Delivery of Vested Restricted Stock</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56"/>
        </w:trPr>
        <w:tc>
          <w:tcPr>
            <w:tcW w:w="2620" w:type="dxa"/>
            <w:vAlign w:val="bottom"/>
          </w:tcPr>
          <w:p>
            <w:pPr>
              <w:spacing w:after="0" w:line="155" w:lineRule="exact"/>
              <w:rPr>
                <w:sz w:val="20"/>
                <w:szCs w:val="20"/>
                <w:color w:val="auto"/>
              </w:rPr>
            </w:pPr>
            <w:r>
              <w:rPr>
                <w:rFonts w:ascii="Arial" w:cs="Arial" w:eastAsia="Arial" w:hAnsi="Arial"/>
                <w:sz w:val="14"/>
                <w:szCs w:val="14"/>
                <w:color w:val="auto"/>
              </w:rPr>
              <w:t>Balance, September 30, 2010</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25,413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25,413</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44,150</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78,321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147,798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36,621</w:t>
            </w:r>
          </w:p>
        </w:tc>
        <w:tc>
          <w:tcPr>
            <w:tcW w:w="8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2010</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25,413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25,413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58,546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79,297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(14,418)</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3,060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151,898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45,381</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49,776</w:t>
            </w: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49,776</w:t>
            </w:r>
          </w:p>
        </w:tc>
      </w:tr>
      <w:tr>
        <w:trPr>
          <w:trHeight w:val="130"/>
        </w:trPr>
        <w:tc>
          <w:tcPr>
            <w:tcW w:w="2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Contributions from Non-controlling Interest</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Holders</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tcPr>
          <w:p>
            <w:pPr>
              <w:spacing w:after="0" w:line="130" w:lineRule="exact"/>
              <w:rPr>
                <w:sz w:val="20"/>
                <w:szCs w:val="20"/>
                <w:color w:val="auto"/>
              </w:rPr>
            </w:pPr>
            <w:r>
              <w:rPr>
                <w:rFonts w:ascii="Arial" w:cs="Arial" w:eastAsia="Arial" w:hAnsi="Arial"/>
                <w:sz w:val="14"/>
                <w:szCs w:val="14"/>
                <w:color w:val="auto"/>
              </w:rPr>
              <w:t>Distributions to Non-controlling Interest</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20" w:type="dxa"/>
            <w:vAlign w:val="bottom"/>
          </w:tcPr>
          <w:p>
            <w:pPr>
              <w:ind w:left="200"/>
              <w:spacing w:after="0"/>
              <w:rPr>
                <w:sz w:val="20"/>
                <w:szCs w:val="20"/>
                <w:color w:val="auto"/>
              </w:rPr>
            </w:pPr>
            <w:r>
              <w:rPr>
                <w:rFonts w:ascii="Arial" w:cs="Arial" w:eastAsia="Arial" w:hAnsi="Arial"/>
                <w:sz w:val="14"/>
                <w:szCs w:val="14"/>
                <w:color w:val="auto"/>
              </w:rPr>
              <w:t>Holders</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(5,443)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(5,443)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(2,943)</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(35,471)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(35,471)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56"/>
        </w:trPr>
        <w:tc>
          <w:tcPr>
            <w:tcW w:w="2620" w:type="dxa"/>
            <w:vAlign w:val="bottom"/>
          </w:tcPr>
          <w:p>
            <w:pPr>
              <w:spacing w:after="0" w:line="155" w:lineRule="exact"/>
              <w:rPr>
                <w:sz w:val="20"/>
                <w:szCs w:val="20"/>
                <w:color w:val="auto"/>
              </w:rPr>
            </w:pPr>
            <w:r>
              <w:rPr>
                <w:rFonts w:ascii="Arial" w:cs="Arial" w:eastAsia="Arial" w:hAnsi="Arial"/>
                <w:sz w:val="14"/>
                <w:szCs w:val="14"/>
                <w:color w:val="auto"/>
              </w:rPr>
              <w:t>Balance, September 30, 2011</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25,413</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25,413</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100,984</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81,406</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(46,171)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163,675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49,776</w:t>
            </w:r>
          </w:p>
        </w:tc>
        <w:tc>
          <w:tcPr>
            <w:tcW w:w="8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0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ALTISOURCE PORTFOLIO SOLUTIONS S.A.</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56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87"/>
              </w:rPr>
              <w:t>(in thousands)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gridSpan w:val="5"/>
          </w:tcPr>
          <w:p>
            <w:pPr>
              <w:jc w:val="right"/>
              <w:ind w:right="540"/>
              <w:spacing w:after="0"/>
              <w:rPr>
                <w:sz w:val="20"/>
                <w:szCs w:val="20"/>
                <w:color w:val="auto"/>
              </w:rPr>
            </w:pPr>
            <w:r>
              <w:rPr>
                <w:rFonts w:ascii="Arial" w:cs="Arial" w:eastAsia="Arial" w:hAnsi="Arial"/>
                <w:sz w:val="18"/>
                <w:szCs w:val="18"/>
                <w:color w:val="auto"/>
                <w:w w:val="99"/>
              </w:rPr>
              <w:t>Nine Months Ended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8"/>
                <w:szCs w:val="18"/>
                <w:color w:val="auto"/>
              </w:rPr>
              <w:t>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49,776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36,621</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6,174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5,015</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3,952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2,109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2,134</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 Losses of Affiliate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Changes in Operating Assets and Liabilities, net of Acquisitions: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(14,019)</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5,066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(1,464)</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(4,109)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(2,594)</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4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1,422</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Cash Flows from Operating Activities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68,751</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33,261</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Additions to Premises and Equipment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(11,291)</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(8,135)</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(26,830)</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Investment in Equity Affiliate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Restricted Cash</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Cash Flows from Investing Activities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(28,983)</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(35,744)</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Stock Option Exercises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3,017</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Purchase of Treasury Stock</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(35,471)</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(2,311)</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Contributions from Non-controlling Interests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(5,443)</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(5,207)</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(40,652)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(7,419)</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21,250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23,037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Interest Paid</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(Received) Paid, net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w:t>
            </w:r>
          </w:p>
        </w:tc>
      </w:tr>
      <w:tr>
        <w:trPr>
          <w:trHeight w:val="432"/>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issued in Connection with Acquisition</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23,900</w:t>
            </w:r>
          </w:p>
        </w:tc>
      </w:tr>
      <w:tr>
        <w:trPr>
          <w:trHeight w:val="230"/>
        </w:trPr>
        <w:tc>
          <w:tcPr>
            <w:tcW w:w="340" w:type="dxa"/>
            <w:vAlign w:val="bottom"/>
          </w:tcPr>
          <w:p>
            <w:pPr>
              <w:spacing w:after="0"/>
              <w:rPr>
                <w:sz w:val="20"/>
                <w:szCs w:val="20"/>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Reduction in Income Tax Payable from Tax Amortizable Goodwill</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Notes to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89"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 provider of services focused on high-value, technology-enabled, knowledge-based solutions principally related to real estate and mortgage portfolio management, asset recovery and customer relationship management.</w:t>
      </w:r>
    </w:p>
    <w:p>
      <w:pPr>
        <w:spacing w:after="0" w:line="141"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We are publicly traded on the NASDAQ Global Select market under the symbol ASPS. We were incorporated under the laws of Luxembourg on November 4, 1999 as Ocwen Luxembourg S.à r.l., renamed Altisource Portfolio Solutions S.à r.l. on May 12, 2009 and converted into Altisource Portfolio Solutions S.A. on June 5, 2009. We became a publicly traded company as of August 10, 2009 (the “Separation”). Prior to the Separation, our businesses were wholly-owned by Ocwen Financial Corporation (“Ocwen”).</w:t>
      </w:r>
    </w:p>
    <w:p>
      <w:pPr>
        <w:spacing w:after="0" w:line="127" w:lineRule="exact"/>
        <w:rPr>
          <w:sz w:val="20"/>
          <w:szCs w:val="20"/>
          <w:color w:val="auto"/>
        </w:rPr>
      </w:pPr>
    </w:p>
    <w:p>
      <w:pPr>
        <w:jc w:val="both"/>
        <w:ind w:left="340" w:right="159"/>
        <w:spacing w:after="0" w:line="342" w:lineRule="auto"/>
        <w:rPr>
          <w:sz w:val="20"/>
          <w:szCs w:val="20"/>
          <w:color w:val="auto"/>
        </w:rPr>
      </w:pPr>
      <w:r>
        <w:rPr>
          <w:rFonts w:ascii="Arial" w:cs="Arial" w:eastAsia="Arial" w:hAnsi="Arial"/>
          <w:sz w:val="16"/>
          <w:szCs w:val="16"/>
          <w:color w:val="auto"/>
        </w:rPr>
        <w:t>We conduct our operations through three reporting segments: Mortgage Services, Financial Services and Technology Services. In addition, we report our corporate related expenditures as a separate segment (see Note 17 for a description of our business segments).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Our condensed consolidated financial statements include the assets and liabilities, revenues and expenses directly attributable to our operations. All significant inter-company and inter-segment transactions and accounts have been eliminated upon consolidation. Certain amounts disclosed in prior period statements have been reclassified to conform to the current period presentation.</w:t>
      </w:r>
    </w:p>
    <w:p>
      <w:pPr>
        <w:spacing w:after="0" w:line="120"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In February 2010, we acquired the Mortgage Partnership of America, L.L.C. (“MPA”), the manager of a national alliance of community mortgage bankers, correspondent lenders and suppliers of mortgage products and services that does business as Lenders One Mortgage Cooperative (“Lenders One”). The management agreement between MPA and Lenders One, pursuant to which MPA is the management company of Lenders One, represents a variable interest in a variable interest entity. MPA determined it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condensed consolidated financial statements on a consolidated basis with the interests of the members reflected as Non-controlling Interest on the Condensed Consolidated Balance Sheets. At September 30, 2011, Lenders One had total assets of $3.6 million and liabilities of less than $0.1 million.</w:t>
      </w:r>
    </w:p>
    <w:p>
      <w:pPr>
        <w:spacing w:after="0" w:line="141"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We have prepared our condensed consolidated financial statements in accordance with accounting principles generally accepted in the United States of America (“GAAP”) for interim financial information and with the instructions to Form 10-Q and Article 10 of SEC Regulation S-X. Accordingly, these financial statements do not include all of the information and notes required by GAAP for complete consolidated financial statements. In the opinion of management, all normal recurring adjustments considered necessary to fairly state the results for the interim periods presented have been included. The preparation of condensed consolidated financial statements in conformity with GAAP requires management to make estimates and assumptions that affect the reported amounts of assets and liabilities and disclosure of contingent assets and liabilities at the date of our condensed consolidated financial statements, as well as the reported amounts of revenues and expenses during the reporting period. Actual results could differ from these estimates.</w:t>
      </w:r>
    </w:p>
    <w:p>
      <w:pPr>
        <w:spacing w:after="0" w:line="12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consolidated financial statements and notes thereto contained in our Form 10-K for the year ended December 31, 2010, filed with the SEC on February 18, 2011, which contains a summary of our significant accounting policies. Certain footnote detail is also omitted from the condensed consolidated financial statements unless there is a material change from the information included in the Form 10-K.</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 in Equity Affiliate</w:t>
      </w:r>
    </w:p>
    <w:p>
      <w:pPr>
        <w:spacing w:after="0" w:line="189"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We utilize the equity method to account for investments in equity securities where we have the ability to exercise significant influence over operating and financial policies of the investee. We include a proportionate share of earnings and/or losses of equity method investees in Equity Income (Loss) in Affiliates, net which is included in Other Income (Expense), net in the Condensed Consolidated Statements of Operations. See Note 8 for additional information.</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April 2011, we acquired Springhouse, LLC (“Springhouse”) an appraisal management company that utilizes a nationwide panel of appraisers to provide real estate appraisals principally to mortgage originators, including the members of Lenders One, and real estate asset managers for $1.8 million.</w:t>
      </w:r>
    </w:p>
    <w:p>
      <w:pPr>
        <w:spacing w:after="0" w:line="14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In July 2011, we acquired the assembled workforce of a sub-contractror (“Tracmail”) in India that performed asset recovery services for $2.4 million.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additional information.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Our reporting currency is the U.S. dollar. Other foreign currency assets and liabilities that are considered monetary items are translated at exchange rates in effect at the balance sheet date. Foreign currency revenues and expenses are translated at transaction date exchange rates. These exchange gains and losses are included in the determination of net income.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fair value of financial instruments, which primarily include Cash and Cash Equivalents, Accounts Receivable, net, Restricted Cash and Accounts Payable and Accrued Expenses at September 30, 2011 and December 31, 2010, are carried at amounts that approximate their fair value due to the short-term nature of these amounts.</w:t>
      </w:r>
    </w:p>
    <w:p>
      <w:pPr>
        <w:spacing w:after="0" w:line="14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Additionally, a put option arrangement was issued to the predecessor owners of MPA. The arrangement, which expires in February 2014, allows the holders to put a portion of the Altisource shares issued as consideration to Altisource at a predetermined price. The fair value calculation is deemed to be a Level 3 calculation. The fair value of the put option at September 30, 2011 of $0.1 million was valued using the following assumptions: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Assumptions</w:t>
            </w:r>
          </w:p>
        </w:tc>
      </w:tr>
      <w:tr>
        <w:trPr>
          <w:trHeight w:val="210"/>
        </w:trPr>
        <w:tc>
          <w:tcPr>
            <w:tcW w:w="8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0.110% – 0.430%</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 – 37%</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0.5 – 2.5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Fair Value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$0.0 – $0.63</w:t>
            </w:r>
          </w:p>
        </w:tc>
      </w:tr>
    </w:tbl>
    <w:p>
      <w:pPr>
        <w:spacing w:after="0" w:line="16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put option agreement is a written derivative valued similar to stock options and is included within Other Non-current Liabilities on the Condensed Consolidated Balance Sheet. The fair value of the put option agreements will be determined each quarter until such puts are either exercised or forfeited. Any changes in value are included as a component of Other Income (Expense), net in the Condensed Consolidated Statements of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189"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Ocwen remains our largest customer. Following the date of Separation, Ocwen is contractually obligated to purchase certain Mortgage Services and Technology Services from us under service agreements. These agreements extend for eight years from the Separation, subject to termination under certain provisions. Ocwen is not restricted from redeveloping these services. We settle amounts with Ocwen on a daily, weekly or monthly basis based upon the nature of the services and when the service is completed.</w:t>
      </w: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(continued)</w:t>
      </w:r>
    </w:p>
    <w:p>
      <w:pPr>
        <w:spacing w:after="0" w:line="184"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Ocwen, or services derived from Ocwen’s loan servicing portfolio, as a percentage of each of our segment revenues and as a percentage of consolidated revenues was as follows for the three and nine months ended September 30:</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120" w:type="dxa"/>
            <w:vAlign w:val="bottom"/>
            <w:gridSpan w:val="4"/>
          </w:tcPr>
          <w:p>
            <w:pPr>
              <w:jc w:val="center"/>
              <w:ind w:left="15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Nine months Ended</w:t>
            </w:r>
          </w:p>
        </w:tc>
      </w:tr>
      <w:tr>
        <w:trPr>
          <w:trHeight w:val="230"/>
        </w:trPr>
        <w:tc>
          <w:tcPr>
            <w:tcW w:w="43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88"/>
              </w:rPr>
              <w:t>September 30,</w:t>
            </w:r>
          </w:p>
        </w:tc>
        <w:tc>
          <w:tcPr>
            <w:tcW w:w="2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8"/>
              </w:rPr>
              <w:t>September 30,</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2011</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2010</w:t>
            </w:r>
          </w:p>
        </w:tc>
        <w:tc>
          <w:tcPr>
            <w:tcW w:w="160" w:type="dxa"/>
            <w:vAlign w:val="bottom"/>
          </w:tcPr>
          <w:p>
            <w:pPr>
              <w:spacing w:after="0"/>
              <w:rPr>
                <w:sz w:val="18"/>
                <w:szCs w:val="18"/>
                <w:color w:val="auto"/>
              </w:rPr>
            </w:pPr>
          </w:p>
        </w:tc>
      </w:tr>
      <w:tr>
        <w:trPr>
          <w:trHeight w:val="210"/>
        </w:trPr>
        <w:tc>
          <w:tcPr>
            <w:tcW w:w="4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&lt;1%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&lt;1%</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&lt;1%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Consolidated Revenue</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72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charged by our competitors. As of January 1, 2011, we modified our pricing for IT Infrastructure Services within our Technology Services segment from a rate card model primarily based on headcount to a fully loaded costs plus mark-up methodology.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Transition Services</w:t>
      </w:r>
    </w:p>
    <w:p>
      <w:pPr>
        <w:spacing w:after="0" w:line="202"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In connection with the Separation, Altisource and Ocwen entered into a Transition Services agreement under which services in such areas as human resources, vendor management, corporate services, six sigma, quality assurance, quantitative analytics, treasury, accounting, risk management, legal, strategic planning, compliance and other areas are provided to the counterparty for up to two years from the date of Separation. The agreement was subsequently extended in August 2011 for certain services for an additional year. For the nine months ended September 30, 2011 and 2010, Altisource billed Ocwen $1.7 million and $1.2 million respectively ($0.8 million and $0.5 million for the third quarter of 2011 and 2010, respectively), and Ocwen billed Altisource $1.4 million and $0.8 million respectively ($0.5 million and $0.2 million for the third quarter of 2011 and 2010, respectively) for services provided under this agreement. These amounts are reflected as a component of Selling, General and Administrative Expenses in the Condensed Consolidated Statements of Operations.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 ACQUISITIONS</w:t>
      </w:r>
    </w:p>
    <w:p>
      <w:pPr>
        <w:spacing w:after="0" w:line="189"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The results of operations of the following acquisitions have been included in our consolidated results from the respective acquisition dates. The acquisitions did not have a material effect on our financial position, results of operations or cash flows.</w:t>
      </w:r>
    </w:p>
    <w:p>
      <w:pPr>
        <w:spacing w:after="0" w:line="12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Acquisition-related transaction costs are included in Selling, General and Administrative Expenses in the Consolidated Statements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Springhouse</w:t>
      </w:r>
    </w:p>
    <w:p>
      <w:pPr>
        <w:spacing w:after="0" w:line="185"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In April 2011, we acquired Springhouse an appraisal management company that utilizes a nationwide panel of appraisers to provide real estate appraisals principally to mortgage originators, including the members of Lenders One, and real estate asset managers.</w:t>
      </w: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(continued)</w:t>
      </w:r>
    </w:p>
    <w:p>
      <w:pPr>
        <w:spacing w:after="0" w:line="184"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Consideration for the transaction consisted of the amounts provided in the table below. The working capital amount is subject to additional revision in the fourth quarter which is not expected to be material:</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w w:val="97"/>
              </w:rPr>
              <w:t>Consideration</w:t>
            </w:r>
          </w:p>
        </w:tc>
      </w:tr>
      <w:tr>
        <w:trPr>
          <w:trHeight w:val="210"/>
        </w:trPr>
        <w:tc>
          <w:tcPr>
            <w:tcW w:w="8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1,900</w:t>
            </w:r>
          </w:p>
        </w:tc>
        <w:tc>
          <w:tcPr>
            <w:tcW w:w="8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Non-compete agreement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Total Consideration</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purchase consideration based on estimates of fair value of the assets acquired and the liabilities assumed is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Premises and Equipment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Management has assigned the following lives to identified assets acquired as a result of the acquisition:</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w w:val="92"/>
              </w:rPr>
              <w:t>Estimated Life</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(in Years)</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 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Trademarks</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Non-compete</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right="179" w:hanging="388"/>
        <w:spacing w:after="0" w:line="277"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identifiable assets are subject to amortization on a straight-line basis as this best approximates the benefit period related to these assets.</w:t>
      </w:r>
    </w:p>
    <w:p>
      <w:pPr>
        <w:spacing w:after="0" w:line="143"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 goodwill arising from the Springhouse acquisition assigned to our Mortgage Services segment relates principally to in-place workforce and our ability to go to market more quickly with a retail origination appraisal business. All goodwill and intangible assets related to the acquisition are expected to be amortizable and deductible for income tax purposes.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Tracmail</w:t>
      </w:r>
    </w:p>
    <w:p>
      <w:pPr>
        <w:spacing w:after="0" w:line="18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July 2011, we acquired the assembled workforce of a sub-contractror in India that performed asset recovery services. Prior to acquisition, the costs paid to the sub-contractor were included in Outside Fees and Services (included in Cost of Revenue in the Condensed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32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ALTISOURCE PORTFOLIO SOLUTIONS S.A.</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320" w:type="dxa"/>
            <w:vAlign w:val="bottom"/>
          </w:tcPr>
          <w:p>
            <w:pPr>
              <w:jc w:val="center"/>
              <w:ind w:left="270"/>
              <w:spacing w:after="0"/>
              <w:rPr>
                <w:sz w:val="20"/>
                <w:szCs w:val="20"/>
                <w:color w:val="auto"/>
              </w:rPr>
            </w:pPr>
            <w:r>
              <w:rPr>
                <w:rFonts w:ascii="Arial" w:cs="Arial" w:eastAsia="Arial" w:hAnsi="Arial"/>
                <w:sz w:val="18"/>
                <w:szCs w:val="18"/>
                <w:color w:val="auto"/>
                <w:w w:val="89"/>
              </w:rPr>
              <w:t>Notes to Condensed Consolidated Financial Statements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320" w:type="dxa"/>
            <w:vAlign w:val="bottom"/>
          </w:tcPr>
          <w:p>
            <w:pPr>
              <w:jc w:val="center"/>
              <w:ind w:left="250"/>
              <w:spacing w:after="0"/>
              <w:rPr>
                <w:sz w:val="20"/>
                <w:szCs w:val="20"/>
                <w:color w:val="auto"/>
              </w:rPr>
            </w:pPr>
            <w:r>
              <w:rPr>
                <w:rFonts w:ascii="Arial" w:cs="Arial" w:eastAsia="Arial" w:hAnsi="Arial"/>
                <w:sz w:val="18"/>
                <w:szCs w:val="18"/>
                <w:i w:val="1"/>
                <w:iCs w:val="1"/>
                <w:color w:val="auto"/>
                <w:w w:val="91"/>
              </w:rPr>
              <w:t>(continued)</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340" w:type="dxa"/>
            <w:vAlign w:val="bottom"/>
          </w:tcPr>
          <w:p>
            <w:pPr>
              <w:spacing w:after="0"/>
              <w:rPr>
                <w:sz w:val="24"/>
                <w:szCs w:val="24"/>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Consideration for the transaction consisted of:</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3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gridSpan w:val="4"/>
          </w:tcPr>
          <w:p>
            <w:pPr>
              <w:ind w:left="280"/>
              <w:spacing w:after="0"/>
              <w:rPr>
                <w:sz w:val="20"/>
                <w:szCs w:val="20"/>
                <w:color w:val="auto"/>
              </w:rPr>
            </w:pPr>
            <w:r>
              <w:rPr>
                <w:rFonts w:ascii="Arial" w:cs="Arial" w:eastAsia="Arial" w:hAnsi="Arial"/>
                <w:sz w:val="18"/>
                <w:szCs w:val="18"/>
                <w:color w:val="auto"/>
                <w:w w:val="97"/>
              </w:rPr>
              <w:t>Consideration</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7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r>
      <w:tr>
        <w:trPr>
          <w:trHeight w:val="216"/>
        </w:trPr>
        <w:tc>
          <w:tcPr>
            <w:tcW w:w="34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Obligations Assumed, net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(1,648)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Consideration, net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purchase consideration based on estimates of fair value of the assets acquired and the liabilities assumed is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w:t>
            </w:r>
          </w:p>
        </w:tc>
        <w:tc>
          <w:tcPr>
            <w:tcW w:w="3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Management has assigned the following lives to identified assets acquired as a result of the acquisition:</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5"/>
          </w:tcPr>
          <w:p>
            <w:pPr>
              <w:ind w:left="20"/>
              <w:spacing w:after="0"/>
              <w:rPr>
                <w:sz w:val="20"/>
                <w:szCs w:val="20"/>
                <w:color w:val="auto"/>
              </w:rPr>
            </w:pPr>
            <w:r>
              <w:rPr>
                <w:rFonts w:ascii="Arial" w:cs="Arial" w:eastAsia="Arial" w:hAnsi="Arial"/>
                <w:sz w:val="18"/>
                <w:szCs w:val="18"/>
                <w:color w:val="auto"/>
                <w:w w:val="92"/>
              </w:rPr>
              <w:t>Estimated Life</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(in Years)</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goodwill arising from the Tracmail acquisition assigned to our Financial Services segment relates principally to in-place workforce and is expected to be amortizable and deductible for income tax purposes.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NOTE 4 — ACCOUNTS RECEIVABLE, NET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940" w:type="dxa"/>
            <w:vAlign w:val="bottom"/>
          </w:tcPr>
          <w:p>
            <w:pPr>
              <w:spacing w:after="0"/>
              <w:rPr>
                <w:sz w:val="20"/>
                <w:szCs w:val="20"/>
                <w:color w:val="auto"/>
              </w:rPr>
            </w:pPr>
            <w:r>
              <w:rPr>
                <w:rFonts w:ascii="Arial" w:cs="Arial" w:eastAsia="Arial" w:hAnsi="Arial"/>
                <w:sz w:val="18"/>
                <w:szCs w:val="18"/>
                <w:color w:val="auto"/>
              </w:rPr>
              <w:t>Accounts Receivable, net consists of the following:</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September 30,</w:t>
            </w: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w w:val="95"/>
              </w:rPr>
              <w:t>December 31,</w:t>
            </w:r>
          </w:p>
        </w:tc>
      </w:tr>
      <w:tr>
        <w:trPr>
          <w:trHeight w:val="230"/>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0"/>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Third-party Accounts Receivable</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17,268</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19,039</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Unbilled Fees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30,564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32,055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Ocwen</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Receivable from Correspondent One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r>
      <w:tr>
        <w:trPr>
          <w:trHeight w:val="223"/>
        </w:trPr>
        <w:tc>
          <w:tcPr>
            <w:tcW w:w="6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55,627</w:t>
            </w:r>
          </w:p>
        </w:tc>
        <w:tc>
          <w:tcPr>
            <w:tcW w:w="10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(2,132)</w:t>
            </w:r>
          </w:p>
        </w:tc>
      </w:tr>
      <w:tr>
        <w:trPr>
          <w:trHeight w:val="20"/>
        </w:trPr>
        <w:tc>
          <w:tcPr>
            <w:tcW w:w="6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94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50,239</w:t>
            </w:r>
          </w:p>
        </w:tc>
        <w:tc>
          <w:tcPr>
            <w:tcW w:w="200" w:type="dxa"/>
            <w:vAlign w:val="bottom"/>
          </w:tcPr>
          <w:p>
            <w:pPr>
              <w:spacing w:after="0"/>
              <w:rPr>
                <w:sz w:val="24"/>
                <w:szCs w:val="24"/>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53,495</w:t>
            </w:r>
          </w:p>
        </w:tc>
      </w:tr>
      <w:tr>
        <w:trPr>
          <w:trHeight w:val="20"/>
        </w:trPr>
        <w:tc>
          <w:tcPr>
            <w:tcW w:w="6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following completion of the service.</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72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20" w:type="dxa"/>
            <w:vAlign w:val="bottom"/>
          </w:tcPr>
          <w:p>
            <w:pPr>
              <w:jc w:val="center"/>
              <w:ind w:left="1670"/>
              <w:spacing w:after="0"/>
              <w:rPr>
                <w:sz w:val="20"/>
                <w:szCs w:val="20"/>
                <w:color w:val="auto"/>
              </w:rPr>
            </w:pPr>
            <w:r>
              <w:rPr>
                <w:rFonts w:ascii="Arial" w:cs="Arial" w:eastAsia="Arial" w:hAnsi="Arial"/>
                <w:sz w:val="18"/>
                <w:szCs w:val="18"/>
                <w:b w:val="1"/>
                <w:bCs w:val="1"/>
                <w:color w:val="auto"/>
                <w:w w:val="99"/>
              </w:rPr>
              <w:t>ALTISOURCE PORTFOLIO SOLUTIONS S.A.</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tcPr>
          <w:p>
            <w:pPr>
              <w:jc w:val="center"/>
              <w:ind w:left="1670"/>
              <w:spacing w:after="0"/>
              <w:rPr>
                <w:sz w:val="20"/>
                <w:szCs w:val="20"/>
                <w:color w:val="auto"/>
              </w:rPr>
            </w:pPr>
            <w:r>
              <w:rPr>
                <w:rFonts w:ascii="Arial" w:cs="Arial" w:eastAsia="Arial" w:hAnsi="Arial"/>
                <w:sz w:val="18"/>
                <w:szCs w:val="18"/>
                <w:color w:val="auto"/>
                <w:w w:val="89"/>
              </w:rPr>
              <w:t>Notes to Condensed Consolidated Financial Statements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20" w:type="dxa"/>
            <w:vAlign w:val="bottom"/>
          </w:tcPr>
          <w:p>
            <w:pPr>
              <w:jc w:val="center"/>
              <w:ind w:left="1650"/>
              <w:spacing w:after="0"/>
              <w:rPr>
                <w:sz w:val="20"/>
                <w:szCs w:val="20"/>
                <w:color w:val="auto"/>
              </w:rPr>
            </w:pPr>
            <w:r>
              <w:rPr>
                <w:rFonts w:ascii="Arial" w:cs="Arial" w:eastAsia="Arial" w:hAnsi="Arial"/>
                <w:sz w:val="18"/>
                <w:szCs w:val="18"/>
                <w:i w:val="1"/>
                <w:iCs w:val="1"/>
                <w:color w:val="auto"/>
                <w:w w:val="91"/>
              </w:rPr>
              <w:t>(continued)</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NOTE 5 — PREPAID EXPENSES AND OTHER CURRENT ASSETS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500" w:type="dxa"/>
            <w:vAlign w:val="bottom"/>
            <w:gridSpan w:val="4"/>
          </w:tcPr>
          <w:p>
            <w:pPr>
              <w:ind w:left="280"/>
              <w:spacing w:after="0"/>
              <w:rPr>
                <w:sz w:val="20"/>
                <w:szCs w:val="20"/>
                <w:color w:val="auto"/>
              </w:rPr>
            </w:pPr>
            <w:r>
              <w:rPr>
                <w:rFonts w:ascii="Arial" w:cs="Arial" w:eastAsia="Arial" w:hAnsi="Arial"/>
                <w:sz w:val="18"/>
                <w:szCs w:val="18"/>
                <w:color w:val="auto"/>
              </w:rPr>
              <w:t>September 30,</w:t>
            </w: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5,954</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Income Tax Receivable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6,793</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13,076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PREMISES AND EQUIPMENT, NET</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69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Premises and Equipment, net which includes amounts recorded under capital leases, consists of the following:</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520" w:type="dxa"/>
            <w:vAlign w:val="bottom"/>
            <w:gridSpan w:val="4"/>
          </w:tcPr>
          <w:p>
            <w:pPr>
              <w:ind w:left="280"/>
              <w:spacing w:after="0"/>
              <w:rPr>
                <w:sz w:val="20"/>
                <w:szCs w:val="20"/>
                <w:color w:val="auto"/>
              </w:rPr>
            </w:pPr>
            <w:r>
              <w:rPr>
                <w:rFonts w:ascii="Arial" w:cs="Arial" w:eastAsia="Arial" w:hAnsi="Arial"/>
                <w:sz w:val="18"/>
                <w:szCs w:val="18"/>
                <w:color w:val="auto"/>
              </w:rPr>
              <w:t>September 30,</w:t>
            </w: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w w:val="95"/>
              </w:rPr>
              <w:t>December 31,</w:t>
            </w:r>
          </w:p>
        </w:tc>
      </w:tr>
      <w:tr>
        <w:trPr>
          <w:trHeight w:val="230"/>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0"/>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37,287</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12,910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9,717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6,843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4,501</w:t>
            </w:r>
          </w:p>
        </w:tc>
      </w:tr>
      <w:tr>
        <w:trPr>
          <w:trHeight w:val="27"/>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49,375</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(38,042)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(31,882)</w:t>
            </w:r>
          </w:p>
        </w:tc>
      </w:tr>
      <w:tr>
        <w:trPr>
          <w:trHeight w:val="223"/>
        </w:trPr>
        <w:tc>
          <w:tcPr>
            <w:tcW w:w="6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22,626</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17,493</w:t>
            </w:r>
          </w:p>
        </w:tc>
      </w:tr>
      <w:tr>
        <w:trPr>
          <w:trHeight w:val="20"/>
        </w:trPr>
        <w:tc>
          <w:tcPr>
            <w:tcW w:w="6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Depreciation and amortization expense, inclusive of capital lease obligations, amounted to $6.2 million and $5.0 million for the nine months ended September 30, 2011 and 2010, respectively ($2.1 million and $1.8 million for the third quarter of 2011 and 2010, respectively), and is included in Cost of Revenue for operating assets and in Selling, General and Administrative Expenses for non-operating assets in the accompanying Condensed Consolidated Statements of Operations.</w:t>
      </w:r>
    </w:p>
    <w:p>
      <w:pPr>
        <w:spacing w:after="0" w:line="200" w:lineRule="exact"/>
        <w:rPr>
          <w:sz w:val="20"/>
          <w:szCs w:val="20"/>
          <w:color w:val="auto"/>
        </w:rPr>
      </w:pPr>
    </w:p>
    <w:p>
      <w:pPr>
        <w:spacing w:after="0" w:line="33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showing the balance of goodwill by segment: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94"/>
              </w:rPr>
              <w:t>Mortgage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Financial</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w w:val="94"/>
              </w:rPr>
              <w:t>Technology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w w:val="95"/>
              </w:rPr>
              <w:t>Services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Services</w:t>
            </w:r>
          </w:p>
        </w:tc>
        <w:tc>
          <w:tcPr>
            <w:tcW w:w="1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Services</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Acquisition of Springhouse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Tracmail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280" w:type="dxa"/>
            <w:vAlign w:val="bottom"/>
          </w:tcPr>
          <w:p>
            <w:pPr>
              <w:spacing w:after="0"/>
              <w:rPr>
                <w:sz w:val="20"/>
                <w:szCs w:val="20"/>
                <w:color w:val="auto"/>
              </w:rPr>
            </w:pPr>
            <w:r>
              <w:rPr>
                <w:rFonts w:ascii="Arial" w:cs="Arial" w:eastAsia="Arial" w:hAnsi="Arial"/>
                <w:sz w:val="18"/>
                <w:szCs w:val="18"/>
                <w:color w:val="auto"/>
              </w:rPr>
              <w:t>Balance, September 30, 2011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10,919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2,378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1,618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14,915</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Intangible Assets, Net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consists of the following:</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Weighted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Average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5"/>
            <w:vMerge w:val="restart"/>
          </w:tcPr>
          <w:p>
            <w:pPr>
              <w:ind w:left="60"/>
              <w:spacing w:after="0"/>
              <w:rPr>
                <w:sz w:val="20"/>
                <w:szCs w:val="20"/>
                <w:color w:val="auto"/>
              </w:rPr>
            </w:pPr>
            <w:r>
              <w:rPr>
                <w:rFonts w:ascii="Arial" w:cs="Arial" w:eastAsia="Arial" w:hAnsi="Arial"/>
                <w:sz w:val="18"/>
                <w:szCs w:val="18"/>
                <w:color w:val="auto"/>
              </w:rPr>
              <w:t>Gross Carrying Amount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6"/>
            <w:vMerge w:val="restart"/>
          </w:tcPr>
          <w:p>
            <w:pPr>
              <w:ind w:left="40"/>
              <w:spacing w:after="0"/>
              <w:rPr>
                <w:sz w:val="20"/>
                <w:szCs w:val="20"/>
                <w:color w:val="auto"/>
              </w:rPr>
            </w:pPr>
            <w:r>
              <w:rPr>
                <w:rFonts w:ascii="Arial" w:cs="Arial" w:eastAsia="Arial" w:hAnsi="Arial"/>
                <w:sz w:val="18"/>
                <w:szCs w:val="18"/>
                <w:color w:val="auto"/>
              </w:rPr>
              <w:t>Accumulated Amortization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6"/>
            <w:vMerge w:val="restart"/>
          </w:tcPr>
          <w:p>
            <w:pPr>
              <w:jc w:val="right"/>
              <w:ind w:right="580"/>
              <w:spacing w:after="0"/>
              <w:rPr>
                <w:sz w:val="20"/>
                <w:szCs w:val="20"/>
                <w:color w:val="auto"/>
              </w:rPr>
            </w:pPr>
            <w:r>
              <w:rPr>
                <w:rFonts w:ascii="Arial" w:cs="Arial" w:eastAsia="Arial" w:hAnsi="Arial"/>
                <w:sz w:val="18"/>
                <w:szCs w:val="18"/>
                <w:color w:val="auto"/>
              </w:rPr>
              <w:t>Net Book Value</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Estimated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6"/>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96"/>
              </w:rPr>
              <w:t>Useful Life</w:t>
            </w:r>
          </w:p>
        </w:tc>
        <w:tc>
          <w:tcPr>
            <w:tcW w:w="60" w:type="dxa"/>
            <w:vAlign w:val="bottom"/>
          </w:tcPr>
          <w:p>
            <w:pPr>
              <w:spacing w:after="0"/>
              <w:rPr>
                <w:sz w:val="16"/>
                <w:szCs w:val="16"/>
                <w:color w:val="auto"/>
              </w:rPr>
            </w:pPr>
          </w:p>
        </w:tc>
        <w:tc>
          <w:tcPr>
            <w:tcW w:w="11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8"/>
              </w:rPr>
              <w:t>September 30,</w:t>
            </w:r>
          </w:p>
        </w:tc>
        <w:tc>
          <w:tcPr>
            <w:tcW w:w="10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6"/>
              </w:rPr>
              <w:t>December 31,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30,</w:t>
            </w:r>
          </w:p>
        </w:tc>
        <w:tc>
          <w:tcPr>
            <w:tcW w:w="1040" w:type="dxa"/>
            <w:vAlign w:val="bottom"/>
            <w:tcBorders>
              <w:top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w w:val="86"/>
              </w:rPr>
              <w:t>December 31,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1"/>
              </w:rPr>
              <w:t>September 30,</w:t>
            </w:r>
          </w:p>
        </w:tc>
        <w:tc>
          <w:tcPr>
            <w:tcW w:w="1060" w:type="dxa"/>
            <w:vAlign w:val="bottom"/>
            <w:tcBorders>
              <w:top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w w:val="86"/>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8"/>
                <w:szCs w:val="18"/>
                <w:i w:val="1"/>
                <w:iCs w:val="1"/>
                <w:color w:val="auto"/>
                <w:w w:val="97"/>
              </w:rPr>
              <w:t>(dollars in thousands)</w:t>
            </w:r>
          </w:p>
        </w:tc>
        <w:tc>
          <w:tcPr>
            <w:tcW w:w="60" w:type="dxa"/>
            <w:vAlign w:val="bottom"/>
          </w:tcPr>
          <w:p>
            <w:pPr>
              <w:spacing w:after="0"/>
              <w:rPr>
                <w:sz w:val="20"/>
                <w:szCs w:val="20"/>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(Years)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Definite-lived</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00"/>
              <w:spacing w:after="0"/>
              <w:rPr>
                <w:sz w:val="20"/>
                <w:szCs w:val="20"/>
                <w:color w:val="auto"/>
              </w:rPr>
            </w:pPr>
            <w:r>
              <w:rPr>
                <w:rFonts w:ascii="Arial" w:cs="Arial" w:eastAsia="Arial" w:hAnsi="Arial"/>
                <w:sz w:val="18"/>
                <w:szCs w:val="18"/>
                <w:color w:val="auto"/>
              </w:rPr>
              <w:t>Assets</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3,095</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7,519</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00"/>
              <w:spacing w:after="0"/>
              <w:rPr>
                <w:sz w:val="20"/>
                <w:szCs w:val="20"/>
                <w:color w:val="auto"/>
              </w:rPr>
            </w:pPr>
            <w:r>
              <w:rPr>
                <w:rFonts w:ascii="Arial" w:cs="Arial" w:eastAsia="Arial" w:hAnsi="Arial"/>
                <w:sz w:val="18"/>
                <w:szCs w:val="18"/>
                <w:color w:val="auto"/>
              </w:rPr>
              <w:t>Customer Lists</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38,366</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37,700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11,677(a)</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26,689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30,253</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Operating</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Agreement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2,917</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32,083</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33,396</w:t>
            </w:r>
          </w:p>
        </w:tc>
        <w:tc>
          <w:tcPr>
            <w:tcW w:w="0" w:type="dxa"/>
            <w:vAlign w:val="bottom"/>
          </w:tcPr>
          <w:p>
            <w:pPr>
              <w:spacing w:after="0"/>
              <w:rPr>
                <w:sz w:val="1"/>
                <w:szCs w:val="1"/>
                <w:color w:val="auto"/>
              </w:rPr>
            </w:pPr>
          </w:p>
        </w:tc>
      </w:tr>
      <w:tr>
        <w:trPr>
          <w:trHeight w:val="202"/>
        </w:trPr>
        <w:tc>
          <w:tcPr>
            <w:tcW w:w="1700" w:type="dxa"/>
            <w:vAlign w:val="bottom"/>
          </w:tcPr>
          <w:p>
            <w:pPr>
              <w:ind w:left="200"/>
              <w:spacing w:after="0" w:line="201" w:lineRule="exact"/>
              <w:rPr>
                <w:sz w:val="20"/>
                <w:szCs w:val="20"/>
                <w:color w:val="auto"/>
              </w:rPr>
            </w:pPr>
            <w:r>
              <w:rPr>
                <w:rFonts w:ascii="Arial" w:cs="Arial" w:eastAsia="Arial" w:hAnsi="Arial"/>
                <w:sz w:val="18"/>
                <w:szCs w:val="18"/>
                <w:color w:val="auto"/>
              </w:rPr>
              <w:t>Non-compete</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Total Intangible</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84,100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18,214</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11,672</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67,066</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72,428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20" w:right="159" w:hanging="388"/>
        <w:spacing w:after="0" w:line="288"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Prior to our acquisition of Nationwide Credit, Inc. (“NCI”) in 2007, NCI completed an acquisition which created tax-deductible goodwill that amortizes for tax purposes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referred to as “Component 2” goodwill and it resulted in our recording periodic reductions first to our book goodwill balance in our consolidated financial statements. As our book goodwill balance was fully written off at December 31, 2010, we continue to amortize the remaining Component 2 goodwill for U.S. tax purposes by reducing certain intangible assets by the remaining tax benefits of the Component 2 goodwill as they are realized in our tax returns. The amount amortized was $2.6 million for the nine months ended September 30, 2011. The balance of Component 2 goodwill remaining was $7.1 million as of September 30, 2011 which should generate $4.3 million of reductions of intangible assets when the benefit can be realized for U.S. tax purposes.</w:t>
      </w: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i w:val="1"/>
          <w:iCs w:val="1"/>
          <w:color w:val="auto"/>
        </w:rPr>
        <w:t>(continued)</w:t>
      </w:r>
    </w:p>
    <w:p>
      <w:pPr>
        <w:spacing w:after="0" w:line="184" w:lineRule="exact"/>
        <w:rPr>
          <w:sz w:val="20"/>
          <w:szCs w:val="20"/>
          <w:color w:val="auto"/>
        </w:rPr>
      </w:pPr>
    </w:p>
    <w:p>
      <w:pPr>
        <w:jc w:val="both"/>
        <w:ind w:left="340" w:right="1360"/>
        <w:spacing w:after="0" w:line="312" w:lineRule="auto"/>
        <w:rPr>
          <w:sz w:val="20"/>
          <w:szCs w:val="20"/>
          <w:color w:val="auto"/>
        </w:rPr>
      </w:pPr>
      <w:r>
        <w:rPr>
          <w:rFonts w:ascii="Arial" w:cs="Arial" w:eastAsia="Arial" w:hAnsi="Arial"/>
          <w:sz w:val="16"/>
          <w:szCs w:val="16"/>
          <w:color w:val="auto"/>
        </w:rPr>
        <w:t>Amortization expense for definite lived intangible assets was $4.0 million and $4.1 million for the nine months ended September 30, 2011 and 2010, respectively ($1.3 million and $1.4 million for the third quarter of 2011 and 2010, respectively). Amortization expense is estimated to be $5.3 million for 2011, $5.0 million for 2012, $4.8 million for 2013, $4.5 million for 2014 and $4.4 million for 2015.</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INVESTMENT IN EQUITY AFFILIATE</w:t>
      </w:r>
    </w:p>
    <w:p>
      <w:pPr>
        <w:spacing w:after="0" w:line="189" w:lineRule="exact"/>
        <w:rPr>
          <w:sz w:val="20"/>
          <w:szCs w:val="20"/>
          <w:color w:val="auto"/>
        </w:rPr>
      </w:pPr>
    </w:p>
    <w:p>
      <w:pPr>
        <w:jc w:val="both"/>
        <w:ind w:left="340" w:right="1360"/>
        <w:spacing w:after="0" w:line="297" w:lineRule="auto"/>
        <w:rPr>
          <w:sz w:val="20"/>
          <w:szCs w:val="20"/>
          <w:color w:val="auto"/>
        </w:rPr>
      </w:pPr>
      <w:r>
        <w:rPr>
          <w:rFonts w:ascii="Arial" w:cs="Arial" w:eastAsia="Arial" w:hAnsi="Arial"/>
          <w:sz w:val="16"/>
          <w:szCs w:val="16"/>
          <w:color w:val="auto"/>
        </w:rPr>
        <w:t>Correspondent One S.A. (“Correspondent One”) facilitates the purchase of closed conforming and government guaranteed residential mortgages from approved mortgage bankers. Correspondent One provides members of Lenders One additional avenues to sell loans beyond Lenders One’s preferred investor arrangements and the members’ own network of loan buyers. We have significant influence over the general operations of Correspondent One consistent with our 49% ownership level and therefore account for our investment under the equity method. We have no additional funding commitments to Correspondent One.</w:t>
      </w:r>
    </w:p>
    <w:p>
      <w:pPr>
        <w:spacing w:after="0" w:line="131"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Correspondent One is in the initial phases of building its operations and therefore is expected to operate at a loss into 2012. The Net loss on this investment using the equity method was $0.4 million for the nine months ended September 30, 2011 (all in the third quarter). The following table presents summarized financial information for Correspondent One which had no revenues as of September 30</w:t>
      </w:r>
      <w:r>
        <w:rPr>
          <w:rFonts w:ascii="Arial" w:cs="Arial" w:eastAsia="Arial" w:hAnsi="Arial"/>
          <w:sz w:val="15"/>
          <w:szCs w:val="15"/>
          <w:color w:val="auto"/>
        </w:rPr>
        <w:t>th</w:t>
      </w:r>
      <w:r>
        <w:rPr>
          <w:rFonts w:ascii="Arial" w:cs="Arial" w:eastAsia="Arial" w:hAnsi="Arial"/>
          <w:sz w:val="18"/>
          <w:szCs w:val="18"/>
          <w:color w:val="auto"/>
        </w:rPr>
        <w:t xml:space="preserve"> as no loans were sold: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6"/>
          </w:tcPr>
          <w:p>
            <w:pPr>
              <w:spacing w:after="0"/>
              <w:rPr>
                <w:sz w:val="20"/>
                <w:szCs w:val="20"/>
                <w:color w:val="auto"/>
              </w:rPr>
            </w:pPr>
            <w:r>
              <w:rPr>
                <w:rFonts w:ascii="Arial" w:cs="Arial" w:eastAsia="Arial" w:hAnsi="Arial"/>
                <w:sz w:val="18"/>
                <w:szCs w:val="18"/>
                <w:color w:val="auto"/>
                <w:w w:val="96"/>
              </w:rPr>
              <w:t>Nine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6"/>
          </w:tcPr>
          <w:p>
            <w:pPr>
              <w:spacing w:after="0"/>
              <w:rPr>
                <w:sz w:val="20"/>
                <w:szCs w:val="20"/>
                <w:color w:val="auto"/>
              </w:rPr>
            </w:pPr>
            <w:r>
              <w:rPr>
                <w:rFonts w:ascii="Arial" w:cs="Arial" w:eastAsia="Arial" w:hAnsi="Arial"/>
                <w:sz w:val="18"/>
                <w:szCs w:val="18"/>
                <w:color w:val="auto"/>
                <w:w w:val="93"/>
              </w:rPr>
              <w:t>September 30, 2011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7"/>
              </w:rPr>
              <w:t>September 30, 2011</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Current Liabilities</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NOTE 9 — OTHER NON-CURRENT ASSETS</w:t>
            </w: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Non-Current Assets consists of the following:</w:t>
            </w: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00" w:type="dxa"/>
            <w:vAlign w:val="bottom"/>
            <w:gridSpan w:val="6"/>
          </w:tcPr>
          <w:p>
            <w:pPr>
              <w:ind w:left="280"/>
              <w:spacing w:after="0"/>
              <w:rPr>
                <w:sz w:val="20"/>
                <w:szCs w:val="20"/>
                <w:color w:val="auto"/>
              </w:rPr>
            </w:pPr>
            <w:r>
              <w:rPr>
                <w:rFonts w:ascii="Arial" w:cs="Arial" w:eastAsia="Arial" w:hAnsi="Arial"/>
                <w:sz w:val="18"/>
                <w:szCs w:val="18"/>
                <w:color w:val="auto"/>
              </w:rPr>
              <w:t>September 30,</w:t>
            </w: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5"/>
              </w:rPr>
              <w:t>December 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3180" w:type="dxa"/>
            <w:vAlign w:val="bottom"/>
            <w:gridSpan w:val="3"/>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6,871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Unbilled Fees</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3180" w:type="dxa"/>
            <w:vAlign w:val="bottom"/>
            <w:gridSpan w:val="3"/>
          </w:tcPr>
          <w:p>
            <w:pPr>
              <w:ind w:left="296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rPr>
              <w:t>8,645</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4,536</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80" w:type="dxa"/>
            <w:vAlign w:val="bottom"/>
            <w:vMerge w:val="restart"/>
          </w:tcPr>
          <w:p>
            <w:pPr>
              <w:jc w:val="right"/>
              <w:ind w:right="191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 ACCOUNTS PAYABLE, ACCRUED EXPENSES AND OTHER CURRENT LIABILITIES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Accounts Payable and Accrued Expenses consists of the following:</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940" w:type="dxa"/>
            <w:vAlign w:val="bottom"/>
          </w:tcPr>
          <w:p>
            <w:pPr>
              <w:spacing w:after="0"/>
              <w:rPr>
                <w:sz w:val="24"/>
                <w:szCs w:val="24"/>
                <w:color w:val="auto"/>
              </w:rPr>
            </w:pPr>
          </w:p>
        </w:tc>
        <w:tc>
          <w:tcPr>
            <w:tcW w:w="1500" w:type="dxa"/>
            <w:vAlign w:val="bottom"/>
            <w:gridSpan w:val="4"/>
          </w:tcPr>
          <w:p>
            <w:pPr>
              <w:ind w:left="280"/>
              <w:spacing w:after="0"/>
              <w:rPr>
                <w:sz w:val="20"/>
                <w:szCs w:val="20"/>
                <w:color w:val="auto"/>
              </w:rPr>
            </w:pPr>
            <w:r>
              <w:rPr>
                <w:rFonts w:ascii="Arial" w:cs="Arial" w:eastAsia="Arial" w:hAnsi="Arial"/>
                <w:sz w:val="18"/>
                <w:szCs w:val="18"/>
                <w:color w:val="auto"/>
              </w:rPr>
              <w:t>September 30,</w:t>
            </w: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Accrued Expenses — General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12,859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4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33,697</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35,384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Other Current Liabilities consists of the following:</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940" w:type="dxa"/>
            <w:vAlign w:val="bottom"/>
          </w:tcPr>
          <w:p>
            <w:pPr>
              <w:spacing w:after="0"/>
              <w:rPr>
                <w:sz w:val="24"/>
                <w:szCs w:val="24"/>
                <w:color w:val="auto"/>
              </w:rPr>
            </w:pPr>
          </w:p>
        </w:tc>
        <w:tc>
          <w:tcPr>
            <w:tcW w:w="1500" w:type="dxa"/>
            <w:vAlign w:val="bottom"/>
            <w:gridSpan w:val="4"/>
          </w:tcPr>
          <w:p>
            <w:pPr>
              <w:ind w:left="280"/>
              <w:spacing w:after="0"/>
              <w:rPr>
                <w:sz w:val="20"/>
                <w:szCs w:val="20"/>
                <w:color w:val="auto"/>
              </w:rPr>
            </w:pPr>
            <w:r>
              <w:rPr>
                <w:rFonts w:ascii="Arial" w:cs="Arial" w:eastAsia="Arial" w:hAnsi="Arial"/>
                <w:sz w:val="18"/>
                <w:szCs w:val="18"/>
                <w:color w:val="auto"/>
              </w:rPr>
              <w:t>September 30,</w:t>
            </w: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2,198</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Facility Closure Cost Accrual, Current Portion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Collections Due to Clients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5,152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Facility Closure Costs</w:t>
      </w:r>
    </w:p>
    <w:p>
      <w:pPr>
        <w:spacing w:after="0" w:line="189"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During 2009, we accrued facility closure costs (included in Other Current and Other Non-current Liabilities in the Condensed Consolidated Balance Sheet) primarily consisting of lease exit costs (expected to be paid through 2014) and severance for the closure of two facilities. The following table summarizes the activity, all recorded in our Financial Services segment, for the nine months ended September 30, 2011: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Lease Costs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Less: Long-Term Portion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360" w:type="dxa"/>
            <w:vAlign w:val="bottom"/>
            <w:vMerge w:val="restart"/>
          </w:tcPr>
          <w:p>
            <w:pPr>
              <w:spacing w:after="0"/>
              <w:rPr>
                <w:sz w:val="20"/>
                <w:szCs w:val="20"/>
                <w:color w:val="auto"/>
              </w:rPr>
            </w:pPr>
            <w:r>
              <w:rPr>
                <w:rFonts w:ascii="Arial" w:cs="Arial" w:eastAsia="Arial" w:hAnsi="Arial"/>
                <w:sz w:val="18"/>
                <w:szCs w:val="18"/>
                <w:color w:val="auto"/>
              </w:rPr>
              <w:t>We do not expect significant additional costs related to the closure of these facilities.</w:t>
            </w: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8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340" w:type="dxa"/>
            <w:vAlign w:val="bottom"/>
          </w:tcPr>
          <w:p>
            <w:pPr>
              <w:spacing w:after="0"/>
              <w:rPr>
                <w:sz w:val="24"/>
                <w:szCs w:val="24"/>
                <w:color w:val="auto"/>
              </w:rPr>
            </w:pPr>
          </w:p>
        </w:tc>
        <w:tc>
          <w:tcPr>
            <w:tcW w:w="8360" w:type="dxa"/>
            <w:vAlign w:val="bottom"/>
          </w:tcPr>
          <w:p>
            <w:pPr>
              <w:ind w:left="476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 STOCK BASED COMPENSATION</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have issued stock-based awards in the form of stock options for certain employees and officers. We recorded total stock compensation expense of $2.1 million both for the nine months ended September 30, 2011 and 2010 ($0.7 million and $1.2 million for the third quarter of 2011 and 2010, respectively). The compensation expense is principally included in Selling, General and Administrative Expenses in the accompanying Condensed Consolidated Statements of Operations.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the different types of stock-based awards issued under our stock plans: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ind w:left="720" w:right="179"/>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market value on the date of grant. The options generally vest over four</w:t>
      </w:r>
      <w:r>
        <w:rPr>
          <w:rFonts w:ascii="Arial" w:cs="Arial" w:eastAsia="Arial" w:hAnsi="Arial"/>
          <w:sz w:val="18"/>
          <w:szCs w:val="18"/>
          <w:i w:val="1"/>
          <w:iCs w:val="1"/>
          <w:color w:val="auto"/>
        </w:rPr>
        <w:t xml:space="preserve"> </w:t>
      </w:r>
      <w:r>
        <w:rPr>
          <w:rFonts w:ascii="Arial" w:cs="Arial" w:eastAsia="Arial" w:hAnsi="Arial"/>
          <w:sz w:val="18"/>
          <w:szCs w:val="18"/>
          <w:color w:val="auto"/>
        </w:rPr>
        <w:t>years with equal annual cliff-vesting and expire on the earlier of 10 years after the date of grant or following termination of service. A total of 1.1 million service-based awards were outstanding at September 30, 2011.</w:t>
      </w:r>
    </w:p>
    <w:p>
      <w:pPr>
        <w:spacing w:after="0" w:line="141" w:lineRule="exact"/>
        <w:rPr>
          <w:sz w:val="20"/>
          <w:szCs w:val="20"/>
          <w:color w:val="auto"/>
        </w:rPr>
      </w:pPr>
    </w:p>
    <w:p>
      <w:pPr>
        <w:jc w:val="both"/>
        <w:ind w:left="720" w:right="159"/>
        <w:spacing w:after="0" w:line="271"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have two components each of which vest only upon the achievement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 The first component, which we refer to internally as “ordinary performance” grants, consists of two-thirds of the market-based grant and begins to vest if the stock price realizes a compounded annual gain of at least 20% over the exercise price, so long as the stock price is at least double the exercise price. The remaining third of the market-based options, which we refer to internally as “extraordinary performance” grants, begins to vest if the stock price realizes a compounded annual gain of at least 25% over the exercise price, so long as it is at least triple the exercise price. The vesting schedule for all market-based awards is 25% upon achievement of the criteria and the remaining 75% in three equal annual installments. A total of 2.2 million market-based awards were outstanding at September 30, 2011.</w:t>
      </w:r>
    </w:p>
    <w:p>
      <w:pPr>
        <w:spacing w:after="0" w:line="15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Company granted 0.2 million stock options (at an average price of $33.15) and 0.9 million stock options (at an average price of $23.54) during the nine months ended September 30, 2011 and 2010, respectively.</w:t>
      </w:r>
    </w:p>
    <w:p>
      <w:pPr>
        <w:spacing w:after="0" w:line="13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fair value of the service-based options was determined using the Black-Scholes options pricing model while a lattice (binomial) model was used to determine the fair value of the market-based options using the following assumptions as of the grant date: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3060" w:type="dxa"/>
            <w:vAlign w:val="bottom"/>
            <w:gridSpan w:val="5"/>
          </w:tcPr>
          <w:p>
            <w:pPr>
              <w:jc w:val="right"/>
              <w:ind w:right="1020"/>
              <w:spacing w:after="0"/>
              <w:rPr>
                <w:sz w:val="20"/>
                <w:szCs w:val="20"/>
                <w:color w:val="auto"/>
              </w:rPr>
            </w:pPr>
            <w:r>
              <w:rPr>
                <w:rFonts w:ascii="Arial" w:cs="Arial" w:eastAsia="Arial" w:hAnsi="Arial"/>
                <w:sz w:val="18"/>
                <w:szCs w:val="18"/>
                <w:color w:val="auto"/>
              </w:rPr>
              <w:t>September 30, 2011</w:t>
            </w:r>
          </w:p>
        </w:tc>
        <w:tc>
          <w:tcPr>
            <w:tcW w:w="2740" w:type="dxa"/>
            <w:vAlign w:val="bottom"/>
            <w:gridSpan w:val="4"/>
          </w:tcPr>
          <w:p>
            <w:pPr>
              <w:jc w:val="right"/>
              <w:ind w:right="740"/>
              <w:spacing w:after="0"/>
              <w:rPr>
                <w:sz w:val="20"/>
                <w:szCs w:val="20"/>
                <w:color w:val="auto"/>
              </w:rPr>
            </w:pPr>
            <w:r>
              <w:rPr>
                <w:rFonts w:ascii="Arial" w:cs="Arial" w:eastAsia="Arial" w:hAnsi="Arial"/>
                <w:sz w:val="18"/>
                <w:szCs w:val="18"/>
                <w:color w:val="auto"/>
              </w:rPr>
              <w:t>September 30, 2010</w:t>
            </w:r>
          </w:p>
        </w:tc>
      </w:tr>
      <w:tr>
        <w:trPr>
          <w:trHeight w:val="210"/>
        </w:trPr>
        <w:tc>
          <w:tcPr>
            <w:tcW w:w="39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1"/>
              </w:rPr>
              <w:t>Black-Scholes</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Binominal</w:t>
            </w:r>
          </w:p>
        </w:tc>
        <w:tc>
          <w:tcPr>
            <w:tcW w:w="420" w:type="dxa"/>
            <w:vAlign w:val="bottom"/>
          </w:tcPr>
          <w:p>
            <w:pPr>
              <w:spacing w:after="0"/>
              <w:rPr>
                <w:sz w:val="18"/>
                <w:szCs w:val="18"/>
                <w:color w:val="auto"/>
              </w:rPr>
            </w:pPr>
          </w:p>
        </w:tc>
        <w:tc>
          <w:tcPr>
            <w:tcW w:w="14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1"/>
              </w:rPr>
              <w:t>Black-Scholes</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Binominal</w:t>
            </w:r>
          </w:p>
        </w:tc>
        <w:tc>
          <w:tcPr>
            <w:tcW w:w="160" w:type="dxa"/>
            <w:vAlign w:val="bottom"/>
          </w:tcPr>
          <w:p>
            <w:pPr>
              <w:spacing w:after="0"/>
              <w:rPr>
                <w:sz w:val="18"/>
                <w:szCs w:val="18"/>
                <w:color w:val="auto"/>
              </w:rPr>
            </w:pPr>
          </w:p>
        </w:tc>
      </w:tr>
      <w:tr>
        <w:trPr>
          <w:trHeight w:val="210"/>
        </w:trPr>
        <w:tc>
          <w:tcPr>
            <w:tcW w:w="39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1.69%–1.93%</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0.04%–3.03%</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2.82%–3.20%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0.02%–3.66%</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55.70%–55.80%</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4"/>
                <w:szCs w:val="24"/>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Fair Value</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$16.33–$17.85</w:t>
            </w: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w w:val="99"/>
              </w:rPr>
              <w:t>$ 16.91–$20.39</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$11.71–$13.00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$10.05–$12.35</w:t>
            </w:r>
          </w:p>
        </w:tc>
      </w:tr>
    </w:tbl>
    <w:p>
      <w:pPr>
        <w:spacing w:after="0" w:line="16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following table summarizes the weighted-average fair value of stock options granted, and the total intrinsic value of stock options exercised: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Date of Grant Per Share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4,193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2,240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is recorded net of estimated forfeiture rates ranging from 1% to 3%.</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i w:val="1"/>
          <w:iCs w:val="1"/>
          <w:color w:val="auto"/>
        </w:rPr>
        <w:t>(continued)</w:t>
      </w:r>
    </w:p>
    <w:p>
      <w:pPr>
        <w:spacing w:after="0" w:line="184" w:lineRule="exact"/>
        <w:rPr>
          <w:sz w:val="20"/>
          <w:szCs w:val="20"/>
          <w:color w:val="auto"/>
        </w:rPr>
      </w:pPr>
    </w:p>
    <w:p>
      <w:pPr>
        <w:jc w:val="both"/>
        <w:ind w:left="340" w:right="1380"/>
        <w:spacing w:after="0" w:line="308" w:lineRule="auto"/>
        <w:rPr>
          <w:sz w:val="20"/>
          <w:szCs w:val="20"/>
          <w:color w:val="auto"/>
        </w:rPr>
      </w:pPr>
      <w:r>
        <w:rPr>
          <w:rFonts w:ascii="Arial" w:cs="Arial" w:eastAsia="Arial" w:hAnsi="Arial"/>
          <w:sz w:val="17"/>
          <w:szCs w:val="17"/>
          <w:color w:val="auto"/>
        </w:rPr>
        <w:t>As of September 30, 2011, estimated unrecognized compensation costs related to share-based payments amounted to $7.7 million which we expect to recognize over a weighted-average remaining requisite service period of approximately 3.2 years.</w:t>
      </w:r>
    </w:p>
    <w:p>
      <w:pPr>
        <w:spacing w:after="0" w:line="1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color w:val="auto"/>
                <w:w w:val="94"/>
              </w:rPr>
              <w:t>The following table summarizes activity of our stock options:</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Number of</w:t>
            </w:r>
          </w:p>
        </w:tc>
        <w:tc>
          <w:tcPr>
            <w:tcW w:w="10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Term</w:t>
            </w:r>
          </w:p>
        </w:tc>
        <w:tc>
          <w:tcPr>
            <w:tcW w:w="1160" w:type="dxa"/>
            <w:vAlign w:val="bottom"/>
            <w:gridSpan w:val="3"/>
          </w:tcPr>
          <w:p>
            <w:pPr>
              <w:spacing w:after="0"/>
              <w:rPr>
                <w:sz w:val="20"/>
                <w:szCs w:val="20"/>
                <w:color w:val="auto"/>
              </w:rPr>
            </w:pPr>
            <w:r>
              <w:rPr>
                <w:rFonts w:ascii="Arial" w:cs="Arial" w:eastAsia="Arial" w:hAnsi="Arial"/>
                <w:sz w:val="18"/>
                <w:szCs w:val="18"/>
                <w:color w:val="auto"/>
              </w:rPr>
              <w:t>Intrinsic Value</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Price</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i w:val="1"/>
                <w:iCs w:val="1"/>
                <w:color w:val="auto"/>
                <w:w w:val="93"/>
              </w:rPr>
              <w:t>(in years)</w:t>
            </w:r>
          </w:p>
        </w:tc>
        <w:tc>
          <w:tcPr>
            <w:tcW w:w="1160" w:type="dxa"/>
            <w:vAlign w:val="bottom"/>
            <w:gridSpan w:val="3"/>
          </w:tcPr>
          <w:p>
            <w:pPr>
              <w:ind w:left="20"/>
              <w:spacing w:after="0"/>
              <w:rPr>
                <w:sz w:val="20"/>
                <w:szCs w:val="20"/>
                <w:color w:val="auto"/>
              </w:rPr>
            </w:pPr>
            <w:r>
              <w:rPr>
                <w:rFonts w:ascii="Arial" w:cs="Arial" w:eastAsia="Arial" w:hAnsi="Arial"/>
                <w:sz w:val="18"/>
                <w:szCs w:val="18"/>
                <w:i w:val="1"/>
                <w:iCs w:val="1"/>
                <w:color w:val="auto"/>
                <w:w w:val="98"/>
              </w:rPr>
              <w:t>(in thousands)</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3,451,613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52,641</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181,000</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33.15</w:t>
            </w: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(206,661)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11.36</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(155,579)</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24.52</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3,270,373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69,546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60" w:type="dxa"/>
            <w:vAlign w:val="bottom"/>
          </w:tcPr>
          <w:p>
            <w:pPr>
              <w:spacing w:after="0"/>
              <w:rPr>
                <w:sz w:val="20"/>
                <w:szCs w:val="20"/>
                <w:color w:val="auto"/>
              </w:rPr>
            </w:pPr>
            <w:r>
              <w:rPr>
                <w:rFonts w:ascii="Arial" w:cs="Arial" w:eastAsia="Arial" w:hAnsi="Arial"/>
                <w:sz w:val="18"/>
                <w:szCs w:val="18"/>
                <w:color w:val="auto"/>
              </w:rPr>
              <w:t>Exercisable at September 30, 2011</w:t>
            </w:r>
          </w:p>
        </w:tc>
        <w:tc>
          <w:tcPr>
            <w:tcW w:w="960" w:type="dxa"/>
            <w:vAlign w:val="bottom"/>
          </w:tcPr>
          <w:p>
            <w:pPr>
              <w:jc w:val="right"/>
              <w:spacing w:after="0"/>
              <w:rPr>
                <w:sz w:val="20"/>
                <w:szCs w:val="20"/>
                <w:color w:val="auto"/>
              </w:rPr>
            </w:pPr>
            <w:r>
              <w:rPr>
                <w:rFonts w:ascii="Arial" w:cs="Arial" w:eastAsia="Arial" w:hAnsi="Arial"/>
                <w:sz w:val="18"/>
                <w:szCs w:val="18"/>
                <w:color w:val="auto"/>
              </w:rPr>
              <w:t>1,453,964</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10.27</w:t>
            </w:r>
          </w:p>
        </w:tc>
        <w:tc>
          <w:tcPr>
            <w:tcW w:w="380" w:type="dxa"/>
            <w:vAlign w:val="bottom"/>
          </w:tcPr>
          <w:p>
            <w:pPr>
              <w:spacing w:after="0"/>
              <w:rPr>
                <w:sz w:val="24"/>
                <w:szCs w:val="2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36,522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Stock Repurchase Authorization</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On May 19, 2010, our shareholders authorized us to purchase up to 3.8 million shares of our common stock in the open market. From authorization through September 30, 2011, we have purchased 1.7 million shares of our common stock on the open market at an average price of $31.02, leaving 2.1 million shares still available for purchase under the program.</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 COST OF REVENUE</w:t>
      </w:r>
    </w:p>
    <w:p>
      <w:pPr>
        <w:spacing w:after="0" w:line="189"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periods ended September 30, 2011 and 2010: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104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22,497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59,296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21,528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15,311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57,221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41,092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Expense Reimbursements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13,369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56,934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5,904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3,198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13,439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4,495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73,339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48,913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191,385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132,642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 SELLING, GENERAL AND ADMINISTRATIVE EXPENSES</w:t>
      </w:r>
    </w:p>
    <w:p>
      <w:pPr>
        <w:spacing w:after="0" w:line="189"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Selling, General and Administrative Expenses include payroll for personnel employed in executive, sales, marketing, human resources and finance roles. This category also includes occupancy costs, professional fees, depreciation and amortization on non-operating assets. The components of Selling, General and Administrative Expenses were as follows for the periods ended September 30, 2011 and 2010: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center"/>
              <w:ind w:right="52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Nine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center"/>
              <w:ind w:right="52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1,812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4,636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5,869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12,008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1,450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3,952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4,089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1,483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5,937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45,487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NOTE 14 — OTHER INCOME (EXPENSE), NET</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8"/>
              </w:rPr>
              <w:t>Other Income (Expense), net consists of the following:</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center"/>
              <w:ind w:right="52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4"/>
                <w:szCs w:val="2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Nine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center"/>
              <w:ind w:right="52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Put Option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Equity Loss in Affiliates,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15 — EARNINGS PER SHARE</w:t>
      </w:r>
    </w:p>
    <w:p>
      <w:pPr>
        <w:spacing w:after="0" w:line="189"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stockholders by the weighted average number of common shares outstanding for the period. Diluted EPS reflects the assumed conversion of all dilutive securities.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Basic and diluted earnings per share for the three and nine months ended September 30, 2011 and 2010 are calculated as follows: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6"/>
          </w:tcPr>
          <w:p>
            <w:pPr>
              <w:jc w:val="right"/>
              <w:ind w:right="104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17,171</w:t>
            </w: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32,485</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w w:val="95"/>
              </w:rPr>
              <w:t>Weighted-Average Common Shares Outstanding, Basic</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24,341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25,318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24,602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Dilutive Effect of Restricted Shares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Weighted-Average Common Shares Outstanding, Diluted</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26,544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26,168</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For the three and nine months ended September 30, 2011, an immaterial amount of options that were anti-dilutive have been excluded from the computation of diluted EPS (0.2 million for the three and nine months ended September 30, 2010). These options were anti-dilutive because their exercise price was greater than the average market price of our stock. Also excluded from the computation of diluted EPS for each of the three and nine months ended September 30, 2011 and 2010 are 0.7 million options granted for shares that are issuable upon the achievement of certain market and performance criteria related to our stock price and an annualized rate of return to investors that have not been met at this point.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Company is from time to time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 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17 — SEGMENT REPORTING</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that we use to evaluate operating performance and to assess the allocation of our resources by our Chief Executive Officer.</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(continued)</w:t>
      </w:r>
    </w:p>
    <w:p>
      <w:pPr>
        <w:spacing w:after="0" w:line="184"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 xml:space="preserve">We classify our businesses into three reportable segments. </w:t>
      </w:r>
      <w:r>
        <w:rPr>
          <w:rFonts w:ascii="Arial" w:cs="Arial" w:eastAsia="Arial" w:hAnsi="Arial"/>
          <w:sz w:val="16"/>
          <w:szCs w:val="16"/>
          <w:i w:val="1"/>
          <w:iCs w:val="1"/>
          <w:color w:val="auto"/>
        </w:rPr>
        <w:t>Mortgage Services</w:t>
      </w:r>
      <w:r>
        <w:rPr>
          <w:rFonts w:ascii="Arial" w:cs="Arial" w:eastAsia="Arial" w:hAnsi="Arial"/>
          <w:sz w:val="16"/>
          <w:szCs w:val="16"/>
          <w:color w:val="auto"/>
        </w:rPr>
        <w:t xml:space="preserve"> consists of mortgage portfolio management services that span the mortgage lifecycle.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principally consists of unsecured asset recovery and customer relationship management. </w:t>
      </w:r>
      <w:r>
        <w:rPr>
          <w:rFonts w:ascii="Arial" w:cs="Arial" w:eastAsia="Arial" w:hAnsi="Arial"/>
          <w:sz w:val="16"/>
          <w:szCs w:val="16"/>
          <w:i w:val="1"/>
          <w:iCs w:val="1"/>
          <w:color w:val="auto"/>
        </w:rPr>
        <w:t>Technology Services</w:t>
      </w:r>
      <w:r>
        <w:rPr>
          <w:rFonts w:ascii="Arial" w:cs="Arial" w:eastAsia="Arial" w:hAnsi="Arial"/>
          <w:sz w:val="16"/>
          <w:szCs w:val="16"/>
          <w:color w:val="auto"/>
        </w:rPr>
        <w:t xml:space="preserve"> consists of modular, comprehensive integrated technological solutions for loan servicing, vendor management and invoice presentment and payment as well as providing infrastructure support. In addition, our </w:t>
      </w:r>
      <w:r>
        <w:rPr>
          <w:rFonts w:ascii="Arial" w:cs="Arial" w:eastAsia="Arial" w:hAnsi="Arial"/>
          <w:sz w:val="16"/>
          <w:szCs w:val="16"/>
          <w:i w:val="1"/>
          <w:iCs w:val="1"/>
          <w:color w:val="auto"/>
        </w:rPr>
        <w:t>Corporate Items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Eliminations </w:t>
      </w:r>
      <w:r>
        <w:rPr>
          <w:rFonts w:ascii="Arial" w:cs="Arial" w:eastAsia="Arial" w:hAnsi="Arial"/>
          <w:sz w:val="16"/>
          <w:szCs w:val="16"/>
          <w:color w:val="auto"/>
        </w:rPr>
        <w:t>segment includes eliminations of transactions between the reporting segments and this segment also includes costs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by us related to corporate support functions such as finance, legal, human resources, six sigma and quality assurances.</w:t>
      </w:r>
    </w:p>
    <w:p>
      <w:pPr>
        <w:spacing w:after="0" w:line="124" w:lineRule="exact"/>
        <w:rPr>
          <w:sz w:val="20"/>
          <w:szCs w:val="20"/>
          <w:color w:val="auto"/>
        </w:rPr>
      </w:pPr>
    </w:p>
    <w:p>
      <w:pPr>
        <w:jc w:val="both"/>
        <w:ind w:left="340" w:right="159"/>
        <w:spacing w:after="0" w:line="342" w:lineRule="auto"/>
        <w:rPr>
          <w:sz w:val="20"/>
          <w:szCs w:val="20"/>
          <w:color w:val="auto"/>
        </w:rPr>
      </w:pPr>
      <w:r>
        <w:rPr>
          <w:rFonts w:ascii="Arial" w:cs="Arial" w:eastAsia="Arial" w:hAnsi="Arial"/>
          <w:sz w:val="16"/>
          <w:szCs w:val="16"/>
          <w:color w:val="auto"/>
        </w:rPr>
        <w:t>In 2011, we reorganized our reporting structure in that certain services that were originally part of the Mortgage Services Segment are now classified as part of Financial Services. Prior periods have been recast to conform with the current year presentation.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8"/>
                <w:szCs w:val="18"/>
                <w:color w:val="auto"/>
                <w:w w:val="93"/>
              </w:rPr>
              <w:t>Three Months Ended September 30, 2011</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82,170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109,793</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55,106</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12,676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9,700</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73,339</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27,064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5,127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36,454</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15,329</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22,837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4,371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21,125</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20,805</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58,200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63,827</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780"/>
              <w:spacing w:after="0"/>
              <w:rPr>
                <w:sz w:val="20"/>
                <w:szCs w:val="20"/>
                <w:color w:val="auto"/>
              </w:rPr>
            </w:pPr>
            <w:r>
              <w:rPr>
                <w:rFonts w:ascii="Arial" w:cs="Arial" w:eastAsia="Arial" w:hAnsi="Arial"/>
                <w:sz w:val="18"/>
                <w:szCs w:val="18"/>
                <w:color w:val="auto"/>
                <w:w w:val="95"/>
              </w:rPr>
              <w:t>Nine Months Ended September 30, 2011</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41,115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291,731</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135,670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26,479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191,385</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71,714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14,636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100,346</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11,663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12,230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3,489</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18,105</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45,487</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60,051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11,147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54,859</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60,391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55,153</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166,311</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1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gridSpan w:val="12"/>
          </w:tcPr>
          <w:p>
            <w:pPr>
              <w:jc w:val="center"/>
              <w:ind w:right="520"/>
              <w:spacing w:after="0"/>
              <w:rPr>
                <w:sz w:val="20"/>
                <w:szCs w:val="20"/>
                <w:color w:val="auto"/>
              </w:rPr>
            </w:pPr>
            <w:r>
              <w:rPr>
                <w:rFonts w:ascii="Arial" w:cs="Arial" w:eastAsia="Arial" w:hAnsi="Arial"/>
                <w:sz w:val="18"/>
                <w:szCs w:val="18"/>
                <w:b w:val="1"/>
                <w:bCs w:val="1"/>
                <w:color w:val="auto"/>
                <w:w w:val="99"/>
              </w:rPr>
              <w:t>ALTISOURCE PORTFOLIO SOLUTIONS S.A.</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500" w:type="dxa"/>
            <w:vAlign w:val="bottom"/>
            <w:gridSpan w:val="13"/>
          </w:tcPr>
          <w:p>
            <w:pPr>
              <w:jc w:val="center"/>
              <w:ind w:right="420"/>
              <w:spacing w:after="0"/>
              <w:rPr>
                <w:sz w:val="20"/>
                <w:szCs w:val="20"/>
                <w:color w:val="auto"/>
              </w:rPr>
            </w:pPr>
            <w:r>
              <w:rPr>
                <w:rFonts w:ascii="Arial" w:cs="Arial" w:eastAsia="Arial" w:hAnsi="Arial"/>
                <w:sz w:val="18"/>
                <w:szCs w:val="18"/>
                <w:color w:val="auto"/>
                <w:w w:val="89"/>
              </w:rPr>
              <w:t>Notes to Condensed Consolidated Financial Statements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4"/>
          </w:tcPr>
          <w:p>
            <w:pPr>
              <w:jc w:val="center"/>
              <w:ind w:right="440"/>
              <w:spacing w:after="0"/>
              <w:rPr>
                <w:sz w:val="20"/>
                <w:szCs w:val="20"/>
                <w:color w:val="auto"/>
              </w:rPr>
            </w:pPr>
            <w:r>
              <w:rPr>
                <w:rFonts w:ascii="Arial" w:cs="Arial" w:eastAsia="Arial" w:hAnsi="Arial"/>
                <w:sz w:val="18"/>
                <w:szCs w:val="18"/>
                <w:i w:val="1"/>
                <w:iCs w:val="1"/>
                <w:color w:val="auto"/>
                <w:w w:val="91"/>
              </w:rPr>
              <w:t>(continued)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8"/>
                <w:szCs w:val="18"/>
                <w:color w:val="auto"/>
                <w:w w:val="93"/>
              </w:rPr>
              <w:t>Three Months Ended September 30, 2010</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Mortgage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Services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49,523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77,580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31,383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7,239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48,913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5,724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w w:val="99"/>
              </w:rPr>
              <w:t>Selling, General and Administrative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3,899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4,692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14,730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687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Income (Loss) Before Income Taxes</w:t>
            </w:r>
          </w:p>
        </w:tc>
        <w:tc>
          <w:tcPr>
            <w:tcW w:w="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14,928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34,765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20" w:type="dxa"/>
            <w:vAlign w:val="bottom"/>
            <w:gridSpan w:val="2"/>
            <w:vMerge w:val="restart"/>
          </w:tcPr>
          <w:p>
            <w:pPr>
              <w:ind w:left="200"/>
              <w:spacing w:after="0"/>
              <w:rPr>
                <w:sz w:val="20"/>
                <w:szCs w:val="20"/>
                <w:color w:val="auto"/>
              </w:rPr>
            </w:pPr>
            <w:r>
              <w:rPr>
                <w:rFonts w:ascii="Arial" w:cs="Arial" w:eastAsia="Arial" w:hAnsi="Arial"/>
                <w:sz w:val="18"/>
                <w:szCs w:val="18"/>
                <w:color w:val="auto"/>
                <w:w w:val="92"/>
              </w:rPr>
              <w:t>Selling, General and Administrative</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40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760"/>
              <w:spacing w:after="0"/>
              <w:rPr>
                <w:sz w:val="20"/>
                <w:szCs w:val="20"/>
                <w:color w:val="auto"/>
              </w:rPr>
            </w:pPr>
            <w:r>
              <w:rPr>
                <w:rFonts w:ascii="Arial" w:cs="Arial" w:eastAsia="Arial" w:hAnsi="Arial"/>
                <w:sz w:val="18"/>
                <w:szCs w:val="18"/>
                <w:color w:val="auto"/>
                <w:w w:val="96"/>
              </w:rPr>
              <w:t>Nine Months Ended September 30, 2010</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Mortgage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Services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124,570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37,422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209,901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79,588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42,572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20,555</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(10,073)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132,642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16,867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w w:val="99"/>
              </w:rPr>
              <w:t>Selling, General and Administrative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9,826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12,854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12,555</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39,275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12,827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Income (Loss) Before Income Taxes</w:t>
            </w:r>
          </w:p>
        </w:tc>
        <w:tc>
          <w:tcPr>
            <w:tcW w:w="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35,805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90,749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104,494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20" w:type="dxa"/>
            <w:vAlign w:val="bottom"/>
            <w:gridSpan w:val="2"/>
            <w:vMerge w:val="restart"/>
          </w:tcPr>
          <w:p>
            <w:pPr>
              <w:ind w:left="200"/>
              <w:spacing w:after="0"/>
              <w:rPr>
                <w:sz w:val="20"/>
                <w:szCs w:val="20"/>
                <w:color w:val="auto"/>
              </w:rPr>
            </w:pPr>
            <w:r>
              <w:rPr>
                <w:rFonts w:ascii="Arial" w:cs="Arial" w:eastAsia="Arial" w:hAnsi="Arial"/>
                <w:sz w:val="18"/>
                <w:szCs w:val="18"/>
                <w:color w:val="auto"/>
                <w:w w:val="92"/>
              </w:rPr>
              <w:t>Selling, General and Administrative</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ind w:right="550"/>
              <w:spacing w:after="0"/>
              <w:rPr>
                <w:sz w:val="20"/>
                <w:szCs w:val="20"/>
                <w:color w:val="auto"/>
              </w:rPr>
            </w:pPr>
            <w:r>
              <w:rPr>
                <w:rFonts w:ascii="Arial" w:cs="Arial" w:eastAsia="Arial" w:hAnsi="Arial"/>
                <w:sz w:val="18"/>
                <w:szCs w:val="18"/>
                <w:color w:val="auto"/>
                <w:w w:val="89"/>
              </w:rPr>
              <w:t>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Management’s discussion and analysis of results of operations (“MD&amp;A”) is a supplement to the accompanying consolidated financial statements and provides additional information on our businesses, current developments, financial condition, cash flows and results of operations. Significant sections of the MD&amp;A are as follows:</w:t>
      </w:r>
    </w:p>
    <w:p>
      <w:pPr>
        <w:spacing w:after="0" w:line="141" w:lineRule="exact"/>
        <w:rPr>
          <w:sz w:val="20"/>
          <w:szCs w:val="20"/>
          <w:color w:val="auto"/>
        </w:rPr>
      </w:pPr>
    </w:p>
    <w:p>
      <w:pPr>
        <w:jc w:val="both"/>
        <w:ind w:left="720" w:right="179"/>
        <w:spacing w:after="0" w:line="308"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on page 23, provides a description of recent developments we believe are important in</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understanding the results of operations and financial condition or in understanding anticipated future trends.</w:t>
      </w:r>
    </w:p>
    <w:p>
      <w:pPr>
        <w:spacing w:after="0" w:line="120" w:lineRule="exact"/>
        <w:rPr>
          <w:sz w:val="20"/>
          <w:szCs w:val="20"/>
          <w:color w:val="auto"/>
        </w:rPr>
      </w:pPr>
    </w:p>
    <w:p>
      <w:pPr>
        <w:jc w:val="both"/>
        <w:ind w:left="720" w:right="179"/>
        <w:spacing w:after="0" w:line="264"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24, provides an analysis of our consolidated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for the three and nine months ended September 30, 2011 and 2010. In addition, a brief description is provided of significant transactions and events that affect the comparability of results being analyzed.</w:t>
      </w:r>
    </w:p>
    <w:p>
      <w:pPr>
        <w:spacing w:after="0" w:line="141"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i w:val="1"/>
          <w:iCs w:val="1"/>
          <w:color w:val="auto"/>
        </w:rPr>
        <w:t xml:space="preserve">Segment Results of Operations. </w:t>
      </w:r>
      <w:r>
        <w:rPr>
          <w:rFonts w:ascii="Arial" w:cs="Arial" w:eastAsia="Arial" w:hAnsi="Arial"/>
          <w:sz w:val="18"/>
          <w:szCs w:val="18"/>
          <w:color w:val="auto"/>
        </w:rPr>
        <w:t>This section, beginning on page 29, provides an analysis of each business segment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2011 and 2010 as well as our Corporate segment. In addition, we discuss significant transactions, events and trends that may affect the comparability of the results being analyzed.</w:t>
      </w:r>
    </w:p>
    <w:p>
      <w:pPr>
        <w:spacing w:after="0" w:line="141" w:lineRule="exact"/>
        <w:rPr>
          <w:sz w:val="20"/>
          <w:szCs w:val="20"/>
          <w:color w:val="auto"/>
        </w:rPr>
      </w:pPr>
    </w:p>
    <w:p>
      <w:pPr>
        <w:jc w:val="both"/>
        <w:ind w:left="720" w:right="159"/>
        <w:spacing w:after="0" w:line="342" w:lineRule="auto"/>
        <w:rPr>
          <w:sz w:val="20"/>
          <w:szCs w:val="20"/>
          <w:color w:val="auto"/>
        </w:rPr>
      </w:pP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This section, beginning on page 40, provides an analysis of our cash flows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2011 and 2010. We also discuss restrictions on cash movements, future commitments and capital resources.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This Quarterly Report contains forward-looking statements that relate to, among other things, our future financial and operating results. In many cases, you can identify forward-looking statements by terminology such as “may,” “will,” “should,” “expect,” “intend,” “plan,” “anticipate,” “believe,” “estimate,” “predict,” “potential” or “continue” or the negative of these terms and other comparable terminology including, but not limited to, the following:</w:t>
      </w:r>
    </w:p>
    <w:p>
      <w:pPr>
        <w:spacing w:after="0" w:line="146" w:lineRule="exact"/>
        <w:rPr>
          <w:sz w:val="20"/>
          <w:szCs w:val="20"/>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assumptions related to the sources of liquidity and the adequacy of financial resources;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grow our business;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improve margins;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expectations regarding collection rates and placements in our Financial Services segment;</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assumptions regarding the impact of seasonality;</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estimates regarding the calculation of our effective tax rate; and</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estimates regarding our reserves and valuations.</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the “Risk Factors” section of our Form 10-K for the year ended December 31, 2010 and include the following:</w:t>
      </w:r>
    </w:p>
    <w:p>
      <w:pPr>
        <w:spacing w:after="0" w:line="146" w:lineRule="exact"/>
        <w:rPr>
          <w:sz w:val="20"/>
          <w:szCs w:val="20"/>
          <w:color w:val="auto"/>
        </w:rPr>
      </w:pPr>
    </w:p>
    <w:p>
      <w:pPr>
        <w:ind w:left="1080" w:hanging="37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retain and expand our existing customers and attract new customers; and</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governmental regulations, taxes and policies.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OVERVIEW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w:t>
      </w:r>
    </w:p>
    <w:p>
      <w:pPr>
        <w:spacing w:after="0" w:line="189"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We are a provider of services focused on high-value, technology-enabled, knowledge-based solutions principally related to mortgage and real estate portfolio management, asset recovery and customer relationship management.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our business into three reportable segments:</w:t>
      </w:r>
    </w:p>
    <w:p>
      <w:pPr>
        <w:spacing w:after="0" w:line="198" w:lineRule="exact"/>
        <w:rPr>
          <w:sz w:val="20"/>
          <w:szCs w:val="20"/>
          <w:color w:val="auto"/>
        </w:rPr>
      </w:pPr>
    </w:p>
    <w:p>
      <w:pPr>
        <w:jc w:val="both"/>
        <w:ind w:left="720" w:right="159"/>
        <w:spacing w:after="0" w:line="273" w:lineRule="auto"/>
        <w:rPr>
          <w:sz w:val="20"/>
          <w:szCs w:val="20"/>
          <w:color w:val="auto"/>
        </w:rPr>
      </w:pPr>
      <w:r>
        <w:rPr>
          <w:rFonts w:ascii="Arial" w:cs="Arial" w:eastAsia="Arial" w:hAnsi="Arial"/>
          <w:sz w:val="17"/>
          <w:szCs w:val="17"/>
          <w:i w:val="1"/>
          <w:iCs w:val="1"/>
          <w:color w:val="auto"/>
        </w:rPr>
        <w:t xml:space="preserve">Mortgage Services: </w:t>
      </w:r>
      <w:r>
        <w:rPr>
          <w:rFonts w:ascii="Arial" w:cs="Arial" w:eastAsia="Arial" w:hAnsi="Arial"/>
          <w:sz w:val="17"/>
          <w:szCs w:val="17"/>
          <w:color w:val="auto"/>
        </w:rPr>
        <w:t>Consists of services that span the mortgage lifecycle and are typically outsourced by loan servicers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originators. In 2011, we reorganized our reporting structure in that certain services originally part of Component Services and Other in this segment are now classified as part of Customer Relationship Management in our Financial Services segment. Following this change, Component Service and Other was renamed Origination Management Services. Origination Management Services includes MPA, our legacy contract underwriting business and our origination fulfillment operations currently under development. Prior periods have been recast to conform to the current year presentation.</w:t>
      </w:r>
    </w:p>
    <w:p>
      <w:pPr>
        <w:spacing w:after="0" w:line="138" w:lineRule="exact"/>
        <w:rPr>
          <w:sz w:val="20"/>
          <w:szCs w:val="20"/>
          <w:color w:val="auto"/>
        </w:rPr>
      </w:pPr>
    </w:p>
    <w:p>
      <w:pPr>
        <w:jc w:val="both"/>
        <w:ind w:left="720" w:right="179"/>
        <w:spacing w:after="0" w:line="342" w:lineRule="auto"/>
        <w:rPr>
          <w:sz w:val="20"/>
          <w:szCs w:val="20"/>
          <w:color w:val="auto"/>
        </w:rPr>
      </w:pPr>
      <w:r>
        <w:rPr>
          <w:rFonts w:ascii="Arial" w:cs="Arial" w:eastAsia="Arial" w:hAnsi="Arial"/>
          <w:sz w:val="16"/>
          <w:szCs w:val="16"/>
          <w:i w:val="1"/>
          <w:iCs w:val="1"/>
          <w:color w:val="auto"/>
        </w:rPr>
        <w:t xml:space="preserve">Financial Services: </w:t>
      </w:r>
      <w:r>
        <w:rPr>
          <w:rFonts w:ascii="Arial" w:cs="Arial" w:eastAsia="Arial" w:hAnsi="Arial"/>
          <w:sz w:val="16"/>
          <w:szCs w:val="16"/>
          <w:color w:val="auto"/>
        </w:rPr>
        <w:t>Consists primarily of unsecured asset recovery and customer relationship management. As discussed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Relationship Management now includes certain services that were originally recorded as part of Mortgage Services.</w:t>
      </w:r>
    </w:p>
    <w:p>
      <w:pPr>
        <w:spacing w:after="0" w:line="83" w:lineRule="exact"/>
        <w:rPr>
          <w:sz w:val="20"/>
          <w:szCs w:val="20"/>
          <w:color w:val="auto"/>
        </w:rPr>
      </w:pPr>
    </w:p>
    <w:p>
      <w:pPr>
        <w:jc w:val="both"/>
        <w:ind w:left="720" w:right="159"/>
        <w:spacing w:after="0" w:line="286" w:lineRule="auto"/>
        <w:rPr>
          <w:sz w:val="20"/>
          <w:szCs w:val="20"/>
          <w:color w:val="auto"/>
        </w:rPr>
      </w:pPr>
      <w:r>
        <w:rPr>
          <w:rFonts w:ascii="Arial" w:cs="Arial" w:eastAsia="Arial" w:hAnsi="Arial"/>
          <w:sz w:val="17"/>
          <w:szCs w:val="17"/>
          <w:i w:val="1"/>
          <w:iCs w:val="1"/>
          <w:color w:val="auto"/>
        </w:rPr>
        <w:t xml:space="preserve">Technology Services: </w:t>
      </w:r>
      <w:r>
        <w:rPr>
          <w:rFonts w:ascii="Arial" w:cs="Arial" w:eastAsia="Arial" w:hAnsi="Arial"/>
          <w:sz w:val="17"/>
          <w:szCs w:val="17"/>
          <w:color w:val="auto"/>
        </w:rPr>
        <w:t>Consists of modular, comprehensive integrated technological solutions for loan servicing, vendor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invoice presentment and payment as well as providing infrastructure support. In 2011 we began to report our Consumer Analytics group within Technology Services. Previously this group was included in Corporate.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Repurchase Plan</w:t>
      </w:r>
    </w:p>
    <w:p>
      <w:pPr>
        <w:spacing w:after="0" w:line="18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In May 2010, our shareholders authorized us to purchase 15% of our outstanding share capital, or 3.8 million shares of common stock, in the open market. From authorization through September 30, 2011, we have purchased 1.7 million shares of common stock on the open market at an average price of $31.02, leaving 2.1 million shares available for purchase under the program.</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April 2011, we acquired Springhouse, an appraisal management company that utilizes a nationwide panel of appraisers to provide real estate appraisals principally to mortgage originators, including the members of Lenders One, and real estate asset managers. In July 2011, we acquired the assembled workforce of a sub-contractor in India that performs asset recovery services. See Note 3 to the condensed consolidated financial statements.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Comparability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additional items may impact the comparability of our results:</w:t>
      </w:r>
    </w:p>
    <w:p>
      <w:pPr>
        <w:spacing w:after="0" w:line="198" w:lineRule="exact"/>
        <w:rPr>
          <w:sz w:val="20"/>
          <w:szCs w:val="20"/>
          <w:color w:val="auto"/>
        </w:rPr>
      </w:pPr>
    </w:p>
    <w:p>
      <w:pPr>
        <w:jc w:val="both"/>
        <w:ind w:left="1080" w:right="159" w:hanging="370"/>
        <w:spacing w:after="0" w:line="286" w:lineRule="auto"/>
        <w:tabs>
          <w:tab w:leader="none" w:pos="108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In February 2010, we acquired all of the outstanding membership interest of MPA which was formed with the purpose of managing Lenders One (see Note 1 to the condensed consolidated financial statements). The results of operations of Lenders One have been consolidated under the variable interest model since the acquisition date; and</w:t>
      </w:r>
    </w:p>
    <w:p>
      <w:pPr>
        <w:spacing w:after="0" w:line="97" w:lineRule="exact"/>
        <w:rPr>
          <w:rFonts w:ascii="Arial" w:cs="Arial" w:eastAsia="Arial" w:hAnsi="Arial"/>
          <w:sz w:val="17"/>
          <w:szCs w:val="17"/>
          <w:b w:val="1"/>
          <w:bCs w:val="1"/>
          <w:color w:val="auto"/>
        </w:rPr>
      </w:pPr>
    </w:p>
    <w:p>
      <w:pPr>
        <w:jc w:val="both"/>
        <w:ind w:left="1080" w:right="159" w:hanging="370"/>
        <w:spacing w:after="0" w:line="259"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Effective January 2011, we modified our pricing for IT Infrastructure Services within our Technology Services segment from a rate card model primarily based on headcount to a fully loaded cost plus mark-up methodology. This new model applies to the infrastructure amounts charged to Ocwen as well as internal allocations of infrastructure cost. The impact of this change is discussed further in the Technology Services segment.</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Consolidated Results</w:t>
      </w:r>
    </w:p>
    <w:p>
      <w:pPr>
        <w:spacing w:after="0" w:line="189"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Following is a discussion of our consolidated results of operations for the periods indicated. In evaluating performance, we neutralize the impact of pass-through items for which we earn no margin by excluding reimbursable expenses and non-controlling interests where appropriate and calculating all margins based upon Service Revenue.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results of operations for the periods ended September 30, 2011 and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8"/>
          </w:tcPr>
          <w:p>
            <w:pPr>
              <w:jc w:val="right"/>
              <w:ind w:right="420"/>
              <w:spacing w:after="0"/>
              <w:rPr>
                <w:sz w:val="20"/>
                <w:szCs w:val="20"/>
                <w:color w:val="auto"/>
              </w:rPr>
            </w:pPr>
            <w:r>
              <w:rPr>
                <w:rFonts w:ascii="Arial" w:cs="Arial" w:eastAsia="Arial" w:hAnsi="Arial"/>
                <w:sz w:val="18"/>
                <w:szCs w:val="18"/>
                <w:color w:val="auto"/>
                <w:w w:val="92"/>
              </w:rPr>
              <w:t>Three Months Ended September 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8"/>
          </w:tcPr>
          <w:p>
            <w:pPr>
              <w:jc w:val="right"/>
              <w:ind w:right="380"/>
              <w:spacing w:after="0"/>
              <w:rPr>
                <w:sz w:val="20"/>
                <w:szCs w:val="20"/>
                <w:color w:val="auto"/>
              </w:rPr>
            </w:pPr>
            <w:r>
              <w:rPr>
                <w:rFonts w:ascii="Arial" w:cs="Arial" w:eastAsia="Arial" w:hAnsi="Arial"/>
                <w:sz w:val="18"/>
                <w:szCs w:val="18"/>
                <w:color w:val="auto"/>
                <w:w w:val="94"/>
              </w:rPr>
              <w:t>Nine Months Ended September 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 Better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 Better</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i w:val="1"/>
                <w:iCs w:val="1"/>
                <w:color w:val="auto"/>
                <w:w w:val="88"/>
              </w:rPr>
              <w:t>(in thousands, except per share amounts)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2010</w:t>
            </w:r>
          </w:p>
        </w:tc>
        <w:tc>
          <w:tcPr>
            <w:tcW w:w="4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/(worse)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/(worse)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86,169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62,159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230,403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172,725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Reimbursable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21,833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13,369</w:t>
            </w: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56,933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33,040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Cooperative Non-controlling Interest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2,052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4,136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109,793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77,580</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291,731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209,901</w:t>
            </w:r>
          </w:p>
        </w:tc>
        <w:tc>
          <w:tcPr>
            <w:tcW w:w="4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73,339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48,913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191,385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132,642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36,454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28,667</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100,346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77,259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Gross Profit/Service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15,329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14,730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45,487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39,275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13,937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37,984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Income from Operations/Service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3"/>
              </w:rPr>
              <w:t>Income Before Income Taxes and Non-</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controlling Interests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20,805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14,635</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55,153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38,650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18,962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11,884</w:t>
            </w: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49,776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36,621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9,832</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45,381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32,485</w:t>
            </w:r>
          </w:p>
        </w:tc>
        <w:tc>
          <w:tcPr>
            <w:tcW w:w="4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39</w:t>
            </w: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1.30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60" w:type="dxa"/>
            <w:vAlign w:val="bottom"/>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63,827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39,459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166,311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104,494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60" w:type="dxa"/>
            <w:vAlign w:val="bottom"/>
            <w:vMerge w:val="restart"/>
          </w:tcPr>
          <w:p>
            <w:pPr>
              <w:ind w:left="200"/>
              <w:spacing w:after="0"/>
              <w:rPr>
                <w:sz w:val="20"/>
                <w:szCs w:val="20"/>
                <w:color w:val="auto"/>
              </w:rPr>
            </w:pPr>
            <w:r>
              <w:rPr>
                <w:rFonts w:ascii="Arial" w:cs="Arial" w:eastAsia="Arial" w:hAnsi="Arial"/>
                <w:sz w:val="18"/>
                <w:szCs w:val="18"/>
                <w:color w:val="auto"/>
                <w:w w:val="97"/>
              </w:rPr>
              <w:t>Selling, General and Administrative</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Expenses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223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811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We recognized $230.4 million of Service Revenue for the nine months ended September 30, 2011, a 33% increase over the prior year. For the quarter, we recognized $86.2 million of Service Revenue, a 19% increase when compared to the quarter ended June 30, 2011. This sequential growth in Service Revenue was primarily due to an increase in the fulfillment of services to properties in pre-foreclosure (e.g., valuation, pre-foreclosure inspections), seasonally higher sales of real estate owned (REO) properties and expansion of insurance services. Sequential growth in Service Revenue for Technology Services improved due to Ocwen’s acquisition of the Litton platform and completion of certain development projects. The decline for Financial Services was principally due to seasonality.</w:t>
      </w:r>
    </w:p>
    <w:p>
      <w:pPr>
        <w:spacing w:after="0" w:line="13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recognized $45.4 million in Income Attributable to Altisource or $1.76 per diluted share, for the nine months ended September 30, 2011, a 42% increase in diluted earnings per share over the same period in 2010. For the quarter, Income Attributable to Altisource was $17.2 million or $0.67 per diluted share, a 29% increase in diluted earnings per share when compared to the quarter ended June 30, 2011.</w:t>
      </w:r>
    </w:p>
    <w:p>
      <w:pPr>
        <w:spacing w:after="0" w:line="146"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Gross margin for the quarter remained flat when compared to the quarter ended June 30, 2011 as the increase in gross margin attributable to Technology Services was offset by a decline in gross margin attributable to Mortgage Services. This was due to Mortgage Services segment’s mix of services delivered and the build out of infrastructure to support Ocwen’s September 1, 2011 boarding of the Litton portfolio. As a result of the boarding of the Litton portfolio, we delivered in the third quarter a proportionately higher percentage of services to homes in pre-foreclosure. For these services, the margins are generally lower. The delivery of pre-foreclosure services, however, is a strong leading indicator of future referrals of higher margin foreclosure and asset management services.</w:t>
      </w:r>
    </w:p>
    <w:p>
      <w:pPr>
        <w:spacing w:after="0" w:line="14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From an operating margin perspective, margins on a consolidated basis improved in the quarter when compared to the quarter ended June 30, 2011 by 300 basis points to 25% of Service Revenue. This reflects faster growth in the higher margin Mortgage Services segment as well as leveraging of the Corporate infrastructure.</w:t>
      </w:r>
    </w:p>
    <w:p>
      <w:pPr>
        <w:spacing w:after="0" w:line="154"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For the fourth quarter, Service Revenue should continue to improve when compared to the third quarter based principally upon the expected growth in foreclosure and asset management related referrals.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 for the periods ended September 30, 2011 and 2010:</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7"/>
          </w:tcPr>
          <w:p>
            <w:pPr>
              <w:jc w:val="right"/>
              <w:ind w:right="660"/>
              <w:spacing w:after="0"/>
              <w:rPr>
                <w:sz w:val="20"/>
                <w:szCs w:val="20"/>
                <w:color w:val="auto"/>
              </w:rPr>
            </w:pPr>
            <w:r>
              <w:rPr>
                <w:rFonts w:ascii="Arial" w:cs="Arial" w:eastAsia="Arial" w:hAnsi="Arial"/>
                <w:sz w:val="18"/>
                <w:szCs w:val="18"/>
                <w:color w:val="auto"/>
                <w:w w:val="93"/>
              </w:rPr>
              <w:t>Three Months Ended September 30,</w:t>
            </w:r>
          </w:p>
        </w:tc>
        <w:tc>
          <w:tcPr>
            <w:tcW w:w="140" w:type="dxa"/>
            <w:vAlign w:val="bottom"/>
          </w:tcPr>
          <w:p>
            <w:pPr>
              <w:spacing w:after="0"/>
              <w:rPr>
                <w:sz w:val="20"/>
                <w:szCs w:val="20"/>
                <w:color w:val="auto"/>
              </w:rPr>
            </w:pPr>
          </w:p>
        </w:tc>
        <w:tc>
          <w:tcPr>
            <w:tcW w:w="3020" w:type="dxa"/>
            <w:vAlign w:val="bottom"/>
            <w:gridSpan w:val="8"/>
          </w:tcPr>
          <w:p>
            <w:pPr>
              <w:jc w:val="right"/>
              <w:ind w:right="360"/>
              <w:spacing w:after="0"/>
              <w:rPr>
                <w:sz w:val="20"/>
                <w:szCs w:val="20"/>
                <w:color w:val="auto"/>
              </w:rPr>
            </w:pPr>
            <w:r>
              <w:rPr>
                <w:rFonts w:ascii="Arial" w:cs="Arial" w:eastAsia="Arial" w:hAnsi="Arial"/>
                <w:sz w:val="18"/>
                <w:szCs w:val="18"/>
                <w:color w:val="auto"/>
                <w:w w:val="93"/>
              </w:rPr>
              <w:t>Nine Months Ended September 30,</w:t>
            </w:r>
          </w:p>
        </w:tc>
      </w:tr>
      <w:tr>
        <w:trPr>
          <w:trHeight w:val="195"/>
        </w:trPr>
        <w:tc>
          <w:tcPr>
            <w:tcW w:w="2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Better</w:t>
            </w: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2011</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2010</w:t>
            </w:r>
          </w:p>
        </w:tc>
        <w:tc>
          <w:tcPr>
            <w:tcW w:w="3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/(worse)</w:t>
            </w: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2010</w:t>
            </w:r>
          </w:p>
        </w:tc>
        <w:tc>
          <w:tcPr>
            <w:tcW w:w="3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/(worse)</w:t>
            </w:r>
          </w:p>
        </w:tc>
      </w:tr>
      <w:tr>
        <w:trPr>
          <w:trHeight w:val="210"/>
        </w:trPr>
        <w:tc>
          <w:tcPr>
            <w:tcW w:w="2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58,915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34,909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147,768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89,623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21,464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12,562</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02"/>
        </w:trPr>
        <w:tc>
          <w:tcPr>
            <w:tcW w:w="30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Cooperative Non-controlling</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20" w:type="dxa"/>
            <w:vAlign w:val="bottom"/>
            <w:gridSpan w:val="2"/>
          </w:tcPr>
          <w:p>
            <w:pPr>
              <w:ind w:left="40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1,791</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2,052</w:t>
            </w:r>
          </w:p>
        </w:tc>
        <w:tc>
          <w:tcPr>
            <w:tcW w:w="3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4,395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4,136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7"/>
        </w:trPr>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 — Total Revenue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82,170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49,523</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207,384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124,570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432"/>
        </w:trPr>
        <w:tc>
          <w:tcPr>
            <w:tcW w:w="30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 Revenue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16,934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18,132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56,646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Reimbursable Expenses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807</w:t>
            </w: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2,229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7"/>
        </w:trPr>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 — Total Revenue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58,875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432"/>
        </w:trPr>
        <w:tc>
          <w:tcPr>
            <w:tcW w:w="302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14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14,827</w:t>
            </w:r>
          </w:p>
        </w:tc>
        <w:tc>
          <w:tcPr>
            <w:tcW w:w="1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12,963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41,115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37,422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(4,507)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(11,547)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(10,966)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109,793</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77,580</w:t>
            </w:r>
          </w:p>
        </w:tc>
        <w:tc>
          <w:tcPr>
            <w:tcW w:w="3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291,731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209,901</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0"/>
        </w:trPr>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Mortgage Services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58,200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34,765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150,483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90,749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Services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Technology Services</w:t>
            </w:r>
          </w:p>
        </w:tc>
        <w:tc>
          <w:tcPr>
            <w:tcW w:w="14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5,561</w:t>
            </w:r>
          </w:p>
        </w:tc>
        <w:tc>
          <w:tcPr>
            <w:tcW w:w="16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4,660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15,615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13,635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In evaluating our performance, we utilize Service Revenue which consists of amounts attributable to our fee based services. Reimbursable Expenses and Cooperative Non-controlling Interests are pass-through items for which we earn no margin. Reimbursable Expenses consists of amounts that we incur on behalf of our customers in performing our fee based services, but we pass such costs directly on to our customers without any additional markup. Cooperative Non-controlling Interests is attributable to the members of Lenders One.</w:t>
      </w:r>
    </w:p>
    <w:p>
      <w:pPr>
        <w:spacing w:after="0" w:line="16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growth in Service Revenue continues to be primarily attributable to Mortgage Services for the periods presented and is the result of the development of mortgage and real estate portfolio management services across our national platform and the growth in loans serviced by Ocwen. The Technology Services segment also benefited from the growth in loans serviced by Ocwen principally due to revenue tied to loan volume. Financial Services revenue declined in both periods presented compared to the same periods in 2010 principally due to a decline in revenues from one of the segment’s largest customers. The decline was in part the result of the client shifting work to our global delivery platform.</w:t>
      </w:r>
    </w:p>
    <w:p>
      <w:pPr>
        <w:spacing w:after="0" w:line="153"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Our revenues are seasonal. More specifically, Financial Services revenue tends to be higher in the first quarter and generally declines throughout the year. Mortgage Services revenue is impacted by REO sales which tend to be at their lowest level during fall and winter months and highest during spring and summer months.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telephony expenses as well as depreciation and amortization of operating assets. The components of Cost of Revenue were as follows for the periods ended September 30, 2011 and 2010:</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7"/>
          </w:tcPr>
          <w:p>
            <w:pPr>
              <w:jc w:val="right"/>
              <w:ind w:right="500"/>
              <w:spacing w:after="0"/>
              <w:rPr>
                <w:sz w:val="20"/>
                <w:szCs w:val="20"/>
                <w:color w:val="auto"/>
              </w:rPr>
            </w:pPr>
            <w:r>
              <w:rPr>
                <w:rFonts w:ascii="Arial" w:cs="Arial" w:eastAsia="Arial" w:hAnsi="Arial"/>
                <w:sz w:val="18"/>
                <w:szCs w:val="18"/>
                <w:color w:val="auto"/>
                <w:w w:val="94"/>
              </w:rPr>
              <w:t>Three Months Ended September 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7"/>
          </w:tcPr>
          <w:p>
            <w:pPr>
              <w:jc w:val="right"/>
              <w:ind w:right="440"/>
              <w:spacing w:after="0"/>
              <w:rPr>
                <w:sz w:val="20"/>
                <w:szCs w:val="20"/>
                <w:color w:val="auto"/>
              </w:rPr>
            </w:pPr>
            <w:r>
              <w:rPr>
                <w:rFonts w:ascii="Arial" w:cs="Arial" w:eastAsia="Arial" w:hAnsi="Arial"/>
                <w:sz w:val="18"/>
                <w:szCs w:val="18"/>
                <w:color w:val="auto"/>
                <w:w w:val="96"/>
              </w:rPr>
              <w:t>Nine Months Ended September 30,</w:t>
            </w:r>
          </w:p>
        </w:tc>
      </w:tr>
      <w:tr>
        <w:trPr>
          <w:trHeight w:val="195"/>
        </w:trPr>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/(worse)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/(worse)</w:t>
            </w:r>
          </w:p>
        </w:tc>
      </w:tr>
      <w:tr>
        <w:trPr>
          <w:trHeight w:val="210"/>
        </w:trPr>
        <w:tc>
          <w:tcPr>
            <w:tcW w:w="2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22,497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15,829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59,296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45,519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21,528</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15,311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57,221</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41,092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21,834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13,369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56,934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33,040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w w:val="95"/>
              </w:rPr>
              <w:t>Technology and Communications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5,904</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3,198</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13,439</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8,845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4,495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4,146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73,339</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48,913</w:t>
            </w: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191,385</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132,642</w:t>
            </w:r>
          </w:p>
        </w:tc>
        <w:tc>
          <w:tcPr>
            <w:tcW w:w="4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0"/>
        </w:trPr>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w w:val="99"/>
              </w:rPr>
              <w:t>Gross Profit/Service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For the nine months ended September 30, 2011, our gross margin percentage has remained fairly stable although we have and continue to make significant investments in personnel and technology to support our growth plans. Our gross margins are impacted by the timing and mix of services delivered which, in turn, are impacted by the timing of when loans are boarded by Ocwen. In the third quarter of 2011, we saw a significant increase in services related to homes in pre-foreclosure (e.g., valuation and inspection services) which is typical for newly boarded loan portfolios but for which gross margins are lower when compared to other types of services we deliver within our Mortgage Services segment. The provision of pre-foreclosure services though is generally a leading indicator for default and asset management referrals.</w:t>
      </w:r>
    </w:p>
    <w:p>
      <w:pPr>
        <w:spacing w:after="0" w:line="149" w:lineRule="exact"/>
        <w:rPr>
          <w:sz w:val="20"/>
          <w:szCs w:val="20"/>
          <w:color w:val="auto"/>
        </w:rPr>
      </w:pPr>
    </w:p>
    <w:p>
      <w:pPr>
        <w:jc w:val="both"/>
        <w:ind w:left="340" w:right="179"/>
        <w:spacing w:after="0" w:line="312" w:lineRule="auto"/>
        <w:rPr>
          <w:sz w:val="20"/>
          <w:szCs w:val="20"/>
          <w:color w:val="auto"/>
        </w:rPr>
      </w:pPr>
      <w:r>
        <w:rPr>
          <w:rFonts w:ascii="Arial" w:cs="Arial" w:eastAsia="Arial" w:hAnsi="Arial"/>
          <w:sz w:val="16"/>
          <w:szCs w:val="16"/>
          <w:color w:val="auto"/>
        </w:rPr>
        <w:t>When compared to the same periods in 2010, the substantial increase in Cost of Revenue for the three and nine months ended September 30, 2011 is consistent with the growth in our Mortgage Services segment as we expanded our mortgage and real estate portfolio management services nationally and increased our personnel to support the growth in portfolios serviced by Ocwen.</w:t>
      </w:r>
    </w:p>
    <w:p>
      <w:pPr>
        <w:spacing w:after="0" w:line="12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Compensation and Benefits costs for the quarter ended September 30, 2011 increased sequentially as expected as we hired significant personnel to support the boarding of the Litton portfolio by Ocwen on September 1, 2011 and as we continue to invest in personnel for our new insurance and origination services that are under development and/or roll-out.</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Outside Fees and Services reflects external vendor costs for which we are not reimbursed. These costs are principally incurred by our Mortgage Services segment in the provision of valuation and pre-foreclosure services. The increase in both periods presented over the same periods in 2010 reflects the growth in Ocwen’s portfolio. Sequentially, these costs increased due to the delivery of pre-foreclosure services as a result of the boarding of the Litton platform by Ocwen.</w:t>
      </w:r>
    </w:p>
    <w:p>
      <w:pPr>
        <w:spacing w:after="0" w:line="160"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Technology and Communication costs continue to increase due to ongoing investment in personnel and licenses to support the growth of the businesses.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Selling, General and Administrative Expenses include payroll, employee benefits, occupancy and other costs associated with personnel employed in executive, sales, marketing, human resources and finance roles. This category also includes professional fees, depreciation and amortization on non-operating assets. The components of Selling, General and Administrative Expenses were as follows for the periods ended September 30, 2011 and 2010:</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7"/>
          </w:tcPr>
          <w:p>
            <w:pPr>
              <w:jc w:val="center"/>
              <w:ind w:right="340"/>
              <w:spacing w:after="0"/>
              <w:rPr>
                <w:sz w:val="20"/>
                <w:szCs w:val="20"/>
                <w:color w:val="auto"/>
              </w:rPr>
            </w:pPr>
            <w:r>
              <w:rPr>
                <w:rFonts w:ascii="Arial" w:cs="Arial" w:eastAsia="Arial" w:hAnsi="Arial"/>
                <w:sz w:val="18"/>
                <w:szCs w:val="18"/>
                <w:color w:val="auto"/>
                <w:w w:val="89"/>
              </w:rPr>
              <w:t>Three Months Ended September 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7"/>
          </w:tcPr>
          <w:p>
            <w:pPr>
              <w:jc w:val="center"/>
              <w:ind w:right="240"/>
              <w:spacing w:after="0"/>
              <w:rPr>
                <w:sz w:val="20"/>
                <w:szCs w:val="20"/>
                <w:color w:val="auto"/>
              </w:rPr>
            </w:pPr>
            <w:r>
              <w:rPr>
                <w:rFonts w:ascii="Arial" w:cs="Arial" w:eastAsia="Arial" w:hAnsi="Arial"/>
                <w:sz w:val="18"/>
                <w:szCs w:val="18"/>
                <w:color w:val="auto"/>
                <w:w w:val="89"/>
              </w:rPr>
              <w:t>Nine Months Ended September 30,</w:t>
            </w:r>
          </w:p>
        </w:tc>
        <w:tc>
          <w:tcPr>
            <w:tcW w:w="0" w:type="dxa"/>
            <w:vAlign w:val="bottom"/>
          </w:tcPr>
          <w:p>
            <w:pPr>
              <w:spacing w:after="0"/>
              <w:rPr>
                <w:sz w:val="1"/>
                <w:szCs w:val="1"/>
                <w:color w:val="auto"/>
              </w:rPr>
            </w:pPr>
          </w:p>
        </w:tc>
      </w:tr>
      <w:tr>
        <w:trPr>
          <w:trHeight w:val="195"/>
        </w:trPr>
        <w:tc>
          <w:tcPr>
            <w:tcW w:w="2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/(worse)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/(worse)</w:t>
            </w: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5,250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13,255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1,479</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1,812</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4,636</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5,869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4,449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4,137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9,978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w w:val="98"/>
              </w:rPr>
              <w:t>Amortization of Intangible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1,450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3,952</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4,089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2,049</w:t>
            </w:r>
          </w:p>
        </w:tc>
        <w:tc>
          <w:tcPr>
            <w:tcW w:w="14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1,483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5,937</w:t>
            </w:r>
          </w:p>
        </w:tc>
        <w:tc>
          <w:tcPr>
            <w:tcW w:w="14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5,215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Total Selling, General &amp;</w:t>
            </w: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 Expenses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14,730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45,487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39,275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8"/>
                <w:szCs w:val="18"/>
                <w:color w:val="auto"/>
              </w:rPr>
              <w:t>Operating Percentage:</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Income from Operations/Service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Our operating margin percentage in both periods increased over the same periods in 2010. Selling, General and Administrative costs have stabilized during 2011 even as our businesses have substantially grown. Thus leveraging of our Corporate infrastructure costs along with growth in our more profitable segments has contributed to the increase in margins.</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Before Income Tax</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income before income tax including the amount attributable to Altisource by segment: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ind w:left="2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3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Services: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20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22,554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14,928</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60,391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35,805</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(4,395)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23"/>
        </w:trPr>
        <w:tc>
          <w:tcPr>
            <w:tcW w:w="4380" w:type="dxa"/>
            <w:vAlign w:val="bottom"/>
            <w:gridSpan w:val="2"/>
          </w:tcPr>
          <w:p>
            <w:pPr>
              <w:ind w:left="200"/>
              <w:spacing w:after="0"/>
              <w:rPr>
                <w:sz w:val="20"/>
                <w:szCs w:val="20"/>
                <w:color w:val="auto"/>
              </w:rPr>
            </w:pPr>
            <w:r>
              <w:rPr>
                <w:rFonts w:ascii="Arial" w:cs="Arial" w:eastAsia="Arial" w:hAnsi="Arial"/>
                <w:sz w:val="18"/>
                <w:szCs w:val="18"/>
                <w:color w:val="auto"/>
              </w:rPr>
              <w:t>Pretax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20,763</w:t>
            </w:r>
          </w:p>
        </w:tc>
        <w:tc>
          <w:tcPr>
            <w:tcW w:w="4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83"/>
              </w:rPr>
              <w:t>55,996</w:t>
            </w:r>
          </w:p>
        </w:tc>
        <w:tc>
          <w:tcPr>
            <w:tcW w:w="46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 Percent of Service Revenue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Financial Services: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2,784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0"/>
              <w:spacing w:after="0"/>
              <w:rPr>
                <w:sz w:val="20"/>
                <w:szCs w:val="20"/>
                <w:color w:val="auto"/>
              </w:rPr>
            </w:pPr>
            <w:r>
              <w:rPr>
                <w:rFonts w:ascii="Arial" w:cs="Arial" w:eastAsia="Arial" w:hAnsi="Arial"/>
                <w:sz w:val="18"/>
                <w:szCs w:val="18"/>
                <w:color w:val="auto"/>
              </w:rPr>
              <w:t>As Percent of Service Revenue</w:t>
            </w: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Technology Services: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20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4,359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4,090</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11,108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12,782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 Percent of Revenue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(6,458)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(4,751)</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(19,130)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(13,348)</w:t>
            </w: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20,805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14,635</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55,153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38,650</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(1,791)</w:t>
            </w:r>
          </w:p>
        </w:tc>
        <w:tc>
          <w:tcPr>
            <w:tcW w:w="3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(4,395)</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Pretax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12,583</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50,758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34,514</w:t>
            </w:r>
          </w:p>
        </w:tc>
        <w:tc>
          <w:tcPr>
            <w:tcW w:w="0" w:type="dxa"/>
            <w:vAlign w:val="bottom"/>
          </w:tcPr>
          <w:p>
            <w:pPr>
              <w:spacing w:after="0"/>
              <w:rPr>
                <w:sz w:val="1"/>
                <w:szCs w:val="1"/>
                <w:color w:val="auto"/>
              </w:rPr>
            </w:pPr>
          </w:p>
        </w:tc>
      </w:tr>
      <w:tr>
        <w:trPr>
          <w:trHeight w:val="20"/>
        </w:trPr>
        <w:tc>
          <w:tcPr>
            <w:tcW w:w="43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80" w:type="dxa"/>
            <w:vAlign w:val="bottom"/>
            <w:gridSpan w:val="2"/>
          </w:tcPr>
          <w:p>
            <w:pPr>
              <w:ind w:left="200"/>
              <w:spacing w:after="0"/>
              <w:rPr>
                <w:sz w:val="20"/>
                <w:szCs w:val="20"/>
                <w:color w:val="auto"/>
              </w:rPr>
            </w:pPr>
            <w:r>
              <w:rPr>
                <w:rFonts w:ascii="Arial" w:cs="Arial" w:eastAsia="Arial" w:hAnsi="Arial"/>
                <w:sz w:val="18"/>
                <w:szCs w:val="18"/>
                <w:color w:val="auto"/>
              </w:rPr>
              <w:t>As Percent of Service Revenue</w:t>
            </w:r>
          </w:p>
        </w:tc>
        <w:tc>
          <w:tcPr>
            <w:tcW w:w="2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On a consolidated basis, income before income tax attributable to Altisource grew in both periods over the same periods in 2010 principally as a result of the development of mortgage and real estate portfolio management services and the growth of Ocwen’s servicing portfolio.</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Company recognized an income tax provision of $5.4 million for the nine months ended September 30, 2011 representing an effective tax rate of 9.7%. The income tax provision computed by applying the Luxembourg statutory tax rate of 28.8% differs from the effective tax rate primarily because of the effect of a favorable tax ruling as well as the mix of income and losses in multiple taxing jurisdictions.</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02" w:lineRule="exact"/>
        <w:rPr>
          <w:sz w:val="20"/>
          <w:szCs w:val="20"/>
          <w:color w:val="auto"/>
        </w:rPr>
      </w:pPr>
    </w:p>
    <w:p>
      <w:pPr>
        <w:jc w:val="both"/>
        <w:ind w:left="340" w:right="1360"/>
        <w:spacing w:after="0" w:line="273" w:lineRule="auto"/>
        <w:rPr>
          <w:sz w:val="20"/>
          <w:szCs w:val="20"/>
          <w:color w:val="auto"/>
        </w:rPr>
      </w:pPr>
      <w:r>
        <w:rPr>
          <w:rFonts w:ascii="Arial" w:cs="Arial" w:eastAsia="Arial" w:hAnsi="Arial"/>
          <w:sz w:val="17"/>
          <w:szCs w:val="17"/>
          <w:color w:val="auto"/>
        </w:rPr>
        <w:t>The following section provides a discussion of pretax results of operations of our business segments for the three and nine months ended September 30, 2011 and 2010. Transactions between segments are accounted for as third-party arrangements for purposes of presenting Segment Results of Operations. Intercompany transactions primarily consist of information technology infrastructure services and charges for the use of certain REALSuite applications from our Technology Service segment to our other two segments. Generally, we reflect these charges within technology and communication in the segment receiving the services, except for consulting services, which we reflect in professional services.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8"/>
                <w:szCs w:val="18"/>
                <w:color w:val="auto"/>
                <w:w w:val="93"/>
              </w:rPr>
              <w:t>Three Months Ended September 30, 2011</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82,170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109,793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55,106</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12,676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9,700</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73,339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27,064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5,127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4,227</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4,268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15,329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22,837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4,371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58,200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780"/>
              <w:spacing w:after="0"/>
              <w:rPr>
                <w:sz w:val="20"/>
                <w:szCs w:val="20"/>
                <w:color w:val="auto"/>
              </w:rPr>
            </w:pPr>
            <w:r>
              <w:rPr>
                <w:rFonts w:ascii="Arial" w:cs="Arial" w:eastAsia="Arial" w:hAnsi="Arial"/>
                <w:sz w:val="18"/>
                <w:szCs w:val="18"/>
                <w:color w:val="auto"/>
                <w:w w:val="95"/>
              </w:rPr>
              <w:t>Nine Months Ended September 30, 2011</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207,384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41,115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135,670</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39,738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26,479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191,385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71,714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14,636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100,346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11,663</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12,230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3,489</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18,105</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45,487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60,051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11,147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60,391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55,153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150,483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166,311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570"/>
              <w:spacing w:after="0"/>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8"/>
                <w:szCs w:val="18"/>
                <w:color w:val="auto"/>
                <w:w w:val="93"/>
              </w:rPr>
              <w:t>Three Months Ended September 30, 2010</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49,523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77,580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31,383</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7,239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48,913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18,140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5,724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3,899</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4,692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14,730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14,241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34,765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760"/>
              <w:spacing w:after="0"/>
              <w:rPr>
                <w:sz w:val="20"/>
                <w:szCs w:val="20"/>
                <w:color w:val="auto"/>
              </w:rPr>
            </w:pPr>
            <w:r>
              <w:rPr>
                <w:rFonts w:ascii="Arial" w:cs="Arial" w:eastAsia="Arial" w:hAnsi="Arial"/>
                <w:sz w:val="18"/>
                <w:szCs w:val="18"/>
                <w:color w:val="auto"/>
                <w:w w:val="96"/>
              </w:rPr>
              <w:t>Nine Months Ended September 30, 2010</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124,570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37,422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209,901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79,588</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42,572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20,555</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(10,073)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132,642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44,982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16,867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9,826</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12,854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12,555</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39,275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35,156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12,827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35,805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90,749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104,494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570"/>
              <w:spacing w:after="0"/>
              <w:rPr>
                <w:sz w:val="20"/>
                <w:szCs w:val="20"/>
                <w:color w:val="auto"/>
              </w:rPr>
            </w:pPr>
            <w:r>
              <w:rPr>
                <w:rFonts w:ascii="Arial" w:cs="Arial" w:eastAsia="Arial" w:hAnsi="Arial"/>
                <w:sz w:val="18"/>
                <w:szCs w:val="18"/>
                <w:color w:val="auto"/>
                <w:w w:val="89"/>
              </w:rPr>
              <w:t>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our Mortgage Services segment for the three and nine months ending</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8"/>
          </w:tcPr>
          <w:p>
            <w:pPr>
              <w:jc w:val="right"/>
              <w:ind w:right="500"/>
              <w:spacing w:after="0"/>
              <w:rPr>
                <w:sz w:val="20"/>
                <w:szCs w:val="20"/>
                <w:color w:val="auto"/>
              </w:rPr>
            </w:pPr>
            <w:r>
              <w:rPr>
                <w:rFonts w:ascii="Arial" w:cs="Arial" w:eastAsia="Arial" w:hAnsi="Arial"/>
                <w:sz w:val="18"/>
                <w:szCs w:val="18"/>
                <w:color w:val="auto"/>
                <w:w w:val="94"/>
              </w:rPr>
              <w:t>Three Months Ended September 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7"/>
          </w:tcPr>
          <w:p>
            <w:pPr>
              <w:jc w:val="right"/>
              <w:ind w:right="44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/(worse)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/(worse)</w:t>
            </w: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58,915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34,909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147,768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21,464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12,562</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55,221</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30,811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Cooperative Non-controlling</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1,791</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2,052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4,395</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58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49,523</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207,384</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124,570</w:t>
            </w:r>
          </w:p>
        </w:tc>
        <w:tc>
          <w:tcPr>
            <w:tcW w:w="4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31,383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135,670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79,588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58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27,064</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18,140</w:t>
            </w: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71,714</w:t>
            </w:r>
          </w:p>
        </w:tc>
        <w:tc>
          <w:tcPr>
            <w:tcW w:w="14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44,982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Gross Profit/Service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580" w:type="dxa"/>
            <w:vAlign w:val="bottom"/>
          </w:tcPr>
          <w:p>
            <w:pPr>
              <w:spacing w:after="0"/>
              <w:rPr>
                <w:sz w:val="20"/>
                <w:szCs w:val="20"/>
                <w:color w:val="auto"/>
              </w:rPr>
            </w:pPr>
            <w:r>
              <w:rPr>
                <w:rFonts w:ascii="Arial" w:cs="Arial" w:eastAsia="Arial" w:hAnsi="Arial"/>
                <w:sz w:val="18"/>
                <w:szCs w:val="18"/>
                <w:color w:val="auto"/>
              </w:rPr>
              <w:t>Selling, General and</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4,227</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3,899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11,663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9,826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14,241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35,156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8"/>
                <w:szCs w:val="18"/>
                <w:color w:val="auto"/>
                <w:w w:val="99"/>
              </w:rPr>
              <w:t>Income from Operations/Service</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Transactions with Related Parties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Above:</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Revenue</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58,200</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34,765</w:t>
            </w: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150,483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90,749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Our Mortgage Services segment continues to be the primary driver of growth for both year to date and quarterly results. As previously discussed, in 2011 we reorganized our reporting structure in that certain services that were originally part of Component Services and Other are now classified as part of Customer Relationship Management in our Financial Services segment.</w:t>
      </w:r>
    </w:p>
    <w:p>
      <w:pPr>
        <w:spacing w:after="0" w:line="106"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growth in Mortgage Services in both periods presented over the same periods in 2010 was due to the development of mortgage and real estate portfolio services and growth in the loan portfolio serviced by Ocwen. On average, Ocwen serviced 482,973 loans for the nine months ended September 30, 2011 compared to 373,248 for the nine months ended September 30, 2010. The growth in loans was principally driven by Ocwen’s acquisition of the HomEq portfolio which boarded on REALServicing in September 2010 and the Litton portfolio which was partially boarded on September 1, 2011. We expect the remaining loans associated with the Litton portfolio to board on REALServicing in November 2011.</w:t>
      </w:r>
    </w:p>
    <w:p>
      <w:pPr>
        <w:spacing w:after="0" w:line="166"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Sequentially, Service Revenue increased $13.4 million or 29% with each service group recognizing an increase in the quarter. Closing and insurance services recorded the most significant increases in Service Revenue sequentially driven by the development of services and increase in title searches attributable to pre-foreclosure activities. Additionally, asset management services and valuation services benefited from services attributable to pre-foreclosure activities. We continued to see elevated levels of REO sales as a result of seasonality and on-going process improvements meant to reduce the time to sell an REO.</w:t>
      </w: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An initiative for 2011 is the formation of Correspondent One which provides members of Lenders One additional avenues to sell loans beyond Lenders One’s preferred investor arrangements and the members’ own network of loan buyers. We anticipate this will result in improved capital markets execution for the members and facilitate the sale of our services to the members. As of July 2011, we fulfilled our funding obligations to Correspondent One and account for such investment under the equity method. In the third quarter of 2011, we recognized a net loss of $0.4 million attributable to Correspondent One. We expect Correspondent One to incur losses until the second half of 2012.</w:t>
      </w:r>
    </w:p>
    <w:p>
      <w:pPr>
        <w:spacing w:after="0" w:line="166"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We continue to believe the development of origination services is important to balancing our service offerings and have invested significantly in personnel, technology and management to ensure we can perform these services in-line with customer expectations. When appropriate, we will consider small complementary acquisitions similar in nature to the second quarter acquisition of Springhouse to facilitate the growth of origination services. We will continue to leverage our global delivery model and our experience with technological based solutions, econometrics and behavioral science. These investments, the mix of services provided and the need to hire employees and lease facilities in advance of expected business referral growth, could limit our ability in the near term to significantly expand Mortgage Services margins calculated based upon Service Revenue.</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8"/>
          </w:tcPr>
          <w:p>
            <w:pPr>
              <w:jc w:val="right"/>
              <w:ind w:right="660"/>
              <w:spacing w:after="0"/>
              <w:rPr>
                <w:sz w:val="20"/>
                <w:szCs w:val="20"/>
                <w:color w:val="auto"/>
              </w:rPr>
            </w:pPr>
            <w:r>
              <w:rPr>
                <w:rFonts w:ascii="Arial" w:cs="Arial" w:eastAsia="Arial" w:hAnsi="Arial"/>
                <w:sz w:val="18"/>
                <w:szCs w:val="18"/>
                <w:color w:val="auto"/>
                <w:w w:val="92"/>
              </w:rPr>
              <w:t>Three Months Ended September 30,</w:t>
            </w:r>
          </w:p>
        </w:tc>
        <w:tc>
          <w:tcPr>
            <w:tcW w:w="140" w:type="dxa"/>
            <w:vAlign w:val="bottom"/>
          </w:tcPr>
          <w:p>
            <w:pPr>
              <w:spacing w:after="0"/>
              <w:rPr>
                <w:sz w:val="24"/>
                <w:szCs w:val="24"/>
                <w:color w:val="auto"/>
              </w:rPr>
            </w:pPr>
          </w:p>
        </w:tc>
        <w:tc>
          <w:tcPr>
            <w:tcW w:w="3020" w:type="dxa"/>
            <w:vAlign w:val="bottom"/>
            <w:gridSpan w:val="8"/>
          </w:tcPr>
          <w:p>
            <w:pPr>
              <w:jc w:val="right"/>
              <w:ind w:right="360"/>
              <w:spacing w:after="0"/>
              <w:rPr>
                <w:sz w:val="20"/>
                <w:szCs w:val="20"/>
                <w:color w:val="auto"/>
              </w:rPr>
            </w:pPr>
            <w:r>
              <w:rPr>
                <w:rFonts w:ascii="Arial" w:cs="Arial" w:eastAsia="Arial" w:hAnsi="Arial"/>
                <w:sz w:val="18"/>
                <w:szCs w:val="18"/>
                <w:color w:val="auto"/>
                <w:w w:val="93"/>
              </w:rPr>
              <w:t>Nine Months Ended September 30,</w:t>
            </w:r>
          </w:p>
        </w:tc>
      </w:tr>
      <w:tr>
        <w:trPr>
          <w:trHeight w:val="195"/>
        </w:trPr>
        <w:tc>
          <w:tcPr>
            <w:tcW w:w="2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Better</w:t>
            </w: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2010</w:t>
            </w:r>
          </w:p>
        </w:tc>
        <w:tc>
          <w:tcPr>
            <w:tcW w:w="3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/(worse)</w:t>
            </w: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2010</w:t>
            </w:r>
          </w:p>
        </w:tc>
        <w:tc>
          <w:tcPr>
            <w:tcW w:w="3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/(worse)</w:t>
            </w:r>
          </w:p>
        </w:tc>
      </w:tr>
      <w:tr>
        <w:trPr>
          <w:trHeight w:val="210"/>
        </w:trPr>
        <w:tc>
          <w:tcPr>
            <w:tcW w:w="2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Asset Management Services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18,281</w:t>
            </w:r>
          </w:p>
        </w:tc>
        <w:tc>
          <w:tcPr>
            <w:tcW w:w="3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10,450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45,122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25,171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Origination Management Services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4,802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10,688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Residential Property Valuation</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13,188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8,796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33,257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22,952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Closing and Insurance Services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15,013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6,359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17,703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Default Management Services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7,673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4,502</w:t>
            </w: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21,811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13,109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7"/>
        </w:trPr>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Service Revenue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34,909</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147,768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89,623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432"/>
        </w:trPr>
        <w:tc>
          <w:tcPr>
            <w:tcW w:w="302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 Management Services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20,643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11,899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29,027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Default Management Services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821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561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1,609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Closing and Insurance Services</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24"/>
        </w:trPr>
        <w:tc>
          <w:tcPr>
            <w:tcW w:w="3020" w:type="dxa"/>
            <w:vAlign w:val="bottom"/>
            <w:gridSpan w:val="2"/>
          </w:tcPr>
          <w:p>
            <w:pPr>
              <w:ind w:left="400"/>
              <w:spacing w:after="0"/>
              <w:rPr>
                <w:sz w:val="20"/>
                <w:szCs w:val="20"/>
                <w:color w:val="auto"/>
              </w:rPr>
            </w:pPr>
            <w:r>
              <w:rPr>
                <w:rFonts w:ascii="Arial" w:cs="Arial" w:eastAsia="Arial" w:hAnsi="Arial"/>
                <w:sz w:val="18"/>
                <w:szCs w:val="18"/>
                <w:color w:val="auto"/>
              </w:rPr>
              <w:t>Total Reimbursable Expenses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12,562</w:t>
            </w:r>
          </w:p>
        </w:tc>
        <w:tc>
          <w:tcPr>
            <w:tcW w:w="3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71</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30,811</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5"/>
        </w:trPr>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23"/>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49,523</w:t>
            </w:r>
          </w:p>
        </w:tc>
        <w:tc>
          <w:tcPr>
            <w:tcW w:w="3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207,384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124,570</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0"/>
        </w:trPr>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Asset Management Services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38,924</w:t>
            </w:r>
          </w:p>
        </w:tc>
        <w:tc>
          <w:tcPr>
            <w:tcW w:w="3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21,250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97,410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53,099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 Property Valuation</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8,729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22,182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Closing and Insurance Services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4,557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3,428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10,818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Default Management Services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1,358</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4,650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23"/>
        </w:trPr>
        <w:tc>
          <w:tcPr>
            <w:tcW w:w="302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58,200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34,765</w:t>
            </w:r>
          </w:p>
        </w:tc>
        <w:tc>
          <w:tcPr>
            <w:tcW w:w="3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150,483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90,749</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0"/>
        </w:trPr>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our Mortgage Services segment, we generate the majority of our revenue by providing outsourced services that span the lifecycle of a mortgage loan primarily for Ocwen or with respect to the loan portfolio serviced by Ocwen. In addition to our relationship with Ocwen, we have longstanding relationships with some of the leading capital markets firms, commercial banks, hedge funds, insurance companies, and lending institutions.</w:t>
      </w:r>
    </w:p>
    <w:p>
      <w:pPr>
        <w:spacing w:after="0" w:line="160" w:lineRule="exact"/>
        <w:rPr>
          <w:sz w:val="20"/>
          <w:szCs w:val="20"/>
          <w:color w:val="auto"/>
        </w:rPr>
      </w:pPr>
    </w:p>
    <w:p>
      <w:pPr>
        <w:jc w:val="both"/>
        <w:ind w:left="720" w:right="159"/>
        <w:spacing w:after="0" w:line="273" w:lineRule="auto"/>
        <w:rPr>
          <w:sz w:val="20"/>
          <w:szCs w:val="20"/>
          <w:color w:val="auto"/>
        </w:rPr>
      </w:pPr>
      <w:r>
        <w:rPr>
          <w:rFonts w:ascii="Arial" w:cs="Arial" w:eastAsia="Arial" w:hAnsi="Arial"/>
          <w:sz w:val="17"/>
          <w:szCs w:val="17"/>
          <w:i w:val="1"/>
          <w:iCs w:val="1"/>
          <w:color w:val="auto"/>
        </w:rPr>
        <w:t xml:space="preserve">Asset Management Services. </w:t>
      </w:r>
      <w:r>
        <w:rPr>
          <w:rFonts w:ascii="Arial" w:cs="Arial" w:eastAsia="Arial" w:hAnsi="Arial"/>
          <w:sz w:val="17"/>
          <w:szCs w:val="17"/>
          <w:color w:val="auto"/>
        </w:rPr>
        <w:t>Asset Management Services principally include property preservation, property inspection, REO</w:t>
      </w:r>
      <w:r>
        <w:rPr>
          <w:rFonts w:ascii="Arial" w:cs="Arial" w:eastAsia="Arial" w:hAnsi="Arial"/>
          <w:sz w:val="17"/>
          <w:szCs w:val="17"/>
          <w:i w:val="1"/>
          <w:iCs w:val="1"/>
          <w:color w:val="auto"/>
        </w:rPr>
        <w:t xml:space="preserve"> </w:t>
      </w:r>
      <w:r>
        <w:rPr>
          <w:rFonts w:ascii="Arial" w:cs="Arial" w:eastAsia="Arial" w:hAnsi="Arial"/>
          <w:sz w:val="17"/>
          <w:szCs w:val="17"/>
          <w:color w:val="auto"/>
        </w:rPr>
        <w:t>asset management and REO brokerage. Asset Management Services has been the largest contributor to Service Revenue growth year to date which reflects increased sales of REO properties, increased number of properties for which we provide property preservation services and an increase in pre-foreclosure inspection services. We expect to receive additional property preservation and brokerage referrals beginning in the fourth quarter as a result of Ocwen’s recent acquisition of the Litton portfolio for which the revenue will begin to be recognized in the 2012.</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20" w:right="159"/>
        <w:spacing w:after="0" w:line="297" w:lineRule="auto"/>
        <w:rPr>
          <w:sz w:val="20"/>
          <w:szCs w:val="20"/>
          <w:color w:val="auto"/>
        </w:rPr>
      </w:pPr>
      <w:r>
        <w:rPr>
          <w:rFonts w:ascii="Arial" w:cs="Arial" w:eastAsia="Arial" w:hAnsi="Arial"/>
          <w:sz w:val="16"/>
          <w:szCs w:val="16"/>
          <w:i w:val="1"/>
          <w:iCs w:val="1"/>
          <w:color w:val="auto"/>
        </w:rPr>
        <w:t>Origination Management Services</w:t>
      </w:r>
      <w:r>
        <w:rPr>
          <w:rFonts w:ascii="Arial" w:cs="Arial" w:eastAsia="Arial" w:hAnsi="Arial"/>
          <w:sz w:val="16"/>
          <w:szCs w:val="16"/>
          <w:color w:val="auto"/>
        </w:rPr>
        <w:t>. Origination Management Services includes MPA and our developing fulfillment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year over year is principally due to the inclusion of MPA’s results for an entire period in 2011 as compared to a partial period in 2010 from the date of acquisition. Sequentially, Revenue increased due to the performance of MPA and the slow but incremental roll-out of new origination services. For the nine months ended September 30, 2011, MPA experienced a net increase of 26 members (net increase of 12 members in the third quarter) and as of September 30, 2011 had 202 members.</w:t>
      </w:r>
    </w:p>
    <w:p>
      <w:pPr>
        <w:spacing w:after="0" w:line="131" w:lineRule="exact"/>
        <w:rPr>
          <w:sz w:val="20"/>
          <w:szCs w:val="20"/>
          <w:color w:val="auto"/>
        </w:rPr>
      </w:pPr>
    </w:p>
    <w:p>
      <w:pPr>
        <w:jc w:val="both"/>
        <w:ind w:left="720" w:right="159"/>
        <w:spacing w:after="0" w:line="302" w:lineRule="auto"/>
        <w:rPr>
          <w:sz w:val="20"/>
          <w:szCs w:val="20"/>
          <w:color w:val="auto"/>
        </w:rPr>
      </w:pPr>
      <w:r>
        <w:rPr>
          <w:rFonts w:ascii="Arial" w:cs="Arial" w:eastAsia="Arial" w:hAnsi="Arial"/>
          <w:sz w:val="16"/>
          <w:szCs w:val="16"/>
          <w:i w:val="1"/>
          <w:iCs w:val="1"/>
          <w:color w:val="auto"/>
        </w:rPr>
        <w:t>Residential Property Valuation</w:t>
      </w:r>
      <w:r>
        <w:rPr>
          <w:rFonts w:ascii="Arial" w:cs="Arial" w:eastAsia="Arial" w:hAnsi="Arial"/>
          <w:sz w:val="16"/>
          <w:szCs w:val="16"/>
          <w:color w:val="auto"/>
        </w:rPr>
        <w:t>. The increase in both periods presented as compared to the same periods in 2010 was primarily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Ocwen’s residential loan portfolio growth and to a lesser degree results from the Springhouse acquisition in April 2011. Sequentially, Revenue increased significantly as expected due to Ocwen’s recent acquisition of the Litton portfolio and the aforementioned acquisition of Springhouse. We expect elevated levels of valuation referrals to continue into the fourth quarter.</w:t>
      </w:r>
    </w:p>
    <w:p>
      <w:pPr>
        <w:spacing w:after="0" w:line="114" w:lineRule="exact"/>
        <w:rPr>
          <w:sz w:val="20"/>
          <w:szCs w:val="20"/>
          <w:color w:val="auto"/>
        </w:rPr>
      </w:pPr>
    </w:p>
    <w:p>
      <w:pPr>
        <w:jc w:val="both"/>
        <w:ind w:left="720" w:right="159"/>
        <w:spacing w:after="0" w:line="276" w:lineRule="auto"/>
        <w:rPr>
          <w:sz w:val="20"/>
          <w:szCs w:val="20"/>
          <w:color w:val="auto"/>
        </w:rPr>
      </w:pPr>
      <w:r>
        <w:rPr>
          <w:rFonts w:ascii="Arial" w:cs="Arial" w:eastAsia="Arial" w:hAnsi="Arial"/>
          <w:sz w:val="17"/>
          <w:szCs w:val="17"/>
          <w:i w:val="1"/>
          <w:iCs w:val="1"/>
          <w:color w:val="auto"/>
        </w:rPr>
        <w:t xml:space="preserve">Closing and Insurance Services. </w:t>
      </w:r>
      <w:r>
        <w:rPr>
          <w:rFonts w:ascii="Arial" w:cs="Arial" w:eastAsia="Arial" w:hAnsi="Arial"/>
          <w:sz w:val="17"/>
          <w:szCs w:val="17"/>
          <w:color w:val="auto"/>
        </w:rPr>
        <w:t>Closing and Insurance Services principally consists of title search, title agency and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During 2011, we remain focused on increasing our referral capture rate in our operational states and rolling out insured title services nationwide, similar to what we accomplished with our title search and asset management businesses in 2010. The continued focus on completing the rollout drove the year over year increase. Sequentially, Revenue increased principally as we continue to expand our title agency and other insurance services offerings.</w:t>
      </w:r>
    </w:p>
    <w:p>
      <w:pPr>
        <w:spacing w:after="0" w:line="132" w:lineRule="exact"/>
        <w:rPr>
          <w:sz w:val="20"/>
          <w:szCs w:val="20"/>
          <w:color w:val="auto"/>
        </w:rPr>
      </w:pPr>
    </w:p>
    <w:p>
      <w:pPr>
        <w:jc w:val="both"/>
        <w:ind w:left="720" w:right="159"/>
        <w:spacing w:after="0" w:line="297" w:lineRule="auto"/>
        <w:rPr>
          <w:sz w:val="20"/>
          <w:szCs w:val="20"/>
          <w:color w:val="auto"/>
        </w:rPr>
      </w:pPr>
      <w:r>
        <w:rPr>
          <w:rFonts w:ascii="Arial" w:cs="Arial" w:eastAsia="Arial" w:hAnsi="Arial"/>
          <w:sz w:val="16"/>
          <w:szCs w:val="16"/>
          <w:i w:val="1"/>
          <w:iCs w:val="1"/>
          <w:color w:val="auto"/>
        </w:rPr>
        <w:t xml:space="preserve">Default Management Services. </w:t>
      </w:r>
      <w:r>
        <w:rPr>
          <w:rFonts w:ascii="Arial" w:cs="Arial" w:eastAsia="Arial" w:hAnsi="Arial"/>
          <w:sz w:val="16"/>
          <w:szCs w:val="16"/>
          <w:color w:val="auto"/>
        </w:rPr>
        <w:t>We provide non-legal back-office support for foreclosure, bankruptcy and eviction attorneys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foreclosure trustee services. The increase in both periods presented as compared to the same periods in 2010 was a result of our continued rollout of a national platform as well as Ocwen’s servicing portfolio growth. Sequentially, we saw an increase in Revenue primarily due to an increase in foreclosure referrals received in the second quarter. We expect referrals to further increase late in the fourth quarter due to the addition of Litton. These referrals will translate into revenue in the first half of 2012.</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i w:val="1"/>
                <w:iCs w:val="1"/>
                <w:color w:val="auto"/>
              </w:rPr>
              <w:t>Cost of Revenue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7"/>
          </w:tcPr>
          <w:p>
            <w:pPr>
              <w:jc w:val="center"/>
              <w:ind w:right="340"/>
              <w:spacing w:after="0"/>
              <w:rPr>
                <w:sz w:val="20"/>
                <w:szCs w:val="20"/>
                <w:color w:val="auto"/>
              </w:rPr>
            </w:pPr>
            <w:r>
              <w:rPr>
                <w:rFonts w:ascii="Arial" w:cs="Arial" w:eastAsia="Arial" w:hAnsi="Arial"/>
                <w:sz w:val="18"/>
                <w:szCs w:val="18"/>
                <w:color w:val="auto"/>
                <w:w w:val="89"/>
              </w:rPr>
              <w:t>Three Months Ended September 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7"/>
          </w:tcPr>
          <w:p>
            <w:pPr>
              <w:jc w:val="center"/>
              <w:ind w:right="240"/>
              <w:spacing w:after="0"/>
              <w:rPr>
                <w:sz w:val="20"/>
                <w:szCs w:val="20"/>
                <w:color w:val="auto"/>
              </w:rPr>
            </w:pPr>
            <w:r>
              <w:rPr>
                <w:rFonts w:ascii="Arial" w:cs="Arial" w:eastAsia="Arial" w:hAnsi="Arial"/>
                <w:sz w:val="18"/>
                <w:szCs w:val="18"/>
                <w:color w:val="auto"/>
                <w:w w:val="89"/>
              </w:rPr>
              <w:t>Nine Months Ended September 30,</w:t>
            </w:r>
          </w:p>
        </w:tc>
      </w:tr>
      <w:tr>
        <w:trPr>
          <w:trHeight w:val="195"/>
        </w:trPr>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/(worse)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/(worse)</w:t>
            </w:r>
          </w:p>
        </w:tc>
      </w:tr>
      <w:tr>
        <w:trPr>
          <w:trHeight w:val="210"/>
        </w:trPr>
        <w:tc>
          <w:tcPr>
            <w:tcW w:w="2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Expenditures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7,287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19,343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19,426</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11,534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46,951</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29,434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12,562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55,221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30,811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r>
      <w:tr>
        <w:trPr>
          <w:trHeight w:val="20"/>
        </w:trPr>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39"/>
        </w:trPr>
        <w:tc>
          <w:tcPr>
            <w:tcW w:w="258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55,106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31,383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135,670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79,588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0"/>
        </w:trPr>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w w:val="99"/>
              </w:rPr>
              <w:t>Gross Profit/Service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Expenditures, which consists primarily of compensation and technology costs, increased in both periods presented as compared to the same periods in 2010 due to the growth in default oriented mortgage services. Sequentially, Expenditures increased principally as a result of employee costs to support the roll-out of our title agency operations, development of origination services and hiring of employees to support expected growth. We would expect Expenditures to continue to increase in the fourth quarter as we continue to hire to support anticipated growth in referrals.</w:t>
      </w:r>
    </w:p>
    <w:p>
      <w:pPr>
        <w:spacing w:after="0" w:line="148"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Outside Fees and Services increased over the same periods in 2010 due to the increase in default oriented services for the periods presented. Sequentially, Outside Fees and Services increased principally due to the provision of pre-foreclosure related services (e.g., valuation, property inspection services) for which vendor costs are generally not considered reimbursable expenses. We anticipate that Outside Fees and Services will continue to increase in the fourth quarter given the recent boarding of loans associated with the Litton platform and the subsequent boarding on to REALServicing of the remaining Litton loans in November.</w:t>
      </w:r>
    </w:p>
    <w:p>
      <w:pPr>
        <w:spacing w:after="0" w:line="131"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color w:val="auto"/>
        </w:rPr>
        <w:t>Several factors impact our gross margins from period to period including seasonality, the mix of services delivered, timing of investments in new services, hiring of staff and leasing of facilities in advance of new business and the timing of when loans are boarded by our customers. Sequentially, our gross margin decreased principally as a result of increased Outside Fees and Services attributable to pre-foreclosure activities for which we earn a lower margin when compared to other services offered.</w:t>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4080" w:type="dxa"/>
            <w:vAlign w:val="bottom"/>
            <w:gridSpan w:val="6"/>
          </w:tcPr>
          <w:p>
            <w:pPr>
              <w:spacing w:after="0"/>
              <w:rPr>
                <w:sz w:val="20"/>
                <w:szCs w:val="20"/>
                <w:color w:val="auto"/>
              </w:rPr>
            </w:pPr>
            <w:r>
              <w:rPr>
                <w:rFonts w:ascii="Arial" w:cs="Arial" w:eastAsia="Arial" w:hAnsi="Arial"/>
                <w:sz w:val="18"/>
                <w:szCs w:val="18"/>
                <w:i w:val="1"/>
                <w:iCs w:val="1"/>
                <w:color w:val="auto"/>
              </w:rPr>
              <w:t>Selling, General and Administrative Expenses</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6"/>
          </w:tcPr>
          <w:p>
            <w:pPr>
              <w:jc w:val="center"/>
              <w:ind w:right="340"/>
              <w:spacing w:after="0"/>
              <w:rPr>
                <w:sz w:val="20"/>
                <w:szCs w:val="20"/>
                <w:color w:val="auto"/>
              </w:rPr>
            </w:pPr>
            <w:r>
              <w:rPr>
                <w:rFonts w:ascii="Arial" w:cs="Arial" w:eastAsia="Arial" w:hAnsi="Arial"/>
                <w:sz w:val="18"/>
                <w:szCs w:val="18"/>
                <w:color w:val="auto"/>
                <w:w w:val="89"/>
              </w:rPr>
              <w:t>Three Months Ended September 30,</w:t>
            </w:r>
          </w:p>
        </w:tc>
        <w:tc>
          <w:tcPr>
            <w:tcW w:w="160" w:type="dxa"/>
            <w:vAlign w:val="bottom"/>
          </w:tcPr>
          <w:p>
            <w:pPr>
              <w:spacing w:after="0"/>
              <w:rPr>
                <w:sz w:val="24"/>
                <w:szCs w:val="24"/>
                <w:color w:val="auto"/>
              </w:rPr>
            </w:pPr>
          </w:p>
        </w:tc>
        <w:tc>
          <w:tcPr>
            <w:tcW w:w="3300" w:type="dxa"/>
            <w:vAlign w:val="bottom"/>
            <w:gridSpan w:val="6"/>
          </w:tcPr>
          <w:p>
            <w:pPr>
              <w:jc w:val="center"/>
              <w:ind w:right="100"/>
              <w:spacing w:after="0"/>
              <w:rPr>
                <w:sz w:val="20"/>
                <w:szCs w:val="20"/>
                <w:color w:val="auto"/>
              </w:rPr>
            </w:pPr>
            <w:r>
              <w:rPr>
                <w:rFonts w:ascii="Arial" w:cs="Arial" w:eastAsia="Arial" w:hAnsi="Arial"/>
                <w:sz w:val="18"/>
                <w:szCs w:val="18"/>
                <w:color w:val="auto"/>
                <w:w w:val="89"/>
              </w:rPr>
              <w:t>Nine Months Ended September 30,</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 Better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4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/(worse)</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/(worse)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Selling, General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4,227</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3,899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11,663</w:t>
            </w: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9,826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6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6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Income from Operations/Service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380"/>
        <w:spacing w:after="0" w:line="293" w:lineRule="auto"/>
        <w:rPr>
          <w:sz w:val="20"/>
          <w:szCs w:val="20"/>
          <w:color w:val="auto"/>
        </w:rPr>
      </w:pPr>
      <w:r>
        <w:rPr>
          <w:rFonts w:ascii="Arial" w:cs="Arial" w:eastAsia="Arial" w:hAnsi="Arial"/>
          <w:sz w:val="16"/>
          <w:szCs w:val="16"/>
          <w:color w:val="auto"/>
        </w:rPr>
        <w:t>Selling, General and Administrative Expenses increased in both periods presented over the same periods in 2010 principally due to the exponential growth in the segment which required investments in facilities, technology and other general and administrative costs. Sequentially, Selling, General and Administrative Expenses increased primarily due to reduced reserves for bad debt, reversal of stock compensation expense due to the departure of certain executives and lower expenses for professional services in the second quarter. Selling, General and Administrative Expenses for the third quarter in 2011 are consistent with the first quarter. As this segment continues to grow, we should begin to leverage Selling, General and Administrative Expenses resulting in increased margins.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results of operations for our Financial Services segment for the three and nine months ending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7"/>
          </w:tcPr>
          <w:p>
            <w:pPr>
              <w:jc w:val="right"/>
              <w:ind w:right="500"/>
              <w:spacing w:after="0"/>
              <w:rPr>
                <w:sz w:val="20"/>
                <w:szCs w:val="20"/>
                <w:color w:val="auto"/>
              </w:rPr>
            </w:pPr>
            <w:r>
              <w:rPr>
                <w:rFonts w:ascii="Arial" w:cs="Arial" w:eastAsia="Arial" w:hAnsi="Arial"/>
                <w:sz w:val="18"/>
                <w:szCs w:val="18"/>
                <w:color w:val="auto"/>
                <w:w w:val="94"/>
              </w:rPr>
              <w:t>Three Months Ended September 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7"/>
          </w:tcPr>
          <w:p>
            <w:pPr>
              <w:jc w:val="right"/>
              <w:ind w:right="440"/>
              <w:spacing w:after="0"/>
              <w:rPr>
                <w:sz w:val="20"/>
                <w:szCs w:val="20"/>
                <w:color w:val="auto"/>
              </w:rPr>
            </w:pPr>
            <w:r>
              <w:rPr>
                <w:rFonts w:ascii="Arial" w:cs="Arial" w:eastAsia="Arial" w:hAnsi="Arial"/>
                <w:sz w:val="18"/>
                <w:szCs w:val="18"/>
                <w:color w:val="auto"/>
                <w:w w:val="96"/>
              </w:rPr>
              <w:t>Nine Months Ended September 30,</w:t>
            </w: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/(worse)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/(worse)</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16,934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18,132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53,067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56,646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807</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1,712</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2,229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3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17,303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18,939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54,779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58,875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12,676</w:t>
            </w:r>
          </w:p>
        </w:tc>
        <w:tc>
          <w:tcPr>
            <w:tcW w:w="14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13,870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39,738</w:t>
            </w:r>
          </w:p>
        </w:tc>
        <w:tc>
          <w:tcPr>
            <w:tcW w:w="14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42,572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36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5,069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16,303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Gross Profit/Service Revenue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4,268</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4,692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12,230</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12,854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4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3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from Operations/Service</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5"/>
              </w:rPr>
              <w:t>Transactions with Related Parties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Above: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As discussed above, Customer Relationship Management now includes certain services that were originally recorded as part of Mortgage Services.</w:t>
      </w:r>
    </w:p>
    <w:p>
      <w:pPr>
        <w:spacing w:after="0" w:line="143"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Financial Services revenue declined in both periods as compared to the same periods in 2010 due to a decline in revenues attributable to asset recovery management and primarily from one of the segment’s largest customers. The decline was in part (i) a result of the client shifting work to the Company’s global delivery platform which resulted in lower revenue and (ii) the general economic environment which has kept collection rates depressed. This decline was partially offset by growth in new asset recovery management accounts and growth in customer relationship management revenues. Sequentially, Revenue was down due principally to seasonality associated with asset recovery management services, partially offset by a sequential increase in customer relationship management revenues.</w:t>
      </w:r>
    </w:p>
    <w:p>
      <w:pPr>
        <w:spacing w:after="0" w:line="149"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Our new leadership team is focused on disciplined floor management and cost containment as well as improving the analytics to determine which accounts to contact, what offer to make and what to say. In addition, we are focused on delivering more services over our global delivery platform, expanding our quality initiatives and investing in new technology.</w:t>
      </w:r>
    </w:p>
    <w:p>
      <w:pPr>
        <w:spacing w:after="0" w:line="125"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In July 2011, we purchased the assembled workforce of a sub-contractor in India that performs asset recovery services. For periods prior to the acquisition, the costs paid to the sub-contractor were included as a component of Outside Fees and Services. Since acquisition, the costs have been recorded as employee costs, technology or occupancy as appropriate which has resulted in some movement between Cost of Revenue and Selling, General and Administrative Expense categories.</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8"/>
          </w:tcPr>
          <w:p>
            <w:pPr>
              <w:jc w:val="right"/>
              <w:ind w:right="660"/>
              <w:spacing w:after="0"/>
              <w:rPr>
                <w:sz w:val="20"/>
                <w:szCs w:val="20"/>
                <w:color w:val="auto"/>
              </w:rPr>
            </w:pPr>
            <w:r>
              <w:rPr>
                <w:rFonts w:ascii="Arial" w:cs="Arial" w:eastAsia="Arial" w:hAnsi="Arial"/>
                <w:sz w:val="18"/>
                <w:szCs w:val="18"/>
                <w:color w:val="auto"/>
                <w:w w:val="92"/>
              </w:rPr>
              <w:t>Three Months Ended September 30,</w:t>
            </w:r>
          </w:p>
        </w:tc>
        <w:tc>
          <w:tcPr>
            <w:tcW w:w="140" w:type="dxa"/>
            <w:vAlign w:val="bottom"/>
          </w:tcPr>
          <w:p>
            <w:pPr>
              <w:spacing w:after="0"/>
              <w:rPr>
                <w:sz w:val="24"/>
                <w:szCs w:val="24"/>
                <w:color w:val="auto"/>
              </w:rPr>
            </w:pPr>
          </w:p>
        </w:tc>
        <w:tc>
          <w:tcPr>
            <w:tcW w:w="3020" w:type="dxa"/>
            <w:vAlign w:val="bottom"/>
            <w:gridSpan w:val="8"/>
          </w:tcPr>
          <w:p>
            <w:pPr>
              <w:jc w:val="right"/>
              <w:ind w:right="360"/>
              <w:spacing w:after="0"/>
              <w:rPr>
                <w:sz w:val="20"/>
                <w:szCs w:val="20"/>
                <w:color w:val="auto"/>
              </w:rPr>
            </w:pPr>
            <w:r>
              <w:rPr>
                <w:rFonts w:ascii="Arial" w:cs="Arial" w:eastAsia="Arial" w:hAnsi="Arial"/>
                <w:sz w:val="18"/>
                <w:szCs w:val="18"/>
                <w:color w:val="auto"/>
                <w:w w:val="93"/>
              </w:rPr>
              <w:t>Nine Months Ended September 30,</w:t>
            </w:r>
          </w:p>
        </w:tc>
      </w:tr>
      <w:tr>
        <w:trPr>
          <w:trHeight w:val="195"/>
        </w:trPr>
        <w:tc>
          <w:tcPr>
            <w:tcW w:w="2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Better</w:t>
            </w: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2010</w:t>
            </w:r>
          </w:p>
        </w:tc>
        <w:tc>
          <w:tcPr>
            <w:tcW w:w="3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/(worse)</w:t>
            </w: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2010</w:t>
            </w:r>
          </w:p>
        </w:tc>
        <w:tc>
          <w:tcPr>
            <w:tcW w:w="3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/(worse)</w:t>
            </w:r>
          </w:p>
        </w:tc>
      </w:tr>
      <w:tr>
        <w:trPr>
          <w:trHeight w:val="210"/>
        </w:trPr>
        <w:tc>
          <w:tcPr>
            <w:tcW w:w="2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Asset Recovery Management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8,778</w:t>
            </w:r>
          </w:p>
        </w:tc>
        <w:tc>
          <w:tcPr>
            <w:tcW w:w="3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10,735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29,220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34,708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02"/>
        </w:trPr>
        <w:tc>
          <w:tcPr>
            <w:tcW w:w="30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Customer Relationship</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Management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8,156</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7,397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23,847</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21,938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24"/>
        </w:trPr>
        <w:tc>
          <w:tcPr>
            <w:tcW w:w="3020" w:type="dxa"/>
            <w:vAlign w:val="bottom"/>
            <w:gridSpan w:val="2"/>
          </w:tcPr>
          <w:p>
            <w:pPr>
              <w:ind w:left="400"/>
              <w:spacing w:after="0"/>
              <w:rPr>
                <w:sz w:val="20"/>
                <w:szCs w:val="20"/>
                <w:color w:val="auto"/>
              </w:rPr>
            </w:pPr>
            <w:r>
              <w:rPr>
                <w:rFonts w:ascii="Arial" w:cs="Arial" w:eastAsia="Arial" w:hAnsi="Arial"/>
                <w:sz w:val="18"/>
                <w:szCs w:val="18"/>
                <w:color w:val="auto"/>
              </w:rPr>
              <w:t>Total Service Revenue</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18,132</w:t>
            </w:r>
          </w:p>
        </w:tc>
        <w:tc>
          <w:tcPr>
            <w:tcW w:w="3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53,067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56,646</w:t>
            </w: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5"/>
        </w:trPr>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Asset Recovery Management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807</w:t>
            </w: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2,229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7"/>
        </w:trPr>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Reimbursable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0"/>
        </w:trPr>
        <w:tc>
          <w:tcPr>
            <w:tcW w:w="30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39"/>
        </w:trPr>
        <w:tc>
          <w:tcPr>
            <w:tcW w:w="3020" w:type="dxa"/>
            <w:vAlign w:val="bottom"/>
            <w:gridSpan w:val="2"/>
          </w:tcPr>
          <w:p>
            <w:pPr>
              <w:ind w:left="400"/>
              <w:spacing w:after="0"/>
              <w:rPr>
                <w:sz w:val="20"/>
                <w:szCs w:val="20"/>
                <w:color w:val="auto"/>
              </w:rPr>
            </w:pPr>
            <w:r>
              <w:rPr>
                <w:rFonts w:ascii="Arial" w:cs="Arial" w:eastAsia="Arial" w:hAnsi="Arial"/>
                <w:sz w:val="18"/>
                <w:szCs w:val="18"/>
                <w:color w:val="auto"/>
              </w:rPr>
              <w:t>Total 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17,303</w:t>
            </w:r>
          </w:p>
        </w:tc>
        <w:tc>
          <w:tcPr>
            <w:tcW w:w="400" w:type="dxa"/>
            <w:vAlign w:val="bottom"/>
            <w:gridSpan w:val="2"/>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18,939</w:t>
            </w:r>
          </w:p>
        </w:tc>
        <w:tc>
          <w:tcPr>
            <w:tcW w:w="38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54,779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58,875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Asset Recovery Management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0"/>
        </w:trPr>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our Financial Services segment, we generate revenue from asset recovery services and customer relationship management.</w:t>
      </w:r>
    </w:p>
    <w:p>
      <w:pPr>
        <w:spacing w:after="0" w:line="196" w:lineRule="exact"/>
        <w:rPr>
          <w:sz w:val="20"/>
          <w:szCs w:val="20"/>
          <w:color w:val="auto"/>
        </w:rPr>
      </w:pPr>
    </w:p>
    <w:p>
      <w:pPr>
        <w:jc w:val="both"/>
        <w:ind w:left="720" w:right="159"/>
        <w:spacing w:after="0" w:line="257"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Our revenue associated with contingency collections declined in both periods when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periods in 2010 due to a decline in revenue from one of the segment’s largest customers. The decline was in part a result of the client shifting work to the Company’s global delivery platform which resulted in lower revenue although generally at higher margins. In general, we have seen improved performance of our collectors which we believe will translate into increased placements in the future should such performance continue.</w:t>
      </w:r>
    </w:p>
    <w:p>
      <w:pPr>
        <w:spacing w:after="0" w:line="161" w:lineRule="exact"/>
        <w:rPr>
          <w:sz w:val="20"/>
          <w:szCs w:val="20"/>
          <w:color w:val="auto"/>
        </w:rPr>
      </w:pPr>
    </w:p>
    <w:p>
      <w:pPr>
        <w:jc w:val="both"/>
        <w:ind w:left="720" w:right="179"/>
        <w:spacing w:after="0" w:line="286" w:lineRule="auto"/>
        <w:rPr>
          <w:sz w:val="20"/>
          <w:szCs w:val="20"/>
          <w:color w:val="auto"/>
        </w:rPr>
      </w:pPr>
      <w:r>
        <w:rPr>
          <w:rFonts w:ascii="Arial" w:cs="Arial" w:eastAsia="Arial" w:hAnsi="Arial"/>
          <w:sz w:val="17"/>
          <w:szCs w:val="17"/>
          <w:i w:val="1"/>
          <w:iCs w:val="1"/>
          <w:color w:val="auto"/>
        </w:rPr>
        <w:t>Customer Relationship Management</w:t>
      </w:r>
      <w:r>
        <w:rPr>
          <w:rFonts w:ascii="Arial" w:cs="Arial" w:eastAsia="Arial" w:hAnsi="Arial"/>
          <w:sz w:val="17"/>
          <w:szCs w:val="17"/>
          <w:color w:val="auto"/>
        </w:rPr>
        <w:t>. Our revenue associated with customer relationship management increased in both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the same periods in 2010 as a result of increased services to two key customers. We recently strengthened the management team for customer relationship services with the intention of growing these services.</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8"/>
                <w:szCs w:val="18"/>
                <w:i w:val="1"/>
                <w:iCs w:val="1"/>
                <w:color w:val="auto"/>
              </w:rPr>
              <w:t>Cost of Revenue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7"/>
          </w:tcPr>
          <w:p>
            <w:pPr>
              <w:jc w:val="center"/>
              <w:ind w:right="340"/>
              <w:spacing w:after="0"/>
              <w:rPr>
                <w:sz w:val="20"/>
                <w:szCs w:val="20"/>
                <w:color w:val="auto"/>
              </w:rPr>
            </w:pPr>
            <w:r>
              <w:rPr>
                <w:rFonts w:ascii="Arial" w:cs="Arial" w:eastAsia="Arial" w:hAnsi="Arial"/>
                <w:sz w:val="18"/>
                <w:szCs w:val="18"/>
                <w:color w:val="auto"/>
                <w:w w:val="89"/>
              </w:rPr>
              <w:t>Three Months Ended September 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7"/>
          </w:tcPr>
          <w:p>
            <w:pPr>
              <w:jc w:val="center"/>
              <w:ind w:right="240"/>
              <w:spacing w:after="0"/>
              <w:rPr>
                <w:sz w:val="20"/>
                <w:szCs w:val="20"/>
                <w:color w:val="auto"/>
              </w:rPr>
            </w:pPr>
            <w:r>
              <w:rPr>
                <w:rFonts w:ascii="Arial" w:cs="Arial" w:eastAsia="Arial" w:hAnsi="Arial"/>
                <w:sz w:val="18"/>
                <w:szCs w:val="18"/>
                <w:color w:val="auto"/>
                <w:w w:val="89"/>
              </w:rPr>
              <w:t>Nine Months Ended September 30,</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/(worse)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/(worse)</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9,287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28,241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28,685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1,872</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3,776</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9,785</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11,658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2,229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12,676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13,870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39,738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42,572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w w:val="99"/>
              </w:rPr>
              <w:t>Gross Profit/Service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Our gross margin increased sequentially from 26% to 27% principally as a result of the acquisition of Tracmail which resulted in changes to how costs were categorized since the date of acquisition. When compared to the same periods in 2010, Expenditures in both periods declined principally as a result of lower employee costs as we expanded the use of our global delivery footprint.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6"/>
          </w:tcPr>
          <w:p>
            <w:pPr>
              <w:jc w:val="center"/>
              <w:ind w:right="320"/>
              <w:spacing w:after="0"/>
              <w:rPr>
                <w:sz w:val="20"/>
                <w:szCs w:val="20"/>
                <w:color w:val="auto"/>
              </w:rPr>
            </w:pPr>
            <w:r>
              <w:rPr>
                <w:rFonts w:ascii="Arial" w:cs="Arial" w:eastAsia="Arial" w:hAnsi="Arial"/>
                <w:sz w:val="18"/>
                <w:szCs w:val="18"/>
                <w:color w:val="auto"/>
                <w:w w:val="89"/>
              </w:rPr>
              <w:t>Three Months Ended September 30,</w:t>
            </w:r>
          </w:p>
        </w:tc>
        <w:tc>
          <w:tcPr>
            <w:tcW w:w="180" w:type="dxa"/>
            <w:vAlign w:val="bottom"/>
          </w:tcPr>
          <w:p>
            <w:pPr>
              <w:spacing w:after="0"/>
              <w:rPr>
                <w:sz w:val="20"/>
                <w:szCs w:val="20"/>
                <w:color w:val="auto"/>
              </w:rPr>
            </w:pPr>
          </w:p>
        </w:tc>
        <w:tc>
          <w:tcPr>
            <w:tcW w:w="3300" w:type="dxa"/>
            <w:vAlign w:val="bottom"/>
            <w:gridSpan w:val="6"/>
          </w:tcPr>
          <w:p>
            <w:pPr>
              <w:jc w:val="center"/>
              <w:ind w:right="100"/>
              <w:spacing w:after="0"/>
              <w:rPr>
                <w:sz w:val="20"/>
                <w:szCs w:val="20"/>
                <w:color w:val="auto"/>
              </w:rPr>
            </w:pPr>
            <w:r>
              <w:rPr>
                <w:rFonts w:ascii="Arial" w:cs="Arial" w:eastAsia="Arial" w:hAnsi="Arial"/>
                <w:sz w:val="18"/>
                <w:szCs w:val="18"/>
                <w:color w:val="auto"/>
                <w:w w:val="89"/>
              </w:rPr>
              <w:t>Nine Months Ended September 30,</w:t>
            </w:r>
          </w:p>
        </w:tc>
        <w:tc>
          <w:tcPr>
            <w:tcW w:w="0" w:type="dxa"/>
            <w:vAlign w:val="bottom"/>
          </w:tcPr>
          <w:p>
            <w:pPr>
              <w:spacing w:after="0"/>
              <w:rPr>
                <w:sz w:val="1"/>
                <w:szCs w:val="1"/>
                <w:color w:val="auto"/>
              </w:rPr>
            </w:pPr>
          </w:p>
        </w:tc>
      </w:tr>
      <w:tr>
        <w:trPr>
          <w:trHeight w:val="195"/>
        </w:trPr>
        <w:tc>
          <w:tcPr>
            <w:tcW w:w="2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 Better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4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/(worse)</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/(worse)</w:t>
            </w: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Selling, General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4,268</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4,692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12,230</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  12,854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8"/>
                <w:szCs w:val="18"/>
                <w:color w:val="auto"/>
              </w:rPr>
              <w:t>Operating Percentage:</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Income from Operations/Service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Selling, General and Administrative Expenses in both periods decreased slightly compared to the same periods in 2010 principally as a result of reduced legal costs. Sequentially, Selling, General and Administrative Expenses increased due to the previously mentioned acquisition and its impact on cost classifications.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Services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our Technology Services segment for the three and nine months ending</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7"/>
          </w:tcPr>
          <w:p>
            <w:pPr>
              <w:jc w:val="right"/>
              <w:ind w:right="500"/>
              <w:spacing w:after="0"/>
              <w:rPr>
                <w:sz w:val="20"/>
                <w:szCs w:val="20"/>
                <w:color w:val="auto"/>
              </w:rPr>
            </w:pPr>
            <w:r>
              <w:rPr>
                <w:rFonts w:ascii="Arial" w:cs="Arial" w:eastAsia="Arial" w:hAnsi="Arial"/>
                <w:sz w:val="18"/>
                <w:szCs w:val="18"/>
                <w:color w:val="auto"/>
                <w:w w:val="94"/>
              </w:rPr>
              <w:t>Three Months Ended September 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7"/>
          </w:tcPr>
          <w:p>
            <w:pPr>
              <w:jc w:val="right"/>
              <w:ind w:right="440"/>
              <w:spacing w:after="0"/>
              <w:rPr>
                <w:sz w:val="20"/>
                <w:szCs w:val="20"/>
                <w:color w:val="auto"/>
              </w:rPr>
            </w:pPr>
            <w:r>
              <w:rPr>
                <w:rFonts w:ascii="Arial" w:cs="Arial" w:eastAsia="Arial" w:hAnsi="Arial"/>
                <w:sz w:val="18"/>
                <w:szCs w:val="18"/>
                <w:color w:val="auto"/>
                <w:w w:val="96"/>
              </w:rPr>
              <w:t>Nine Months Ended September 30,</w:t>
            </w:r>
          </w:p>
        </w:tc>
      </w:tr>
      <w:tr>
        <w:trPr>
          <w:trHeight w:val="195"/>
        </w:trPr>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/(worse)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4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/(worse)</w:t>
            </w:r>
          </w:p>
        </w:tc>
      </w:tr>
      <w:tr>
        <w:trPr>
          <w:trHeight w:val="210"/>
        </w:trPr>
        <w:tc>
          <w:tcPr>
            <w:tcW w:w="2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12,963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37,422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9,700</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7,239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26,479</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20,555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7"/>
        </w:trPr>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5,127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5,724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16,867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2580" w:type="dxa"/>
            <w:vAlign w:val="bottom"/>
          </w:tcPr>
          <w:p>
            <w:pPr>
              <w:spacing w:after="0"/>
              <w:rPr>
                <w:sz w:val="20"/>
                <w:szCs w:val="20"/>
                <w:color w:val="auto"/>
              </w:rPr>
            </w:pPr>
            <w:r>
              <w:rPr>
                <w:rFonts w:ascii="Arial" w:cs="Arial" w:eastAsia="Arial" w:hAnsi="Arial"/>
                <w:sz w:val="18"/>
                <w:szCs w:val="18"/>
                <w:color w:val="auto"/>
              </w:rPr>
              <w:t>Gross Profit/Revenue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3,489</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4,040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4,371</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4,114</w:t>
            </w:r>
          </w:p>
        </w:tc>
        <w:tc>
          <w:tcPr>
            <w:tcW w:w="4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11,147</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12,827</w:t>
            </w:r>
          </w:p>
        </w:tc>
        <w:tc>
          <w:tcPr>
            <w:tcW w:w="4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0"/>
        </w:trPr>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from Operations/Revenue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18"/>
        </w:trPr>
        <w:tc>
          <w:tcPr>
            <w:tcW w:w="2580" w:type="dxa"/>
            <w:vAlign w:val="bottom"/>
          </w:tcPr>
          <w:p>
            <w:pPr>
              <w:spacing w:after="0"/>
              <w:rPr>
                <w:sz w:val="20"/>
                <w:szCs w:val="20"/>
                <w:color w:val="auto"/>
              </w:rPr>
            </w:pPr>
            <w:r>
              <w:rPr>
                <w:rFonts w:ascii="Arial" w:cs="Arial" w:eastAsia="Arial" w:hAnsi="Arial"/>
                <w:sz w:val="18"/>
                <w:szCs w:val="18"/>
                <w:color w:val="auto"/>
                <w:w w:val="95"/>
              </w:rPr>
              <w:t>Transactions with Related Parties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Above: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13,635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0"/>
        </w:trPr>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312" w:lineRule="auto"/>
        <w:rPr>
          <w:sz w:val="20"/>
          <w:szCs w:val="20"/>
          <w:color w:val="auto"/>
        </w:rPr>
      </w:pPr>
      <w:r>
        <w:rPr>
          <w:rFonts w:ascii="Arial" w:cs="Arial" w:eastAsia="Arial" w:hAnsi="Arial"/>
          <w:sz w:val="16"/>
          <w:szCs w:val="16"/>
          <w:color w:val="auto"/>
        </w:rPr>
        <w:t>The primary focus of the Technology Services segment today is to support the growth of Mortgage Services and Ocwen. In addition, Technology Services is assisting in the cost reduction and quality initiatives on-going within the Financial Services segment. In 2011, we are expending significant resources, principally personnel costs and external consulting costs to accomplish three key objectives:</w:t>
      </w:r>
    </w:p>
    <w:p>
      <w:pPr>
        <w:spacing w:after="0" w:line="106" w:lineRule="exact"/>
        <w:rPr>
          <w:sz w:val="20"/>
          <w:szCs w:val="20"/>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re-architecture and enhancement of our REALSuite of services;</w:t>
      </w:r>
    </w:p>
    <w:p>
      <w:pPr>
        <w:spacing w:after="0" w:line="198" w:lineRule="exact"/>
        <w:rPr>
          <w:rFonts w:ascii="Arial" w:cs="Arial" w:eastAsia="Arial" w:hAnsi="Arial"/>
          <w:sz w:val="18"/>
          <w:szCs w:val="18"/>
          <w:b w:val="1"/>
          <w:bCs w:val="1"/>
          <w:color w:val="auto"/>
        </w:rPr>
      </w:pPr>
    </w:p>
    <w:p>
      <w:pPr>
        <w:ind w:left="1080" w:right="159" w:hanging="370"/>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deployment of business process management and business intelligence reporting systems to more effectively and efficiently manage our operations; and</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development and early stage incubation of technology solutions.</w:t>
      </w:r>
    </w:p>
    <w:p>
      <w:pPr>
        <w:spacing w:after="0" w:line="185"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Effective January 1, 2011, we modified our pricing for IT Infrastructure Services within our Technology Services segment from a model based principally on headcount to a fully loaded costs plus mark-up methodology. This new model applies to the infrastructure amounts charged to Ocwen as well as internal allocations of infrastructure costs.</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0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3020" w:type="dxa"/>
            <w:vAlign w:val="bottom"/>
            <w:gridSpan w:val="3"/>
          </w:tcPr>
          <w:p>
            <w:pPr>
              <w:spacing w:after="0"/>
              <w:rPr>
                <w:sz w:val="20"/>
                <w:szCs w:val="20"/>
                <w:color w:val="auto"/>
              </w:rPr>
            </w:pPr>
            <w:r>
              <w:rPr>
                <w:rFonts w:ascii="Arial" w:cs="Arial" w:eastAsia="Arial" w:hAnsi="Arial"/>
                <w:sz w:val="18"/>
                <w:szCs w:val="18"/>
                <w:i w:val="1"/>
                <w:iCs w:val="1"/>
                <w:color w:val="auto"/>
              </w:rPr>
              <w:t>Revenue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8"/>
          </w:tcPr>
          <w:p>
            <w:pPr>
              <w:ind w:left="120"/>
              <w:spacing w:after="0"/>
              <w:rPr>
                <w:sz w:val="20"/>
                <w:szCs w:val="20"/>
                <w:color w:val="auto"/>
              </w:rPr>
            </w:pPr>
            <w:r>
              <w:rPr>
                <w:rFonts w:ascii="Arial" w:cs="Arial" w:eastAsia="Arial" w:hAnsi="Arial"/>
                <w:sz w:val="18"/>
                <w:szCs w:val="18"/>
                <w:color w:val="auto"/>
              </w:rPr>
              <w:t>Three Months Ended September 30,</w:t>
            </w:r>
          </w:p>
        </w:tc>
        <w:tc>
          <w:tcPr>
            <w:tcW w:w="140" w:type="dxa"/>
            <w:vAlign w:val="bottom"/>
          </w:tcPr>
          <w:p>
            <w:pPr>
              <w:spacing w:after="0"/>
              <w:rPr>
                <w:sz w:val="24"/>
                <w:szCs w:val="24"/>
                <w:color w:val="auto"/>
              </w:rPr>
            </w:pPr>
          </w:p>
        </w:tc>
        <w:tc>
          <w:tcPr>
            <w:tcW w:w="3020" w:type="dxa"/>
            <w:vAlign w:val="bottom"/>
            <w:gridSpan w:val="8"/>
          </w:tcPr>
          <w:p>
            <w:pPr>
              <w:jc w:val="right"/>
              <w:ind w:right="360"/>
              <w:spacing w:after="0"/>
              <w:rPr>
                <w:sz w:val="20"/>
                <w:szCs w:val="20"/>
                <w:color w:val="auto"/>
              </w:rPr>
            </w:pPr>
            <w:r>
              <w:rPr>
                <w:rFonts w:ascii="Arial" w:cs="Arial" w:eastAsia="Arial" w:hAnsi="Arial"/>
                <w:sz w:val="18"/>
                <w:szCs w:val="18"/>
                <w:color w:val="auto"/>
                <w:w w:val="93"/>
              </w:rPr>
              <w:t>Nine Months Ended September 30,</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 Better</w:t>
            </w: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30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2010</w:t>
            </w:r>
          </w:p>
        </w:tc>
        <w:tc>
          <w:tcPr>
            <w:tcW w:w="3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/(worse)</w:t>
            </w: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2010</w:t>
            </w:r>
          </w:p>
        </w:tc>
        <w:tc>
          <w:tcPr>
            <w:tcW w:w="3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/(worse)</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gridSpan w:val="3"/>
          </w:tcPr>
          <w:p>
            <w:pPr>
              <w:ind w:left="200"/>
              <w:spacing w:after="0"/>
              <w:rPr>
                <w:sz w:val="20"/>
                <w:szCs w:val="20"/>
                <w:color w:val="auto"/>
              </w:rPr>
            </w:pPr>
            <w:r>
              <w:rPr>
                <w:rFonts w:ascii="Arial" w:cs="Arial" w:eastAsia="Arial" w:hAnsi="Arial"/>
                <w:sz w:val="18"/>
                <w:szCs w:val="18"/>
                <w:color w:val="auto"/>
              </w:rPr>
              <w:t>REALSuite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8,964</w:t>
            </w:r>
          </w:p>
        </w:tc>
        <w:tc>
          <w:tcPr>
            <w:tcW w:w="3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7,864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25,395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22,415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3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5,099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15,007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340" w:type="dxa"/>
            <w:vAlign w:val="bottom"/>
          </w:tcPr>
          <w:p>
            <w:pPr>
              <w:spacing w:after="0"/>
              <w:rPr>
                <w:sz w:val="19"/>
                <w:szCs w:val="19"/>
                <w:color w:val="auto"/>
              </w:rPr>
            </w:pPr>
          </w:p>
        </w:tc>
        <w:tc>
          <w:tcPr>
            <w:tcW w:w="3020" w:type="dxa"/>
            <w:vAlign w:val="bottom"/>
            <w:gridSpan w:val="3"/>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12,963</w:t>
            </w:r>
          </w:p>
        </w:tc>
        <w:tc>
          <w:tcPr>
            <w:tcW w:w="3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37,422</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gridSpan w:val="3"/>
          </w:tcPr>
          <w:p>
            <w:pPr>
              <w:ind w:left="200"/>
              <w:spacing w:after="0"/>
              <w:rPr>
                <w:sz w:val="20"/>
                <w:szCs w:val="20"/>
                <w:color w:val="auto"/>
              </w:rPr>
            </w:pPr>
            <w:r>
              <w:rPr>
                <w:rFonts w:ascii="Arial" w:cs="Arial" w:eastAsia="Arial" w:hAnsi="Arial"/>
                <w:sz w:val="18"/>
                <w:szCs w:val="18"/>
                <w:color w:val="auto"/>
              </w:rPr>
              <w:t>REALSuite</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3,493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2,744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9,506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7,952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3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3"/>
        </w:trPr>
        <w:tc>
          <w:tcPr>
            <w:tcW w:w="340" w:type="dxa"/>
            <w:vAlign w:val="bottom"/>
          </w:tcPr>
          <w:p>
            <w:pPr>
              <w:spacing w:after="0"/>
              <w:rPr>
                <w:sz w:val="19"/>
                <w:szCs w:val="19"/>
                <w:color w:val="auto"/>
              </w:rPr>
            </w:pPr>
          </w:p>
        </w:tc>
        <w:tc>
          <w:tcPr>
            <w:tcW w:w="3020" w:type="dxa"/>
            <w:vAlign w:val="bottom"/>
            <w:gridSpan w:val="3"/>
          </w:tcPr>
          <w:p>
            <w:pPr>
              <w:ind w:left="40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3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13,635</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i w:val="1"/>
          <w:iCs w:val="1"/>
          <w:color w:val="auto"/>
        </w:rPr>
        <w:t>REALSuite</w:t>
      </w:r>
      <w:r>
        <w:rPr>
          <w:rFonts w:ascii="Arial" w:cs="Arial" w:eastAsia="Arial" w:hAnsi="Arial"/>
          <w:sz w:val="17"/>
          <w:szCs w:val="17"/>
          <w:color w:val="auto"/>
        </w:rPr>
        <w:t>. Our REALSuite revenue is primarily driven by our REALServicing</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which is our comprehensive residential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platform. The primary driver for the growth in revenue is the increase in Ocwen’s residential loan portfolio.</w:t>
      </w:r>
    </w:p>
    <w:p>
      <w:pPr>
        <w:spacing w:after="0" w:line="10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i w:val="1"/>
          <w:iCs w:val="1"/>
          <w:color w:val="auto"/>
        </w:rPr>
        <w:t xml:space="preserve">IT Infrastructure Services. </w:t>
      </w:r>
      <w:r>
        <w:rPr>
          <w:rFonts w:ascii="Arial" w:cs="Arial" w:eastAsia="Arial" w:hAnsi="Arial"/>
          <w:sz w:val="17"/>
          <w:szCs w:val="17"/>
          <w:color w:val="auto"/>
        </w:rPr>
        <w:t>Our IT infrastructure services revenues in both periods were generally declining when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periods in 2010 due to our change in pricing for infrastructure services; however this trend reversed in the third quarter 2011 as a result of the growth in Ocwen’s personnel as its servicing business has grown. Mark-ups for infrastructure services are based upon economic studies performed that are generally consistent with our transfer pricing methodology.</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Cost of Revenue</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7"/>
          </w:tcPr>
          <w:p>
            <w:pPr>
              <w:jc w:val="center"/>
              <w:ind w:right="220"/>
              <w:spacing w:after="0"/>
              <w:rPr>
                <w:sz w:val="20"/>
                <w:szCs w:val="20"/>
                <w:color w:val="auto"/>
              </w:rPr>
            </w:pPr>
            <w:r>
              <w:rPr>
                <w:rFonts w:ascii="Arial" w:cs="Arial" w:eastAsia="Arial" w:hAnsi="Arial"/>
                <w:sz w:val="18"/>
                <w:szCs w:val="18"/>
                <w:color w:val="auto"/>
                <w:w w:val="89"/>
              </w:rPr>
              <w:t>Three Months Ended September 30,</w:t>
            </w:r>
          </w:p>
        </w:tc>
        <w:tc>
          <w:tcPr>
            <w:tcW w:w="160" w:type="dxa"/>
            <w:vAlign w:val="bottom"/>
          </w:tcPr>
          <w:p>
            <w:pPr>
              <w:spacing w:after="0"/>
              <w:rPr>
                <w:sz w:val="24"/>
                <w:szCs w:val="24"/>
                <w:color w:val="auto"/>
              </w:rPr>
            </w:pPr>
          </w:p>
        </w:tc>
        <w:tc>
          <w:tcPr>
            <w:tcW w:w="3300" w:type="dxa"/>
            <w:vAlign w:val="bottom"/>
            <w:gridSpan w:val="6"/>
          </w:tcPr>
          <w:p>
            <w:pPr>
              <w:jc w:val="center"/>
              <w:ind w:right="100"/>
              <w:spacing w:after="0"/>
              <w:rPr>
                <w:sz w:val="20"/>
                <w:szCs w:val="20"/>
                <w:color w:val="auto"/>
              </w:rPr>
            </w:pPr>
            <w:r>
              <w:rPr>
                <w:rFonts w:ascii="Arial" w:cs="Arial" w:eastAsia="Arial" w:hAnsi="Arial"/>
                <w:sz w:val="18"/>
                <w:szCs w:val="18"/>
                <w:color w:val="auto"/>
                <w:w w:val="89"/>
              </w:rPr>
              <w:t>Nine Months Ended September 30,</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 Better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/(worse)</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/(worse)</w:t>
            </w: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9,700</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7,239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26,479</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  20,555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Gross Margin Percentage: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4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Profit/Total Revenue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257" w:lineRule="auto"/>
        <w:rPr>
          <w:sz w:val="20"/>
          <w:szCs w:val="20"/>
          <w:color w:val="auto"/>
        </w:rPr>
      </w:pPr>
      <w:r>
        <w:rPr>
          <w:rFonts w:ascii="Arial" w:cs="Arial" w:eastAsia="Arial" w:hAnsi="Arial"/>
          <w:sz w:val="18"/>
          <w:szCs w:val="18"/>
          <w:color w:val="auto"/>
        </w:rPr>
        <w:t>Our gross margin declined to 36% for the nine months ended September 30, 2011 as we now report our Consumer Analytics group within Technology Services during 2011 (previously reported in our Corporate Segment). Our Consumer Analytics group seeks to expand our use of behavioral sciences by building proprietary algorithms and psychologically-optimized communications through a customized technology platform. In addition, we have seen an increase in licensing fees given the increase in personnel both at Ocwen and Altisource.</w:t>
      </w: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4080" w:type="dxa"/>
            <w:vAlign w:val="bottom"/>
            <w:gridSpan w:val="6"/>
          </w:tcPr>
          <w:p>
            <w:pPr>
              <w:spacing w:after="0"/>
              <w:rPr>
                <w:sz w:val="20"/>
                <w:szCs w:val="20"/>
                <w:color w:val="auto"/>
              </w:rPr>
            </w:pPr>
            <w:r>
              <w:rPr>
                <w:rFonts w:ascii="Arial" w:cs="Arial" w:eastAsia="Arial" w:hAnsi="Arial"/>
                <w:sz w:val="18"/>
                <w:szCs w:val="18"/>
                <w:i w:val="1"/>
                <w:iCs w:val="1"/>
                <w:color w:val="auto"/>
              </w:rPr>
              <w:t>Selling, General and Administrative Expenses</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jc w:val="center"/>
              <w:ind w:right="50"/>
              <w:spacing w:after="0"/>
              <w:rPr>
                <w:sz w:val="20"/>
                <w:szCs w:val="20"/>
                <w:color w:val="auto"/>
              </w:rPr>
            </w:pPr>
            <w:r>
              <w:rPr>
                <w:rFonts w:ascii="Arial" w:cs="Arial" w:eastAsia="Arial" w:hAnsi="Arial"/>
                <w:sz w:val="18"/>
                <w:szCs w:val="18"/>
                <w:color w:val="auto"/>
                <w:w w:val="89"/>
              </w:rPr>
              <w:t>Three Months Ended September 30,</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6"/>
          </w:tcPr>
          <w:p>
            <w:pPr>
              <w:jc w:val="center"/>
              <w:ind w:right="240"/>
              <w:spacing w:after="0"/>
              <w:rPr>
                <w:sz w:val="20"/>
                <w:szCs w:val="20"/>
                <w:color w:val="auto"/>
              </w:rPr>
            </w:pPr>
            <w:r>
              <w:rPr>
                <w:rFonts w:ascii="Arial" w:cs="Arial" w:eastAsia="Arial" w:hAnsi="Arial"/>
                <w:sz w:val="18"/>
                <w:szCs w:val="18"/>
                <w:color w:val="auto"/>
                <w:w w:val="89"/>
              </w:rPr>
              <w:t>Nine Months Ended September 30,</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 Better</w:t>
            </w:r>
          </w:p>
        </w:tc>
        <w:tc>
          <w:tcPr>
            <w:tcW w:w="3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4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20"/>
                <w:szCs w:val="20"/>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/(worse)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44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/(worse)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Selling, General and</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756</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1,610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3,489</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4,040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8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5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5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Operating Income/Total</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Selling, General and Administrative Expenses decreased sequentially principally as a result of reduction in bad debt reserves due to improved collections. This as well as the increase in Revenues led to a significant increase in sequential margins.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Our Corporate Segment includes costs related to corporate support functions such as finance, legal, human resources, compliance and quality assurance.</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7"/>
          </w:tcPr>
          <w:p>
            <w:pPr>
              <w:jc w:val="center"/>
              <w:ind w:right="540"/>
              <w:spacing w:after="0"/>
              <w:rPr>
                <w:sz w:val="20"/>
                <w:szCs w:val="20"/>
                <w:color w:val="auto"/>
              </w:rPr>
            </w:pPr>
            <w:r>
              <w:rPr>
                <w:rFonts w:ascii="Arial" w:cs="Arial" w:eastAsia="Arial" w:hAnsi="Arial"/>
                <w:sz w:val="18"/>
                <w:szCs w:val="18"/>
                <w:color w:val="auto"/>
                <w:w w:val="89"/>
              </w:rPr>
              <w:t>Three Months Ended September 30,</w:t>
            </w:r>
          </w:p>
        </w:tc>
        <w:tc>
          <w:tcPr>
            <w:tcW w:w="3160" w:type="dxa"/>
            <w:vAlign w:val="bottom"/>
            <w:gridSpan w:val="7"/>
          </w:tcPr>
          <w:p>
            <w:pPr>
              <w:jc w:val="right"/>
              <w:ind w:right="360"/>
              <w:spacing w:after="0"/>
              <w:rPr>
                <w:sz w:val="20"/>
                <w:szCs w:val="20"/>
                <w:color w:val="auto"/>
              </w:rPr>
            </w:pPr>
            <w:r>
              <w:rPr>
                <w:rFonts w:ascii="Arial" w:cs="Arial" w:eastAsia="Arial" w:hAnsi="Arial"/>
                <w:sz w:val="18"/>
                <w:szCs w:val="18"/>
                <w:color w:val="auto"/>
                <w:w w:val="98"/>
              </w:rPr>
              <w:t>Nine Months Ended September 30,</w:t>
            </w:r>
          </w:p>
        </w:tc>
      </w:tr>
      <w:tr>
        <w:trPr>
          <w:trHeight w:val="195"/>
        </w:trPr>
        <w:tc>
          <w:tcPr>
            <w:tcW w:w="2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 Better</w:t>
            </w:r>
          </w:p>
        </w:tc>
        <w:tc>
          <w:tcPr>
            <w:tcW w:w="3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 Better</w:t>
            </w:r>
          </w:p>
        </w:tc>
        <w:tc>
          <w:tcPr>
            <w:tcW w:w="100" w:type="dxa"/>
            <w:vAlign w:val="bottom"/>
          </w:tcPr>
          <w:p>
            <w:pPr>
              <w:spacing w:after="0"/>
              <w:rPr>
                <w:sz w:val="16"/>
                <w:szCs w:val="16"/>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2010</w:t>
            </w:r>
          </w:p>
        </w:tc>
        <w:tc>
          <w:tcPr>
            <w:tcW w:w="3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/(worse)</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/(worse)</w:t>
            </w:r>
          </w:p>
        </w:tc>
      </w:tr>
      <w:tr>
        <w:trPr>
          <w:trHeight w:val="210"/>
        </w:trPr>
        <w:tc>
          <w:tcPr>
            <w:tcW w:w="2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Selling, General and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6,078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4,529</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  18,105</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12,555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0"/>
        </w:trPr>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costs rose throughout 2010 as we invested in staff to support our growing operations.</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During 2011, we hired additional resources principally focused on legal, compliance and quality assurance. In addition, lease costs increased related to the build out of new facilities to support the growth we expect from Ocwen’s acquisition of the Litton portfolio. Typically, we include new leases costs within Corporate until the facility is put into use at which time the prospective lease cost is included within the appropriate segment. Lastly, we continue to invest in an enterprise resource planning system that we expect will increase the quality of our support functions and over time reduce costs. When compared to the second quarter, corporate costs remained flat.</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We seek to deploy excess cash generated in a disciplined manner. Principally, we will continue to invest in compelling services that we believe will generate high margins. In addition, we may seek to acquire a limited number of complementary companies that fit our strategic objectives. Finally, given the tax inefficiency of dividends, the low returns earned on cash held and our current belief to pursue a limited number of acquisitions, we believe one of the best ways to return value to shareholders is a stock repurchase program.</w:t>
      </w:r>
    </w:p>
    <w:p>
      <w:pPr>
        <w:spacing w:after="0" w:line="114"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 May 2010, our shareholders authorized us to purchase up to 3.8 million shares of our common stock in the open market. Through September 30, 2011, we purchased 1.7 million shares of our common stock on the open market at an average price of $31.02, leaving 2.1 million shares still available for purchase under the program.</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8"/>
          </w:tcPr>
          <w:p>
            <w:pPr>
              <w:jc w:val="right"/>
              <w:ind w:right="680"/>
              <w:spacing w:after="0"/>
              <w:rPr>
                <w:sz w:val="20"/>
                <w:szCs w:val="20"/>
                <w:color w:val="auto"/>
              </w:rPr>
            </w:pPr>
            <w:r>
              <w:rPr>
                <w:rFonts w:ascii="Arial" w:cs="Arial" w:eastAsia="Arial" w:hAnsi="Arial"/>
                <w:sz w:val="18"/>
                <w:szCs w:val="18"/>
                <w:color w:val="auto"/>
              </w:rPr>
              <w:t>Nine Months Ended September 30,</w:t>
            </w:r>
          </w:p>
        </w:tc>
      </w:tr>
      <w:tr>
        <w:trPr>
          <w:trHeight w:val="195"/>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62,757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46,819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5,994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(13,558)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33,261</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2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(28,983)</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(35,744)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(40,652)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(7,419)</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22,134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30,456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23,037</w:t>
            </w:r>
          </w:p>
        </w:tc>
        <w:tc>
          <w:tcPr>
            <w:tcW w:w="3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Cash flow from operating activities consists of two components: (i) net income adjusted for depreciation, amortization and certain other non-cash items and (ii) working capital. In 2011, we generated $68.8 million in positive cash flow from operations or approximately $0.30 per every dollar of Service Revenue. This primarily reflects our profitability adjusted for non-cash items in the period primarily as a result of our year-over-year growth in mortgage related services.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9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During the nine months ended September 30, 2011, we invested $15.0 million in Correspondent One to facilitate the establishment of this business. In 2011, we acquired Springhouse for net consideration of $1.8 million and Tracmail for net consideration of $0.7 million. We estimate our capital expenditures for the full year 2011 to be at the lower end of our previously provided range of $16 million to $18 million. Our cash flow from investing activities in 2010 includes the acquisition of MPA for which the purchase consideration included $29.0 million in cash.</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Cash flow from financing activities in 2011 primarily includes activity associated with stock option exercises, share repurchases and payments to non-controlling interests as a result of the acquisition of MPA. We utilized significantly more cash in 2011 from financing activities as a result of our stock repurchase program. In the third quarter, we returned $22.9 million to shareholders through our stock repurchase program.</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Requirements after September 30, 2011</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fourth quarter, we expect to distribute $1.8 million to the Lenders One members representing non-controlling interests.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Between October 1 and 21, 2011, we purchased 0.1 million shares at a total cost of $4.1 million.</w:t>
      </w:r>
    </w:p>
    <w:p>
      <w:pPr>
        <w:spacing w:after="0" w:line="170"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Management is not aware of any other trends or events, commitments or uncertainties which have not otherwise been disclosed that will or are likely to impact liquidity in a material way.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98"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Given our ability to generate cash flow which is sufficient to fund current operations as well as expansion activities, we require very limited capital. Were we to need additional capital, we believe we have adequate access to both debt and equity capital markets.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 Commitments and Contingencies</w:t>
      </w:r>
    </w:p>
    <w:p>
      <w:pPr>
        <w:spacing w:after="0" w:line="185"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For the nine months ended September 30, 2011, there were no significant changes to our contractual obligations from those identified in our Form 10-K for the fiscal year ended December 31, 2010, other than those which occur in the normal course of business (primarily the addition of operating leases due to our growth). See also Note 16 to the condensed consolidated financial statements.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89"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We prepare our condensed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137"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Our critical accounting policies are described in the MD&amp;A section in our Form 10-K for the year ended December 31, 2010. Such policies have not changed during the quarter ended September 30, 2011.</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Related Party — Ocwen</w:t>
      </w:r>
    </w:p>
    <w:p>
      <w:pPr>
        <w:spacing w:after="0" w:line="18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For the nine months ended September 30, 2011, approximately $150.5 million of the Mortgage Services ($58.2 million for the third quarter), $0.2 million ($0.1 million for the third quarter) of the Financial Services and $15.6 million ($5.5 million for the third quarter) of the Technology Services segment revenue were from services provided to Ocwen or sales derived from Ocwen’s loan servicing portfolio. Services provided to Ocwen included residential property valuation, real estate asset management and sales, trustee management services, property inspection and preservation, closing and title services, charge-off second mortgage collections, core technology back office support and multiple business technologies including our REALSuite of products. We provided all services at rates we believe to be comparable to market rates.</w:t>
      </w:r>
    </w:p>
    <w:p>
      <w:pPr>
        <w:spacing w:after="0" w:line="162"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In connection with the Separation, Altisource and Ocwen entered into a Transition Services agreement under which services in such areas as human resources, vendor management, corporate services, six sigma, quality assurance, quantitative analytics, treasury, accounting, risk management, legal, strategic planning, compliance and other areas are provided to the counterparty for up to two years from the date of Separation. For the nine months ended September 30, 2011 and 2010, Altisource billed Ocwen $1.7 million and $1.2 million respectively ($0.8 million and $0.5 million for the third quarter of 2011 and 2010, respectively), and Ocwen billed Altisource $1.4 million and $0.8 million respectively ($0.5 million and $0.2 million for the third quarter of 2011 and 2010, respectively) for services provided under this agreement. These amounts are reflected as a component of Selling, General and Administrative Expenses in the Condensed Consolidated Statements of Operations.</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financial market risk consists primarily of foreign currency exchange risk. We are exposed to foreign currency exchange rate risk in connection with our investment in non-U.S. dollar functional currency operations, which are very limited, to the extent that our foreign exchange positions remain un-hedged.</w:t>
      </w:r>
    </w:p>
    <w:p>
      <w:pPr>
        <w:spacing w:after="0" w:line="13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Evaluation of Disclosure Controls and Procedures</w:t>
      </w:r>
    </w:p>
    <w:p>
      <w:pPr>
        <w:spacing w:after="0" w:line="198" w:lineRule="exact"/>
        <w:rPr>
          <w:rFonts w:ascii="Arial" w:cs="Arial" w:eastAsia="Arial" w:hAnsi="Arial"/>
          <w:sz w:val="18"/>
          <w:szCs w:val="18"/>
          <w:i w:val="1"/>
          <w:iCs w:val="1"/>
          <w:color w:val="auto"/>
        </w:rPr>
      </w:pPr>
    </w:p>
    <w:p>
      <w:pPr>
        <w:jc w:val="both"/>
        <w:ind w:left="720" w:right="159"/>
        <w:spacing w:after="0" w:line="271" w:lineRule="auto"/>
        <w:rPr>
          <w:rFonts w:ascii="Arial" w:cs="Arial" w:eastAsia="Arial" w:hAnsi="Arial"/>
          <w:sz w:val="18"/>
          <w:szCs w:val="18"/>
          <w:i w:val="1"/>
          <w:iCs w:val="1"/>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 Rule 13a-15(e) or Rule 15a-15(e)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38" w:lineRule="exact"/>
        <w:rPr>
          <w:rFonts w:ascii="Arial" w:cs="Arial" w:eastAsia="Arial" w:hAnsi="Arial"/>
          <w:sz w:val="18"/>
          <w:szCs w:val="18"/>
          <w:i w:val="1"/>
          <w:iCs w:val="1"/>
          <w:color w:val="auto"/>
        </w:rPr>
      </w:pPr>
    </w:p>
    <w:p>
      <w:pPr>
        <w:ind w:left="720" w:hanging="388"/>
        <w:spacing w:after="0"/>
        <w:tabs>
          <w:tab w:leader="none" w:pos="7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Internal Control over Financial Reporting</w:t>
      </w:r>
    </w:p>
    <w:p>
      <w:pPr>
        <w:spacing w:after="0" w:line="184" w:lineRule="exact"/>
        <w:rPr>
          <w:rFonts w:ascii="Arial" w:cs="Arial" w:eastAsia="Arial" w:hAnsi="Arial"/>
          <w:sz w:val="18"/>
          <w:szCs w:val="18"/>
          <w:i w:val="1"/>
          <w:iCs w:val="1"/>
          <w:color w:val="auto"/>
        </w:rPr>
      </w:pPr>
    </w:p>
    <w:p>
      <w:pPr>
        <w:jc w:val="both"/>
        <w:ind w:left="720" w:right="159"/>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ending September 30, 2011, that have materially affected, or are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are subject to routine litigation and administrative proceedings arising in the ordinary course of business.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2010.</w:t>
      </w:r>
    </w:p>
    <w:p>
      <w:pPr>
        <w:spacing w:after="0" w:line="12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Equity Securities purchased by us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2011:</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Total number</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Maximum</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of shares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purchased as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of shares</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part of</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that may</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publicly</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yet be</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announced</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average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plans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under the</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1"/>
              </w:rPr>
              <w:t>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price paid</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or</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Period</w:t>
            </w:r>
          </w:p>
        </w:tc>
        <w:tc>
          <w:tcPr>
            <w:tcW w:w="3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purchased</w:t>
            </w:r>
            <w:r>
              <w:rPr>
                <w:rFonts w:ascii="Arial" w:cs="Arial" w:eastAsia="Arial" w:hAnsi="Arial"/>
                <w:sz w:val="15"/>
                <w:szCs w:val="15"/>
                <w:color w:val="auto"/>
                <w:w w:val="89"/>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per share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programs</w:t>
            </w:r>
            <w:r>
              <w:rPr>
                <w:rFonts w:ascii="Arial" w:cs="Arial" w:eastAsia="Arial" w:hAnsi="Arial"/>
                <w:sz w:val="15"/>
                <w:szCs w:val="15"/>
                <w:color w:val="auto"/>
                <w:w w:val="91"/>
              </w:rPr>
              <w:t>(2)</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July 1 – 31, 2011</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89,459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37.01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89,459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2,655,074</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1 – 31, 2011</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256,091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32.26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245,003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2,410,071</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September 1 – 30, 2011</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310,000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35.59</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310,000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2,100,071</w:t>
            </w:r>
          </w:p>
        </w:tc>
      </w:tr>
      <w:tr>
        <w:trPr>
          <w:trHeight w:val="223"/>
        </w:trPr>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common shares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655,550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34.48</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644,462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2,100,071</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7"/>
          <w:szCs w:val="17"/>
          <w:color w:val="auto"/>
        </w:rPr>
        <w:t>Includes shares withheld from employees to satisfy tax withholding obligations that arose from the exercise of stock options.</w:t>
      </w:r>
    </w:p>
    <w:p>
      <w:pPr>
        <w:spacing w:after="0" w:line="88" w:lineRule="exact"/>
        <w:rPr>
          <w:rFonts w:ascii="Arial" w:cs="Arial" w:eastAsia="Arial" w:hAnsi="Arial"/>
          <w:sz w:val="14"/>
          <w:szCs w:val="14"/>
          <w:color w:val="auto"/>
        </w:rPr>
      </w:pPr>
    </w:p>
    <w:p>
      <w:pPr>
        <w:ind w:left="720" w:right="159" w:hanging="388"/>
        <w:spacing w:after="0" w:line="277" w:lineRule="auto"/>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 the second quarter of 2010, our shareholders authorized us to purchase up to 3.8 million shares of our common stock in the open market.</w:t>
      </w:r>
    </w:p>
    <w:p>
      <w:pPr>
        <w:spacing w:after="0" w:line="12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Defaults upon Senior Securities. </w:t>
      </w:r>
      <w:r>
        <w:rPr>
          <w:rFonts w:ascii="Arial" w:cs="Arial" w:eastAsia="Arial" w:hAnsi="Arial"/>
          <w:sz w:val="16"/>
          <w:szCs w:val="16"/>
          <w:color w:val="auto"/>
        </w:rPr>
        <w:t>None</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 xml:space="preserve">Other Information. </w:t>
      </w:r>
      <w:r>
        <w:rPr>
          <w:rFonts w:ascii="Arial" w:cs="Arial" w:eastAsia="Arial" w:hAnsi="Arial"/>
          <w:sz w:val="16"/>
          <w:szCs w:val="16"/>
          <w:color w:val="auto"/>
        </w:rPr>
        <w:t>None</w:t>
      </w:r>
    </w:p>
    <w:p>
      <w:pPr>
        <w:spacing w:after="0" w:line="200" w:lineRule="exact"/>
        <w:rPr>
          <w:sz w:val="20"/>
          <w:szCs w:val="20"/>
          <w:color w:val="auto"/>
        </w:r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6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534"/>
        </w:trPr>
        <w:tc>
          <w:tcPr>
            <w:tcW w:w="1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9"/>
              </w:rPr>
              <w:t>Item 6.   Exhibits.</w:t>
            </w:r>
          </w:p>
        </w:tc>
        <w:tc>
          <w:tcPr>
            <w:tcW w:w="8220" w:type="dxa"/>
            <w:vAlign w:val="bottom"/>
          </w:tcPr>
          <w:p>
            <w:pPr>
              <w:spacing w:after="0"/>
              <w:rPr>
                <w:sz w:val="24"/>
                <w:szCs w:val="24"/>
                <w:color w:val="auto"/>
              </w:rPr>
            </w:pPr>
          </w:p>
        </w:tc>
      </w:tr>
      <w:tr>
        <w:trPr>
          <w:trHeight w:val="418"/>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w w:val="95"/>
              </w:rPr>
              <w:t>Certification by the Chief Executive Officer pursuant to Section 302 of the Sarbanes-Oxley Act of 2002 (filed</w:t>
            </w:r>
          </w:p>
        </w:tc>
      </w:tr>
      <w:tr>
        <w:trPr>
          <w:trHeight w:val="230"/>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rPr>
              <w:t>herewith)</w:t>
            </w:r>
          </w:p>
        </w:tc>
      </w:tr>
      <w:tr>
        <w:trPr>
          <w:trHeight w:val="418"/>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w w:val="95"/>
              </w:rPr>
              <w:t>Certification by the Chief Financial Officer pursuant to Section 302 of the Sarbanes-Oxley Act of 2002 (filed</w:t>
            </w:r>
          </w:p>
        </w:tc>
      </w:tr>
      <w:tr>
        <w:trPr>
          <w:trHeight w:val="230"/>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rPr>
              <w:t>herewith)</w:t>
            </w:r>
          </w:p>
        </w:tc>
      </w:tr>
      <w:tr>
        <w:trPr>
          <w:trHeight w:val="418"/>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w w:val="91"/>
              </w:rPr>
              <w:t>Certification by the Chief Executive Officer and Chief Financial Officer pursuant to Section 906 of the Sarbanes-</w:t>
            </w:r>
          </w:p>
        </w:tc>
      </w:tr>
      <w:tr>
        <w:trPr>
          <w:trHeight w:val="230"/>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rPr>
              <w:t>Oxley Act of 2002 (filed herewith)</w:t>
            </w:r>
          </w:p>
        </w:tc>
      </w:tr>
    </w:tbl>
    <w:p>
      <w:pPr>
        <w:spacing w:after="0" w:line="202" w:lineRule="exact"/>
        <w:rPr>
          <w:sz w:val="20"/>
          <w:szCs w:val="20"/>
          <w:color w:val="auto"/>
        </w:rPr>
      </w:pPr>
    </w:p>
    <w:p>
      <w:pPr>
        <w:ind w:left="1880" w:right="339" w:hanging="1034"/>
        <w:spacing w:after="0" w:line="270" w:lineRule="auto"/>
        <w:tabs>
          <w:tab w:leader="none" w:pos="1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Pursuant to Rule 405 of Regulation S-T, the following financial information from the Company’s Quarterly Report on Form 10-Q for the period ended September 30, 2011, is formatted in XBRL interactive data files: (i) Condensed Consolidated Balance Sheets as of September 30, 2011 and December 31, 2010; (ii) Condensed Consolidated Statements of Operations for the three and nine months ended September 30, 2011 and 2010; (iii) Condensed Consolidated Statements of Equity for the nine months ended September 30, 2011 and 2010; (iv) Condensed Consolidated Statements of Cash Flows for the nine months ended September 30, 2011 and 2010; and (iv) Notes to Condensed Consolidated Financial Statements (As provided in Rule 406T of Regulation S-T, this information is furnished and not filed for purposes of Sections 11 and 12 of the Securities Act of 1933 and Section 18 of the Securities Act of 1934)</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200" w:type="dxa"/>
            <w:vAlign w:val="bottom"/>
            <w:gridSpan w:val="2"/>
          </w:tcPr>
          <w:p>
            <w:pPr>
              <w:ind w:left="1420"/>
              <w:spacing w:after="0"/>
              <w:rPr>
                <w:sz w:val="20"/>
                <w:szCs w:val="20"/>
                <w:color w:val="auto"/>
              </w:rPr>
            </w:pPr>
            <w:r>
              <w:rPr>
                <w:rFonts w:ascii="Arial" w:cs="Arial" w:eastAsia="Arial" w:hAnsi="Arial"/>
                <w:sz w:val="18"/>
                <w:szCs w:val="18"/>
                <w:color w:val="auto"/>
              </w:rPr>
              <w:t>ALTISOURCE PORTFOLIO SOLUTIONS S.A.</w:t>
            </w:r>
          </w:p>
        </w:tc>
      </w:tr>
      <w:tr>
        <w:trPr>
          <w:trHeight w:val="230"/>
        </w:trPr>
        <w:tc>
          <w:tcPr>
            <w:tcW w:w="3100" w:type="dxa"/>
            <w:vAlign w:val="bottom"/>
          </w:tcPr>
          <w:p>
            <w:pPr>
              <w:spacing w:after="0"/>
              <w:rPr>
                <w:sz w:val="20"/>
                <w:szCs w:val="20"/>
                <w:color w:val="auto"/>
              </w:rPr>
            </w:pPr>
          </w:p>
        </w:tc>
        <w:tc>
          <w:tcPr>
            <w:tcW w:w="5200" w:type="dxa"/>
            <w:vAlign w:val="bottom"/>
            <w:gridSpan w:val="2"/>
          </w:tcPr>
          <w:p>
            <w:pPr>
              <w:ind w:left="1420"/>
              <w:spacing w:after="0"/>
              <w:rPr>
                <w:sz w:val="20"/>
                <w:szCs w:val="20"/>
                <w:color w:val="auto"/>
              </w:rPr>
            </w:pPr>
            <w:r>
              <w:rPr>
                <w:rFonts w:ascii="Arial" w:cs="Arial" w:eastAsia="Arial" w:hAnsi="Arial"/>
                <w:sz w:val="18"/>
                <w:szCs w:val="18"/>
                <w:color w:val="auto"/>
              </w:rPr>
              <w:t>(Registrant)</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October 27, 2011</w:t>
            </w:r>
          </w:p>
        </w:tc>
        <w:tc>
          <w:tcPr>
            <w:tcW w:w="5200" w:type="dxa"/>
            <w:vAlign w:val="bottom"/>
            <w:gridSpan w:val="2"/>
          </w:tcPr>
          <w:p>
            <w:pPr>
              <w:ind w:left="1420"/>
              <w:spacing w:after="0"/>
              <w:rPr>
                <w:sz w:val="20"/>
                <w:szCs w:val="20"/>
                <w:color w:val="auto"/>
              </w:rPr>
            </w:pPr>
            <w:r>
              <w:rPr>
                <w:rFonts w:ascii="Arial" w:cs="Arial" w:eastAsia="Arial" w:hAnsi="Arial"/>
                <w:sz w:val="18"/>
                <w:szCs w:val="18"/>
                <w:color w:val="auto"/>
              </w:rPr>
              <w:t>By: /s/ Robert D. Stiles</w:t>
            </w:r>
          </w:p>
        </w:tc>
      </w:tr>
      <w:tr>
        <w:trPr>
          <w:trHeight w:val="195"/>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3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(On behalf of the Registrant and</w:t>
            </w:r>
          </w:p>
        </w:tc>
      </w:tr>
      <w:tr>
        <w:trPr>
          <w:trHeight w:val="230"/>
        </w:trPr>
        <w:tc>
          <w:tcPr>
            <w:tcW w:w="3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as its principal financial officer)</w:t>
            </w:r>
          </w:p>
        </w:tc>
      </w:tr>
      <w:tr>
        <w:trPr>
          <w:trHeight w:val="783"/>
        </w:trPr>
        <w:tc>
          <w:tcPr>
            <w:tcW w:w="3100" w:type="dxa"/>
            <w:vAlign w:val="bottom"/>
          </w:tcPr>
          <w:p>
            <w:pPr>
              <w:spacing w:after="0"/>
              <w:rPr>
                <w:sz w:val="24"/>
                <w:szCs w:val="24"/>
                <w:color w:val="auto"/>
              </w:rPr>
            </w:pPr>
          </w:p>
        </w:tc>
        <w:tc>
          <w:tcPr>
            <w:tcW w:w="5200" w:type="dxa"/>
            <w:vAlign w:val="bottom"/>
            <w:gridSpan w:val="2"/>
          </w:tcPr>
          <w:p>
            <w:pPr>
              <w:jc w:val="right"/>
              <w:ind w:right="327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0219"/>
          </w:cols>
          <w:pgMar w:left="240" w:top="419" w:right="1440" w:bottom="1440" w:gutter="0" w:footer="0" w:header="0"/>
        </w:sectPr>
      </w:pPr>
    </w:p>
    <w:bookmarkStart w:id="47" w:name="page48"/>
    <w:bookmarkEnd w:id="47"/>
    <w:p>
      <w:pPr>
        <w:jc w:val="right"/>
        <w:ind w:right="159"/>
        <w:spacing w:after="0"/>
        <w:rPr>
          <w:sz w:val="20"/>
          <w:szCs w:val="20"/>
          <w:color w:val="auto"/>
        </w:rPr>
      </w:pPr>
      <w:r>
        <w:rPr>
          <w:rFonts w:ascii="Arial" w:cs="Arial" w:eastAsia="Arial" w:hAnsi="Arial"/>
          <w:sz w:val="18"/>
          <w:szCs w:val="18"/>
          <w:i w:val="1"/>
          <w:iCs w:val="1"/>
          <w:color w:val="auto"/>
        </w:rPr>
        <w:t>Exhibit 31.1</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185" w:lineRule="exact"/>
        <w:rPr>
          <w:sz w:val="20"/>
          <w:szCs w:val="20"/>
          <w:color w:val="auto"/>
        </w:rPr>
      </w:pPr>
    </w:p>
    <w:p>
      <w:pPr>
        <w:ind w:left="740" w:right="179" w:hanging="370"/>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September 30, 2011 of Altisource Portfolio Solutions S.A.:</w:t>
      </w:r>
    </w:p>
    <w:p>
      <w:pPr>
        <w:spacing w:after="0" w:line="102" w:lineRule="exact"/>
        <w:rPr>
          <w:rFonts w:ascii="Arial" w:cs="Arial" w:eastAsia="Arial" w:hAnsi="Arial"/>
          <w:sz w:val="18"/>
          <w:szCs w:val="18"/>
          <w:color w:val="auto"/>
        </w:rPr>
      </w:pPr>
    </w:p>
    <w:p>
      <w:pPr>
        <w:jc w:val="both"/>
        <w:ind w:left="740" w:right="159" w:hanging="370"/>
        <w:spacing w:after="0" w:line="26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80" w:right="159" w:hanging="10"/>
        <w:spacing w:after="0" w:line="312" w:lineRule="auto"/>
        <w:tabs>
          <w:tab w:leader="none" w:pos="98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780" w:right="159" w:hanging="10"/>
        <w:spacing w:after="0" w:line="286" w:lineRule="auto"/>
        <w:tabs>
          <w:tab w:leader="none" w:pos="996"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780" w:right="159" w:hanging="10"/>
        <w:spacing w:after="0" w:line="264" w:lineRule="auto"/>
        <w:tabs>
          <w:tab w:leader="none" w:pos="1006"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780" w:right="159" w:hanging="10"/>
        <w:spacing w:after="0" w:line="286" w:lineRule="auto"/>
        <w:tabs>
          <w:tab w:leader="none" w:pos="989"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8" w:lineRule="exact"/>
        <w:rPr>
          <w:rFonts w:ascii="Arial" w:cs="Arial" w:eastAsia="Arial" w:hAnsi="Arial"/>
          <w:sz w:val="17"/>
          <w:szCs w:val="17"/>
          <w:color w:val="auto"/>
        </w:rPr>
      </w:pPr>
    </w:p>
    <w:p>
      <w:pPr>
        <w:ind w:left="740" w:right="159" w:hanging="370"/>
        <w:spacing w:after="0" w:line="308"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06" w:lineRule="exact"/>
        <w:rPr>
          <w:rFonts w:ascii="Arial" w:cs="Arial" w:eastAsia="Arial" w:hAnsi="Arial"/>
          <w:sz w:val="17"/>
          <w:szCs w:val="17"/>
          <w:color w:val="auto"/>
        </w:rPr>
      </w:pPr>
    </w:p>
    <w:p>
      <w:pPr>
        <w:jc w:val="both"/>
        <w:ind w:left="780" w:right="179" w:hanging="10"/>
        <w:spacing w:after="0" w:line="264" w:lineRule="auto"/>
        <w:tabs>
          <w:tab w:leader="none" w:pos="96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80" w:right="179" w:hanging="10"/>
        <w:spacing w:after="0" w:line="277" w:lineRule="auto"/>
        <w:tabs>
          <w:tab w:leader="none" w:pos="9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Date: October 27, 2011</w:t>
            </w:r>
          </w:p>
        </w:tc>
        <w:tc>
          <w:tcPr>
            <w:tcW w:w="5200" w:type="dxa"/>
            <w:vAlign w:val="bottom"/>
            <w:gridSpan w:val="2"/>
          </w:tcPr>
          <w:p>
            <w:pPr>
              <w:ind w:left="1420"/>
              <w:spacing w:after="0"/>
              <w:rPr>
                <w:sz w:val="20"/>
                <w:szCs w:val="20"/>
                <w:color w:val="auto"/>
              </w:rPr>
            </w:pPr>
            <w:r>
              <w:rPr>
                <w:rFonts w:ascii="Arial" w:cs="Arial" w:eastAsia="Arial" w:hAnsi="Arial"/>
                <w:sz w:val="18"/>
                <w:szCs w:val="18"/>
                <w:color w:val="auto"/>
              </w:rPr>
              <w:t>By: /s/ William B. Shepro</w:t>
            </w:r>
          </w:p>
        </w:tc>
      </w:tr>
      <w:tr>
        <w:trPr>
          <w:trHeight w:val="195"/>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r>
      <w:tr>
        <w:trPr>
          <w:trHeight w:val="216"/>
        </w:trPr>
        <w:tc>
          <w:tcPr>
            <w:tcW w:w="3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230"/>
        </w:trPr>
        <w:tc>
          <w:tcPr>
            <w:tcW w:w="3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5" w:right="1440" w:bottom="1440" w:gutter="0" w:footer="0" w:header="0"/>
        </w:sectPr>
      </w:pPr>
    </w:p>
    <w:bookmarkStart w:id="48" w:name="page49"/>
    <w:bookmarkEnd w:id="48"/>
    <w:p>
      <w:pPr>
        <w:jc w:val="right"/>
        <w:ind w:right="159"/>
        <w:spacing w:after="0"/>
        <w:rPr>
          <w:sz w:val="20"/>
          <w:szCs w:val="20"/>
          <w:color w:val="auto"/>
        </w:rPr>
      </w:pPr>
      <w:r>
        <w:rPr>
          <w:rFonts w:ascii="Arial" w:cs="Arial" w:eastAsia="Arial" w:hAnsi="Arial"/>
          <w:sz w:val="18"/>
          <w:szCs w:val="18"/>
          <w:i w:val="1"/>
          <w:iCs w:val="1"/>
          <w:color w:val="auto"/>
        </w:rPr>
        <w:t>Exhibit 31.2</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Robert D. Stiles, hereby certify that:</w:t>
      </w:r>
    </w:p>
    <w:p>
      <w:pPr>
        <w:spacing w:after="0" w:line="185" w:lineRule="exact"/>
        <w:rPr>
          <w:sz w:val="20"/>
          <w:szCs w:val="20"/>
          <w:color w:val="auto"/>
        </w:rPr>
      </w:pPr>
    </w:p>
    <w:p>
      <w:pPr>
        <w:ind w:left="740" w:right="179" w:hanging="370"/>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September 30, 2011 of Altisource Portfolio Solutions S.A.:</w:t>
      </w:r>
    </w:p>
    <w:p>
      <w:pPr>
        <w:spacing w:after="0" w:line="102" w:lineRule="exact"/>
        <w:rPr>
          <w:rFonts w:ascii="Arial" w:cs="Arial" w:eastAsia="Arial" w:hAnsi="Arial"/>
          <w:sz w:val="18"/>
          <w:szCs w:val="18"/>
          <w:color w:val="auto"/>
        </w:rPr>
      </w:pPr>
    </w:p>
    <w:p>
      <w:pPr>
        <w:jc w:val="both"/>
        <w:ind w:left="740" w:right="159" w:hanging="370"/>
        <w:spacing w:after="0" w:line="26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80" w:right="159" w:hanging="10"/>
        <w:spacing w:after="0" w:line="312" w:lineRule="auto"/>
        <w:tabs>
          <w:tab w:leader="none" w:pos="98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780" w:right="159" w:hanging="10"/>
        <w:spacing w:after="0" w:line="286" w:lineRule="auto"/>
        <w:tabs>
          <w:tab w:leader="none" w:pos="996"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780" w:right="159" w:hanging="10"/>
        <w:spacing w:after="0" w:line="264" w:lineRule="auto"/>
        <w:tabs>
          <w:tab w:leader="none" w:pos="10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780" w:right="159" w:hanging="10"/>
        <w:spacing w:after="0" w:line="286" w:lineRule="auto"/>
        <w:tabs>
          <w:tab w:leader="none" w:pos="989"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8" w:lineRule="exact"/>
        <w:rPr>
          <w:rFonts w:ascii="Arial" w:cs="Arial" w:eastAsia="Arial" w:hAnsi="Arial"/>
          <w:sz w:val="17"/>
          <w:szCs w:val="17"/>
          <w:color w:val="auto"/>
        </w:rPr>
      </w:pPr>
    </w:p>
    <w:p>
      <w:pPr>
        <w:ind w:left="740" w:right="159" w:hanging="370"/>
        <w:spacing w:after="0" w:line="308"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06" w:lineRule="exact"/>
        <w:rPr>
          <w:rFonts w:ascii="Arial" w:cs="Arial" w:eastAsia="Arial" w:hAnsi="Arial"/>
          <w:sz w:val="17"/>
          <w:szCs w:val="17"/>
          <w:color w:val="auto"/>
        </w:rPr>
      </w:pPr>
    </w:p>
    <w:p>
      <w:pPr>
        <w:jc w:val="both"/>
        <w:ind w:left="780" w:right="179" w:hanging="10"/>
        <w:spacing w:after="0" w:line="264" w:lineRule="auto"/>
        <w:tabs>
          <w:tab w:leader="none" w:pos="96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80" w:right="179" w:hanging="10"/>
        <w:spacing w:after="0" w:line="277" w:lineRule="auto"/>
        <w:tabs>
          <w:tab w:leader="none" w:pos="9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Date: October 27, 2011</w:t>
            </w:r>
          </w:p>
        </w:tc>
        <w:tc>
          <w:tcPr>
            <w:tcW w:w="5200" w:type="dxa"/>
            <w:vAlign w:val="bottom"/>
            <w:gridSpan w:val="2"/>
          </w:tcPr>
          <w:p>
            <w:pPr>
              <w:ind w:left="1420"/>
              <w:spacing w:after="0"/>
              <w:rPr>
                <w:sz w:val="20"/>
                <w:szCs w:val="20"/>
                <w:color w:val="auto"/>
              </w:rPr>
            </w:pPr>
            <w:r>
              <w:rPr>
                <w:rFonts w:ascii="Arial" w:cs="Arial" w:eastAsia="Arial" w:hAnsi="Arial"/>
                <w:sz w:val="18"/>
                <w:szCs w:val="18"/>
                <w:color w:val="auto"/>
              </w:rPr>
              <w:t>By: /s/ Robert D. Stiles</w:t>
            </w:r>
          </w:p>
        </w:tc>
      </w:tr>
      <w:tr>
        <w:trPr>
          <w:trHeight w:val="195"/>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3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9879"/>
          </w:cols>
          <w:pgMar w:left="580" w:top="125" w:right="1440" w:bottom="1440" w:gutter="0" w:footer="0" w:header="0"/>
        </w:sectPr>
      </w:pPr>
    </w:p>
    <w:bookmarkStart w:id="49" w:name="page50"/>
    <w:bookmarkEnd w:id="49"/>
    <w:p>
      <w:pPr>
        <w:jc w:val="right"/>
        <w:ind w:right="159"/>
        <w:spacing w:after="0"/>
        <w:rPr>
          <w:sz w:val="20"/>
          <w:szCs w:val="20"/>
          <w:color w:val="auto"/>
        </w:rPr>
      </w:pPr>
      <w:r>
        <w:rPr>
          <w:rFonts w:ascii="Arial" w:cs="Arial" w:eastAsia="Arial" w:hAnsi="Arial"/>
          <w:sz w:val="18"/>
          <w:szCs w:val="18"/>
          <w:i w:val="1"/>
          <w:iCs w:val="1"/>
          <w:color w:val="auto"/>
        </w:rPr>
        <w:t>Exhibit 32.1</w:t>
      </w:r>
    </w:p>
    <w:p>
      <w:pPr>
        <w:spacing w:after="0" w:line="194" w:lineRule="exact"/>
        <w:rPr>
          <w:sz w:val="20"/>
          <w:szCs w:val="20"/>
          <w:color w:val="auto"/>
        </w:rPr>
      </w:pPr>
    </w:p>
    <w:p>
      <w:pPr>
        <w:jc w:val="center"/>
        <w:ind w:right="179"/>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2011</w:t>
      </w:r>
    </w:p>
    <w:p>
      <w:pPr>
        <w:spacing w:after="0" w:line="147"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connection with the Quarterly Report on Form 10-Q of Altisource Portfolio Solutions S.A. for the quarterly period ending September 30, 2011, as filed with the Securities and Exchange Commission on the date hereof (the “Report”), William B. Shepro, as Chief Executive Officer of our Company, and Robert D. Stiles, as Chief Financial Officer of our Company, each hereby certifies, pursuant to 18 U.S.C. Section 1350, that:</w:t>
      </w:r>
    </w:p>
    <w:p>
      <w:pPr>
        <w:spacing w:after="0" w:line="146" w:lineRule="exact"/>
        <w:rPr>
          <w:sz w:val="20"/>
          <w:szCs w:val="20"/>
          <w:color w:val="auto"/>
        </w:rPr>
      </w:pPr>
    </w:p>
    <w:p>
      <w:pPr>
        <w:ind w:left="740" w:right="159" w:hanging="370"/>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02" w:lineRule="exact"/>
        <w:rPr>
          <w:rFonts w:ascii="Arial" w:cs="Arial" w:eastAsia="Arial" w:hAnsi="Arial"/>
          <w:sz w:val="18"/>
          <w:szCs w:val="18"/>
          <w:color w:val="auto"/>
        </w:rPr>
      </w:pPr>
    </w:p>
    <w:p>
      <w:pPr>
        <w:ind w:left="740" w:right="159" w:hanging="370"/>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our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4680" w:type="dxa"/>
            <w:vAlign w:val="bottom"/>
            <w:gridSpan w:val="2"/>
          </w:tcPr>
          <w:p>
            <w:pPr>
              <w:ind w:left="1120"/>
              <w:spacing w:after="0"/>
              <w:rPr>
                <w:sz w:val="20"/>
                <w:szCs w:val="20"/>
                <w:color w:val="auto"/>
              </w:rPr>
            </w:pPr>
            <w:r>
              <w:rPr>
                <w:rFonts w:ascii="Arial" w:cs="Arial" w:eastAsia="Arial" w:hAnsi="Arial"/>
                <w:sz w:val="18"/>
                <w:szCs w:val="18"/>
                <w:color w:val="auto"/>
              </w:rPr>
              <w:t>By: /s/ Robert D. Stiles</w:t>
            </w:r>
          </w:p>
        </w:tc>
      </w:tr>
      <w:tr>
        <w:trPr>
          <w:trHeight w:val="209"/>
        </w:trPr>
        <w:tc>
          <w:tcPr>
            <w:tcW w:w="340" w:type="dxa"/>
            <w:vAlign w:val="bottom"/>
          </w:tcPr>
          <w:p>
            <w:pPr>
              <w:spacing w:after="0"/>
              <w:rPr>
                <w:sz w:val="18"/>
                <w:szCs w:val="18"/>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B. Shepro</w:t>
            </w:r>
          </w:p>
        </w:tc>
        <w:tc>
          <w:tcPr>
            <w:tcW w:w="1480" w:type="dxa"/>
            <w:vAlign w:val="bottom"/>
          </w:tcPr>
          <w:p>
            <w:pPr>
              <w:spacing w:after="0"/>
              <w:rPr>
                <w:sz w:val="18"/>
                <w:szCs w:val="18"/>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D. Stiles</w:t>
            </w: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14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4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October 27, 2011</w:t>
            </w:r>
          </w:p>
        </w:tc>
        <w:tc>
          <w:tcPr>
            <w:tcW w:w="14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October 27, 2011</w:t>
            </w:r>
          </w:p>
        </w:tc>
      </w:tr>
    </w:tbl>
    <w:p>
      <w:pPr>
        <w:spacing w:after="0" w:line="1" w:lineRule="exact"/>
        <w:rPr>
          <w:sz w:val="20"/>
          <w:szCs w:val="20"/>
          <w:color w:val="auto"/>
        </w:rPr>
      </w:pPr>
    </w:p>
    <w:sectPr>
      <w:pgSz w:w="11900" w:h="16838" w:orient="portrait"/>
      <w:cols w:equalWidth="0" w:num="1">
        <w:col w:w="9879"/>
      </w:cols>
      <w:pgMar w:left="580"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0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2019-12-11T07:40:42Z</dcterms:created>
  <dcterms:modified xsi:type="dcterms:W3CDTF">2019-12-11T07:40:42Z</dcterms:modified>
</cp:coreProperties>
</file>