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color w:val="0000EE"/>
        </w:rPr>
      </w:pPr>
      <w:hyperlink w:anchor="page61">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192"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SCHEDULE 14A INFORMATION</w:t>
      </w:r>
    </w:p>
    <w:p>
      <w:pPr>
        <w:spacing w:after="0" w:line="230"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Proxy Statement Pursuant to Section 14(a) of the</w:t>
      </w:r>
    </w:p>
    <w:p>
      <w:pPr>
        <w:spacing w:after="0" w:line="18"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Securities Exchange Act of 1934</w:t>
      </w:r>
    </w:p>
    <w:p>
      <w:pPr>
        <w:spacing w:after="0" w:line="177" w:lineRule="exact"/>
        <w:rPr>
          <w:sz w:val="24"/>
          <w:szCs w:val="24"/>
          <w:color w:val="auto"/>
        </w:r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75"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Filed by a Party other than the Registrant o</w:t>
      </w:r>
    </w:p>
    <w:p>
      <w:pPr>
        <w:spacing w:after="0" w:line="21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pacing w:after="0" w:line="242" w:lineRule="exact"/>
        <w:rPr>
          <w:sz w:val="24"/>
          <w:szCs w:val="24"/>
          <w:color w:val="auto"/>
        </w:rPr>
      </w:pPr>
    </w:p>
    <w:p>
      <w:pPr>
        <w:ind w:left="1520" w:hanging="371"/>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38" w:lineRule="exact"/>
        <w:rPr>
          <w:sz w:val="24"/>
          <w:szCs w:val="24"/>
          <w:color w:val="auto"/>
        </w:rPr>
      </w:pPr>
    </w:p>
    <w:p>
      <w:pPr>
        <w:ind w:left="1520" w:hanging="371"/>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46" w:lineRule="exact"/>
        <w:rPr>
          <w:rFonts w:ascii="Arial" w:cs="Arial" w:eastAsia="Arial" w:hAnsi="Arial"/>
          <w:sz w:val="17"/>
          <w:szCs w:val="17"/>
          <w:color w:val="auto"/>
        </w:rPr>
      </w:pPr>
    </w:p>
    <w:p>
      <w:pPr>
        <w:ind w:left="1520" w:hanging="371"/>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242" w:lineRule="exact"/>
        <w:rPr>
          <w:rFonts w:ascii="Arial" w:cs="Arial" w:eastAsia="Arial" w:hAnsi="Arial"/>
          <w:sz w:val="17"/>
          <w:szCs w:val="17"/>
          <w:color w:val="auto"/>
        </w:rPr>
      </w:pPr>
    </w:p>
    <w:p>
      <w:pPr>
        <w:ind w:left="1520" w:hanging="371"/>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42" w:lineRule="exact"/>
        <w:rPr>
          <w:rFonts w:ascii="Arial" w:cs="Arial" w:eastAsia="Arial" w:hAnsi="Arial"/>
          <w:sz w:val="17"/>
          <w:szCs w:val="17"/>
          <w:color w:val="auto"/>
        </w:rPr>
      </w:pPr>
    </w:p>
    <w:p>
      <w:pPr>
        <w:ind w:left="1520" w:hanging="371"/>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71755</wp:posOffset>
            </wp:positionV>
            <wp:extent cx="5814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175"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(Name of Registrant as Specified in its Charter)</w:t>
      </w:r>
    </w:p>
    <w:p>
      <w:pPr>
        <w:spacing w:after="0" w:line="23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71755</wp:posOffset>
            </wp:positionV>
            <wp:extent cx="5814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175" w:lineRule="exact"/>
        <w:rPr>
          <w:sz w:val="24"/>
          <w:szCs w:val="24"/>
          <w:color w:val="auto"/>
        </w:rPr>
      </w:pPr>
    </w:p>
    <w:p>
      <w:pPr>
        <w:ind w:left="33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42" w:lineRule="exact"/>
        <w:rPr>
          <w:sz w:val="24"/>
          <w:szCs w:val="24"/>
          <w:color w:val="auto"/>
        </w:rPr>
      </w:pPr>
    </w:p>
    <w:p>
      <w:pPr>
        <w:ind w:left="1520" w:hanging="371"/>
        <w:spacing w:after="0"/>
        <w:tabs>
          <w:tab w:leader="none" w:pos="15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2" w:lineRule="exact"/>
        <w:rPr>
          <w:sz w:val="24"/>
          <w:szCs w:val="24"/>
          <w:color w:val="auto"/>
        </w:rPr>
      </w:pPr>
    </w:p>
    <w:p>
      <w:pPr>
        <w:ind w:left="1520" w:hanging="371"/>
        <w:spacing w:after="0"/>
        <w:tabs>
          <w:tab w:leader="none" w:pos="1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2" w:lineRule="exact"/>
        <w:rPr>
          <w:sz w:val="24"/>
          <w:szCs w:val="24"/>
          <w:color w:val="auto"/>
        </w:rPr>
      </w:pPr>
    </w:p>
    <w:p>
      <w:pPr>
        <w:ind w:left="1860" w:right="4679" w:hanging="711"/>
        <w:spacing w:after="0" w:line="276" w:lineRule="auto"/>
        <w:tabs>
          <w:tab w:leader="none" w:pos="1525" w:val="left"/>
        </w:tabs>
        <w:numPr>
          <w:ilvl w:val="0"/>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 N/A</w:t>
      </w:r>
    </w:p>
    <w:p>
      <w:pPr>
        <w:spacing w:after="0" w:line="1" w:lineRule="exact"/>
        <w:rPr>
          <w:rFonts w:ascii="Arial" w:cs="Arial" w:eastAsia="Arial" w:hAnsi="Arial"/>
          <w:sz w:val="17"/>
          <w:szCs w:val="17"/>
          <w:color w:val="auto"/>
        </w:rPr>
      </w:pPr>
    </w:p>
    <w:p>
      <w:pPr>
        <w:ind w:left="1860" w:right="4379" w:hanging="711"/>
        <w:spacing w:after="0" w:line="276" w:lineRule="auto"/>
        <w:tabs>
          <w:tab w:leader="none" w:pos="1525"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 N/A</w:t>
      </w:r>
    </w:p>
    <w:p>
      <w:pPr>
        <w:spacing w:after="0" w:line="1" w:lineRule="exact"/>
        <w:rPr>
          <w:rFonts w:ascii="Arial" w:cs="Arial" w:eastAsia="Arial" w:hAnsi="Arial"/>
          <w:sz w:val="17"/>
          <w:szCs w:val="17"/>
          <w:color w:val="auto"/>
        </w:rPr>
      </w:pPr>
    </w:p>
    <w:p>
      <w:pPr>
        <w:ind w:left="1520" w:right="239" w:hanging="371"/>
        <w:spacing w:after="0" w:line="268" w:lineRule="auto"/>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7"/>
          <w:szCs w:val="17"/>
          <w:color w:val="auto"/>
        </w:rPr>
      </w:pPr>
    </w:p>
    <w:p>
      <w:pPr>
        <w:ind w:left="1860"/>
        <w:spacing w:after="0"/>
        <w:rPr>
          <w:rFonts w:ascii="Arial" w:cs="Arial" w:eastAsia="Arial" w:hAnsi="Arial"/>
          <w:sz w:val="17"/>
          <w:szCs w:val="17"/>
          <w:color w:val="auto"/>
        </w:rPr>
      </w:pPr>
      <w:r>
        <w:rPr>
          <w:rFonts w:ascii="Arial" w:cs="Arial" w:eastAsia="Arial" w:hAnsi="Arial"/>
          <w:sz w:val="17"/>
          <w:szCs w:val="17"/>
          <w:color w:val="auto"/>
        </w:rPr>
        <w:t>N/A</w:t>
      </w:r>
    </w:p>
    <w:p>
      <w:pPr>
        <w:spacing w:after="0" w:line="23" w:lineRule="exact"/>
        <w:rPr>
          <w:rFonts w:ascii="Arial" w:cs="Arial" w:eastAsia="Arial" w:hAnsi="Arial"/>
          <w:sz w:val="17"/>
          <w:szCs w:val="17"/>
          <w:color w:val="auto"/>
        </w:rPr>
      </w:pPr>
    </w:p>
    <w:p>
      <w:pPr>
        <w:ind w:left="1520" w:hanging="371"/>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967105</wp:posOffset>
            </wp:positionH>
            <wp:positionV relativeFrom="paragraph">
              <wp:posOffset>-829310</wp:posOffset>
            </wp:positionV>
            <wp:extent cx="5560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-542925</wp:posOffset>
            </wp:positionV>
            <wp:extent cx="5560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-126365</wp:posOffset>
            </wp:positionV>
            <wp:extent cx="5560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159385</wp:posOffset>
            </wp:positionV>
            <wp:extent cx="5560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0060" cy="8255"/>
                    </a:xfrm>
                    <a:prstGeom prst="rect">
                      <a:avLst/>
                    </a:prstGeom>
                    <a:noFill/>
                  </pic:spPr>
                </pic:pic>
              </a:graphicData>
            </a:graphic>
          </wp:anchor>
        </w:drawing>
      </w:r>
    </w:p>
    <w:p>
      <w:pPr>
        <w:spacing w:after="0" w:line="235" w:lineRule="exact"/>
        <w:rPr>
          <w:sz w:val="24"/>
          <w:szCs w:val="24"/>
          <w:color w:val="auto"/>
        </w:rPr>
      </w:pPr>
    </w:p>
    <w:p>
      <w:pPr>
        <w:ind w:left="1520" w:hanging="371"/>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42" w:lineRule="exact"/>
        <w:rPr>
          <w:rFonts w:ascii="Arial" w:cs="Arial" w:eastAsia="Arial" w:hAnsi="Arial"/>
          <w:sz w:val="17"/>
          <w:szCs w:val="17"/>
          <w:color w:val="auto"/>
        </w:rPr>
      </w:pPr>
    </w:p>
    <w:p>
      <w:pPr>
        <w:ind w:left="1520"/>
        <w:spacing w:after="0"/>
        <w:rPr>
          <w:rFonts w:ascii="Arial" w:cs="Arial" w:eastAsia="Arial" w:hAnsi="Arial"/>
          <w:sz w:val="17"/>
          <w:szCs w:val="17"/>
          <w:color w:val="auto"/>
        </w:rPr>
      </w:pPr>
      <w:r>
        <w:rPr>
          <w:rFonts w:ascii="Arial" w:cs="Arial" w:eastAsia="Arial" w:hAnsi="Arial"/>
          <w:sz w:val="17"/>
          <w:szCs w:val="17"/>
          <w:color w:val="auto"/>
        </w:rPr>
        <w:t>o</w:t>
      </w:r>
      <w:r>
        <w:rPr>
          <w:rFonts w:ascii="Arial" w:cs="Arial" w:eastAsia="Arial" w:hAnsi="Arial"/>
          <w:sz w:val="15"/>
          <w:szCs w:val="15"/>
          <w:color w:val="auto"/>
        </w:rPr>
        <w:t>Fee paid previously with preliminary materials.</w:t>
      </w:r>
    </w:p>
    <w:p>
      <w:pPr>
        <w:spacing w:after="0" w:line="242" w:lineRule="exact"/>
        <w:rPr>
          <w:rFonts w:ascii="Arial" w:cs="Arial" w:eastAsia="Arial" w:hAnsi="Arial"/>
          <w:sz w:val="17"/>
          <w:szCs w:val="17"/>
          <w:color w:val="auto"/>
        </w:rPr>
      </w:pPr>
    </w:p>
    <w:p>
      <w:pPr>
        <w:ind w:left="1940" w:right="59" w:hanging="412"/>
        <w:spacing w:after="0" w:line="263" w:lineRule="auto"/>
        <w:rPr>
          <w:rFonts w:ascii="Arial" w:cs="Arial" w:eastAsia="Arial" w:hAnsi="Arial"/>
          <w:sz w:val="17"/>
          <w:szCs w:val="17"/>
          <w:color w:val="auto"/>
        </w:rPr>
      </w:pPr>
      <w:r>
        <w:rPr>
          <w:rFonts w:ascii="Arial" w:cs="Arial" w:eastAsia="Arial" w:hAnsi="Arial"/>
          <w:sz w:val="17"/>
          <w:szCs w:val="17"/>
          <w:color w:val="auto"/>
        </w:rPr>
        <w:t>oCheck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sz w:val="24"/>
          <w:szCs w:val="24"/>
          <w:color w:val="auto"/>
        </w:rPr>
      </w:pPr>
    </w:p>
    <w:p>
      <w:pPr>
        <w:ind w:left="1860" w:right="6999" w:hanging="711"/>
        <w:spacing w:after="0" w:line="276" w:lineRule="auto"/>
        <w:tabs>
          <w:tab w:leader="none" w:pos="1525"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Previously Paid: N/A</w:t>
      </w:r>
    </w:p>
    <w:p>
      <w:pPr>
        <w:spacing w:after="0" w:line="1" w:lineRule="exact"/>
        <w:rPr>
          <w:rFonts w:ascii="Arial" w:cs="Arial" w:eastAsia="Arial" w:hAnsi="Arial"/>
          <w:sz w:val="17"/>
          <w:szCs w:val="17"/>
          <w:color w:val="auto"/>
        </w:rPr>
      </w:pPr>
    </w:p>
    <w:p>
      <w:pPr>
        <w:ind w:left="1860" w:right="5539" w:hanging="711"/>
        <w:spacing w:after="0" w:line="276" w:lineRule="auto"/>
        <w:tabs>
          <w:tab w:leader="none" w:pos="1525"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Form, Schedule or Registration Statement No.: N/A</w:t>
      </w:r>
    </w:p>
    <w:p>
      <w:pPr>
        <w:spacing w:after="0" w:line="1" w:lineRule="exact"/>
        <w:rPr>
          <w:rFonts w:ascii="Arial" w:cs="Arial" w:eastAsia="Arial" w:hAnsi="Arial"/>
          <w:sz w:val="17"/>
          <w:szCs w:val="17"/>
          <w:color w:val="auto"/>
        </w:rPr>
      </w:pPr>
    </w:p>
    <w:p>
      <w:pPr>
        <w:ind w:left="1520" w:hanging="371"/>
        <w:spacing w:after="0"/>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967105</wp:posOffset>
            </wp:positionH>
            <wp:positionV relativeFrom="paragraph">
              <wp:posOffset>-412115</wp:posOffset>
            </wp:positionV>
            <wp:extent cx="5560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-126365</wp:posOffset>
            </wp:positionV>
            <wp:extent cx="556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159385</wp:posOffset>
            </wp:positionV>
            <wp:extent cx="556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0060" cy="8255"/>
                    </a:xfrm>
                    <a:prstGeom prst="rect">
                      <a:avLst/>
                    </a:prstGeom>
                    <a:noFill/>
                  </pic:spPr>
                </pic:pic>
              </a:graphicData>
            </a:graphic>
          </wp:anchor>
        </w:drawing>
      </w:r>
    </w:p>
    <w:p>
      <w:pPr>
        <w:spacing w:after="0" w:line="235" w:lineRule="exact"/>
        <w:rPr>
          <w:sz w:val="24"/>
          <w:szCs w:val="24"/>
          <w:color w:val="auto"/>
        </w:rPr>
      </w:pPr>
    </w:p>
    <w:p>
      <w:pPr>
        <w:ind w:left="1860" w:right="7939" w:hanging="711"/>
        <w:spacing w:after="0" w:line="379" w:lineRule="auto"/>
        <w:tabs>
          <w:tab w:leader="none" w:pos="1525" w:val="left"/>
        </w:tabs>
        <w:numPr>
          <w:ilvl w:val="0"/>
          <w:numId w:val="8"/>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-61595</wp:posOffset>
            </wp:positionV>
            <wp:extent cx="5560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0060" cy="8255"/>
                    </a:xfrm>
                    <a:prstGeom prst="rect">
                      <a:avLst/>
                    </a:prstGeom>
                    <a:noFill/>
                  </pic:spPr>
                </pic:pic>
              </a:graphicData>
            </a:graphic>
          </wp:anchor>
        </w:drawing>
      </w:r>
    </w:p>
    <w:p>
      <w:pPr>
        <w:sectPr>
          <w:pgSz w:w="11900" w:h="16838" w:orient="portrait"/>
          <w:cols w:equalWidth="0" w:num="1">
            <w:col w:w="10219"/>
          </w:cols>
          <w:pgMar w:left="240" w:top="453" w:right="1440" w:bottom="1021" w:gutter="0" w:footer="0" w:header="0"/>
        </w:sectPr>
      </w:pPr>
    </w:p>
    <w:bookmarkStart w:id="1" w:name="page2"/>
    <w:bookmarkEnd w:id="1"/>
    <w:p>
      <w:pPr>
        <w:jc w:val="center"/>
        <w:ind w:right="-39"/>
        <w:spacing w:after="0"/>
        <w:tabs>
          <w:tab w:leader="none" w:pos="1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5224145</wp:posOffset>
            </wp:positionH>
            <wp:positionV relativeFrom="page">
              <wp:posOffset>88900</wp:posOffset>
            </wp:positionV>
            <wp:extent cx="218313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83130" cy="523240"/>
                    </a:xfrm>
                    <a:prstGeom prst="rect">
                      <a:avLst/>
                    </a:prstGeom>
                    <a:noFill/>
                  </pic:spPr>
                </pic:pic>
              </a:graphicData>
            </a:graphic>
          </wp:anchor>
        </w:drawing>
        <w:t>April [</w:t>
      </w:r>
      <w:r>
        <w:rPr>
          <w:sz w:val="20"/>
          <w:szCs w:val="20"/>
          <w:color w:val="auto"/>
        </w:rPr>
        <w:tab/>
      </w:r>
      <w:r>
        <w:rPr>
          <w:rFonts w:ascii="Arial" w:cs="Arial" w:eastAsia="Arial" w:hAnsi="Arial"/>
          <w:sz w:val="15"/>
          <w:szCs w:val="15"/>
          <w:color w:val="auto"/>
        </w:rPr>
        <w:t>], 2015</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1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On behalf of the Board of Directors, we cordially invite you to attend the Annual Meeting of Shareholders of Altisource Portfolio Solutions S.A. which will be held at the registered office of the Company located at 40, avenue Monterey, L-2163 Luxembourg City, Grand Duchy of Luxembourg on Wednesday, May 20, 2015, at 9:00 a.m., Central European Time. The matters to be considered by shareholders at the Annual Meeting of Shareholders are described in detail in the accompanying materials.</w:t>
      </w:r>
    </w:p>
    <w:p>
      <w:pPr>
        <w:spacing w:after="0" w:line="147"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It is very important that you be represented at the Annual Meeting of Shareholders regardless of the number of shares you own or whether you are able to attend the Annual Meeting of Shareholders in person. We urge you to complete your proxy card in the manner described in the accompanying materials even if you plan to attend the Annual Meeting of Shareholders. This will not prevent you from voting in person but will ensure that your vote is counted if you are unable to attend.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Your support of and interest in Altisource Portfolio Solutions S.A. is sincerely appreciated.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283970" cy="269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3970"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Timo Vättö</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1038225" cy="490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8225" cy="49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William B. Shepro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904875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310515</wp:posOffset>
            </wp:positionV>
            <wp:extent cx="3614420" cy="466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4420" cy="466090"/>
                    </a:xfrm>
                    <a:prstGeom prst="rect">
                      <a:avLst/>
                    </a:prstGeom>
                    <a:noFill/>
                  </pic:spPr>
                </pic:pic>
              </a:graphicData>
            </a:graphic>
          </wp:anchor>
        </w:drawing>
      </w:r>
    </w:p>
    <w:p>
      <w:pPr>
        <w:sectPr>
          <w:pgSz w:w="11900" w:h="16838" w:orient="portrait"/>
          <w:cols w:equalWidth="0" w:num="1">
            <w:col w:w="11380"/>
          </w:cols>
          <w:pgMar w:left="240" w:top="1161"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ALTISOURCE PORTFOLIO SOLUTIONS S.A.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40, avenue Monterey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L-2163 Luxembourg City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Duchy of Luxembourg</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R.C.S. Luxembourg B 72 391</w:t>
      </w:r>
    </w:p>
    <w:p>
      <w:pPr>
        <w:spacing w:after="0" w:line="200" w:lineRule="exact"/>
        <w:rPr>
          <w:sz w:val="20"/>
          <w:szCs w:val="20"/>
          <w:color w:val="auto"/>
        </w:rPr>
      </w:pPr>
    </w:p>
    <w:p>
      <w:pPr>
        <w:spacing w:after="0" w:line="212" w:lineRule="exact"/>
        <w:rPr>
          <w:sz w:val="20"/>
          <w:szCs w:val="20"/>
          <w:color w:val="auto"/>
        </w:rPr>
      </w:pPr>
    </w:p>
    <w:p>
      <w:pPr>
        <w:jc w:val="center"/>
        <w:spacing w:after="0" w:line="266" w:lineRule="auto"/>
        <w:rPr>
          <w:sz w:val="20"/>
          <w:szCs w:val="20"/>
          <w:color w:val="auto"/>
        </w:rPr>
      </w:pPr>
      <w:r>
        <w:rPr>
          <w:rFonts w:ascii="Arial" w:cs="Arial" w:eastAsia="Arial" w:hAnsi="Arial"/>
          <w:sz w:val="17"/>
          <w:szCs w:val="17"/>
          <w:b w:val="1"/>
          <w:bCs w:val="1"/>
          <w:color w:val="auto"/>
        </w:rPr>
        <w:t>NOTICE OF ANNUAL MEETING OF SHAREHOLDERS AND IMPORTANT NOTICE REGARDING THE AVAILABILITY OF PROXY MATERIALS FOR THE ANNUAL MEETING OF SHAREHOLDERS TO BE HELD ON MAY 20, 2015</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NOTICE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Our Annual Meeting of Shareholders will be held:</w:t>
      </w:r>
    </w:p>
    <w:p>
      <w:pPr>
        <w:spacing w:after="0" w:line="200" w:lineRule="exact"/>
        <w:rPr>
          <w:sz w:val="20"/>
          <w:szCs w:val="20"/>
          <w:color w:val="auto"/>
        </w:rPr>
      </w:pPr>
    </w:p>
    <w:p>
      <w:pPr>
        <w:spacing w:after="0" w:line="219"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7"/>
          <w:szCs w:val="17"/>
          <w:color w:val="auto"/>
        </w:rPr>
        <w:t>Wednesday, May 20, 2015</w:t>
      </w:r>
    </w:p>
    <w:p>
      <w:pPr>
        <w:spacing w:after="0" w:line="21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b w:val="1"/>
          <w:bCs w:val="1"/>
          <w:color w:val="auto"/>
        </w:rPr>
        <w:t>Time:</w:t>
      </w:r>
      <w:r>
        <w:rPr>
          <w:sz w:val="20"/>
          <w:szCs w:val="20"/>
          <w:color w:val="auto"/>
        </w:rPr>
        <w:tab/>
      </w:r>
      <w:r>
        <w:rPr>
          <w:rFonts w:ascii="Arial" w:cs="Arial" w:eastAsia="Arial" w:hAnsi="Arial"/>
          <w:sz w:val="17"/>
          <w:szCs w:val="17"/>
          <w:color w:val="auto"/>
        </w:rPr>
        <w:t>9:00 a.m., Central European Time</w:t>
      </w:r>
    </w:p>
    <w:p>
      <w:pPr>
        <w:spacing w:after="0" w:line="21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Altisource Portfolio Solutions S.A.</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40, avenue Monterey</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L-2163 Luxembourg City</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Grand Duchy of Luxembourg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PURPOSE</w:t>
      </w:r>
    </w:p>
    <w:p>
      <w:pPr>
        <w:spacing w:after="0" w:line="233" w:lineRule="exact"/>
        <w:rPr>
          <w:sz w:val="20"/>
          <w:szCs w:val="20"/>
          <w:color w:val="auto"/>
        </w:rPr>
      </w:pPr>
    </w:p>
    <w:p>
      <w:pPr>
        <w:ind w:left="1040" w:hanging="522"/>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elect four (4) Directors for a one (1) year term and/or until their successors are elected and qualified;</w:t>
      </w:r>
    </w:p>
    <w:p>
      <w:pPr>
        <w:spacing w:after="0" w:line="242" w:lineRule="exact"/>
        <w:rPr>
          <w:rFonts w:ascii="Arial" w:cs="Arial" w:eastAsia="Arial" w:hAnsi="Arial"/>
          <w:sz w:val="17"/>
          <w:szCs w:val="17"/>
          <w:color w:val="auto"/>
        </w:rPr>
      </w:pPr>
    </w:p>
    <w:p>
      <w:pPr>
        <w:ind w:left="1040" w:right="20" w:hanging="522"/>
        <w:spacing w:after="0" w:line="263"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approve the appointment by the Audit Committee of our Board of Directors of Deloitte &amp; Touche LLP to be our independent registered certified public accounting firm for the year ending December 31, 2015 and Deloitte Audit S.à r.l. to be our certified auditor for all statutory accounts as required by Luxembourg law for the same period;</w:t>
      </w:r>
    </w:p>
    <w:p>
      <w:pPr>
        <w:spacing w:after="0" w:line="194" w:lineRule="exact"/>
        <w:rPr>
          <w:rFonts w:ascii="Arial" w:cs="Arial" w:eastAsia="Arial" w:hAnsi="Arial"/>
          <w:sz w:val="17"/>
          <w:szCs w:val="17"/>
          <w:color w:val="auto"/>
        </w:rPr>
      </w:pPr>
    </w:p>
    <w:p>
      <w:pPr>
        <w:ind w:left="1040" w:hanging="522"/>
        <w:spacing w:after="0" w:line="25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approve Altisource Portfolio Solutions S.A.'s annual accounts prepared in accordance with accounting principles generally accepted in Luxembourg ("Luxembourg GAAP") for the year ended December 31, 2014 (the "Luxembourg Annual Accounts") and its consolidated financial statements prepared in accordance with accounting principles generally accepted in the United States ("U.S. GAAP") including a footnote reconciliation of equity and net income to International Financial Reporting Standards ("IFRS") as of and for the year ended December 31, 2014 (the "Consolidated Accounts") (together, the "Luxembourg Statutory Accounts");</w:t>
      </w:r>
    </w:p>
    <w:p>
      <w:pPr>
        <w:spacing w:after="0" w:line="198" w:lineRule="exact"/>
        <w:rPr>
          <w:rFonts w:ascii="Arial" w:cs="Arial" w:eastAsia="Arial" w:hAnsi="Arial"/>
          <w:sz w:val="17"/>
          <w:szCs w:val="17"/>
          <w:color w:val="auto"/>
        </w:rPr>
      </w:pPr>
    </w:p>
    <w:p>
      <w:pPr>
        <w:ind w:left="1040" w:hanging="522"/>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receive and approve the Directors' reports for the Luxembourg Statutory Accounts;</w:t>
      </w:r>
    </w:p>
    <w:p>
      <w:pPr>
        <w:spacing w:after="0" w:line="242" w:lineRule="exact"/>
        <w:rPr>
          <w:rFonts w:ascii="Arial" w:cs="Arial" w:eastAsia="Arial" w:hAnsi="Arial"/>
          <w:sz w:val="17"/>
          <w:szCs w:val="17"/>
          <w:color w:val="auto"/>
        </w:rPr>
      </w:pPr>
    </w:p>
    <w:p>
      <w:pPr>
        <w:ind w:left="1040" w:hanging="522"/>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allocate the profits in the Luxembourg Annual Accounts for the year ended December 31, 2014;</w:t>
      </w:r>
    </w:p>
    <w:p>
      <w:pPr>
        <w:spacing w:after="0" w:line="229" w:lineRule="exact"/>
        <w:rPr>
          <w:rFonts w:ascii="Arial" w:cs="Arial" w:eastAsia="Arial" w:hAnsi="Arial"/>
          <w:sz w:val="17"/>
          <w:szCs w:val="17"/>
          <w:color w:val="auto"/>
        </w:rPr>
      </w:pPr>
    </w:p>
    <w:p>
      <w:pPr>
        <w:ind w:left="1040" w:right="380" w:hanging="522"/>
        <w:spacing w:after="0" w:line="274"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discharge each of the current and past Directors of Altisource Portfolio Solutions S.A. for the performance of their mandate during the year ended December 31, 2014;</w:t>
      </w:r>
    </w:p>
    <w:p>
      <w:pPr>
        <w:spacing w:after="0" w:line="184" w:lineRule="exact"/>
        <w:rPr>
          <w:rFonts w:ascii="Arial" w:cs="Arial" w:eastAsia="Arial" w:hAnsi="Arial"/>
          <w:sz w:val="17"/>
          <w:szCs w:val="17"/>
          <w:color w:val="auto"/>
        </w:rPr>
      </w:pPr>
    </w:p>
    <w:p>
      <w:pPr>
        <w:ind w:left="1040" w:hanging="522"/>
        <w:spacing w:after="0"/>
        <w:tabs>
          <w:tab w:leader="none" w:pos="10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ratify non-management Directors' compensation for the 2014 to 2015 service year and approve changes to non-management Directors' compensation;</w:t>
      </w:r>
    </w:p>
    <w:p>
      <w:pPr>
        <w:spacing w:after="0" w:line="265" w:lineRule="exact"/>
        <w:rPr>
          <w:rFonts w:ascii="Arial" w:cs="Arial" w:eastAsia="Arial" w:hAnsi="Arial"/>
          <w:sz w:val="15"/>
          <w:szCs w:val="15"/>
          <w:color w:val="auto"/>
        </w:rPr>
      </w:pPr>
    </w:p>
    <w:p>
      <w:pPr>
        <w:jc w:val="both"/>
        <w:ind w:left="1040" w:right="180" w:hanging="522"/>
        <w:spacing w:after="0" w:line="287"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approve a share repurchase program whereby Altisource Portfolio Solutions S.A. is authorized, for a period of five years, to repurchase up to fifteen percent (15%) of the outstanding shares of its common stock (as of the close of business on the date of shareholder approval) at a minimum price of one dollar ($1.00) per share and a maximum price of five hundred dollars ($500.00) per share; and</w:t>
      </w:r>
    </w:p>
    <w:p>
      <w:pPr>
        <w:spacing w:after="0" w:line="176" w:lineRule="exact"/>
        <w:rPr>
          <w:rFonts w:ascii="Arial" w:cs="Arial" w:eastAsia="Arial" w:hAnsi="Arial"/>
          <w:sz w:val="16"/>
          <w:szCs w:val="16"/>
          <w:color w:val="auto"/>
        </w:rPr>
      </w:pPr>
    </w:p>
    <w:p>
      <w:pPr>
        <w:ind w:left="1040" w:hanging="522"/>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and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auto"/>
        </w:rPr>
        <w:t>PROCEDURES</w:t>
      </w:r>
    </w:p>
    <w:p>
      <w:pPr>
        <w:spacing w:after="0" w:line="233" w:lineRule="exact"/>
        <w:rPr>
          <w:sz w:val="20"/>
          <w:szCs w:val="20"/>
          <w:color w:val="auto"/>
        </w:rPr>
      </w:pPr>
    </w:p>
    <w:p>
      <w:pPr>
        <w:ind w:left="1040" w:right="320" w:hanging="522"/>
        <w:spacing w:after="0" w:line="274"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Board of Directors has fixed March 23, 2015 as the record date for the determination of shareholders entitled to notice of the Annual Meeting of Shareholders.</w:t>
      </w:r>
    </w:p>
    <w:p>
      <w:pPr>
        <w:spacing w:after="0" w:line="197" w:lineRule="exact"/>
        <w:rPr>
          <w:rFonts w:ascii="Arial" w:cs="Arial" w:eastAsia="Arial" w:hAnsi="Arial"/>
          <w:sz w:val="17"/>
          <w:szCs w:val="17"/>
          <w:color w:val="auto"/>
        </w:rPr>
      </w:pPr>
    </w:p>
    <w:p>
      <w:pPr>
        <w:ind w:left="1040" w:right="460" w:hanging="522"/>
        <w:spacing w:after="0" w:line="343" w:lineRule="auto"/>
        <w:tabs>
          <w:tab w:leader="none" w:pos="10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Only shareholders of record at the close of business on that date, or holders of our common stock through a clearing agency as of midnight Central European Time on May 6, 2015, the fourteenth day prior to the meeting date will be entitled to vote at the Annual Meeting of Shareholders.</w:t>
      </w:r>
    </w:p>
    <w:p>
      <w:pPr>
        <w:spacing w:after="0" w:line="137" w:lineRule="exact"/>
        <w:rPr>
          <w:rFonts w:ascii="Arial" w:cs="Arial" w:eastAsia="Arial" w:hAnsi="Arial"/>
          <w:sz w:val="15"/>
          <w:szCs w:val="15"/>
          <w:color w:val="auto"/>
        </w:rPr>
      </w:pPr>
    </w:p>
    <w:p>
      <w:pPr>
        <w:ind w:left="1040" w:right="20" w:hanging="522"/>
        <w:spacing w:after="0" w:line="25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proxy statement for our 2015 Annual Meeting of Shareholders and our annual report to shareholders on Form 10-K for the year ended December 31, 2014 are available on our website under Investor Relations-Financial Information at </w:t>
      </w:r>
      <w:r>
        <w:rPr>
          <w:rFonts w:ascii="Arial" w:cs="Arial" w:eastAsia="Arial" w:hAnsi="Arial"/>
          <w:sz w:val="17"/>
          <w:szCs w:val="17"/>
          <w:u w:val="single" w:color="auto"/>
          <w:color w:val="auto"/>
        </w:rPr>
        <w:t>http://ir.altisource.com/financials.cfm</w:t>
      </w:r>
      <w:r>
        <w:rPr>
          <w:rFonts w:ascii="Arial" w:cs="Arial" w:eastAsia="Arial" w:hAnsi="Arial"/>
          <w:sz w:val="17"/>
          <w:szCs w:val="17"/>
          <w:color w:val="auto"/>
        </w:rPr>
        <w:t xml:space="preserve">. Additionally, and in accordance with Securities and Exchange Commission ("SEC") rules, you may access our proxy statement at </w:t>
      </w:r>
      <w:r>
        <w:rPr>
          <w:rFonts w:ascii="Arial" w:cs="Arial" w:eastAsia="Arial" w:hAnsi="Arial"/>
          <w:sz w:val="17"/>
          <w:szCs w:val="17"/>
          <w:u w:val="single" w:color="auto"/>
          <w:color w:val="auto"/>
        </w:rPr>
        <w:t>http://www.proxyvote.com</w:t>
      </w:r>
      <w:r>
        <w:rPr>
          <w:rFonts w:ascii="Arial" w:cs="Arial" w:eastAsia="Arial" w:hAnsi="Arial"/>
          <w:sz w:val="17"/>
          <w:szCs w:val="17"/>
          <w:color w:val="auto"/>
        </w:rPr>
        <w:t>, a website that does not identify or track visitors of the site, by entering the Control Number found on your Beneficial Notice Card or on your proxy card in the space provided.</w:t>
      </w:r>
    </w:p>
    <w:p>
      <w:pPr>
        <w:spacing w:after="0" w:line="198" w:lineRule="exact"/>
        <w:rPr>
          <w:rFonts w:ascii="Arial" w:cs="Arial" w:eastAsia="Arial" w:hAnsi="Arial"/>
          <w:sz w:val="17"/>
          <w:szCs w:val="17"/>
          <w:color w:val="auto"/>
        </w:rPr>
      </w:pPr>
    </w:p>
    <w:p>
      <w:pPr>
        <w:ind w:left="1040" w:hanging="522"/>
        <w:spacing w:after="0" w:line="263"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Luxembourg Statutory Accounts, the Directors' reports for the Luxembourg Statutory Accounts and the statutory auditor's report on the Consolidated Accounts will be available for inspection from April 20, 2015 until the conclusion of the Annual Meeting of Shareholders at Altisource Portfolio Solutions S.A.'s registered office.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946275" cy="441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6275"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Kevin J. Wilcox</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April [</w:t>
      </w:r>
      <w:r>
        <w:rPr>
          <w:sz w:val="20"/>
          <w:szCs w:val="20"/>
          <w:color w:val="auto"/>
        </w:rPr>
        <w:tab/>
      </w:r>
      <w:r>
        <w:rPr>
          <w:rFonts w:ascii="Arial" w:cs="Arial" w:eastAsia="Arial" w:hAnsi="Arial"/>
          <w:sz w:val="15"/>
          <w:szCs w:val="15"/>
          <w:color w:val="auto"/>
        </w:rPr>
        <w:t>], 2015</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ALTISOURCE PORTFOLIO SOLUTIONS S.A.</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PROXY STATEMENT</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ANNUAL MEETING OF 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w:t>
      </w:r>
    </w:p>
    <w:p>
      <w:pPr>
        <w:spacing w:after="0" w:line="221"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We have made this proxy statement available to you on or about April [ ], 2015 as a holder of common stock of Altisource Portfolio Solutions S.A. ("Altisource" or the "Company") because our Board of Directors is soliciting your proxy to be used at our Annual Meeting of Shareholders and at any adjournment or postponement thereof. The Annual Meeting of Shareholders will be held at our registered office located at 40, avenue Monterey, L-2163 Luxembourg City, Grand Duchy of Luxembourg on Wednesday, May 20, 2015, at 9:00 a.m., Central European Time for the purposes listed in the Notice of Annual Meeting of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 Proxy Works</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If you properly complete, sign and return your proxy to Altisource and do not revoke it prior to its use, it will be voted in accordance with your instructions. Other than as discussed below with respect to broker "non-votes," if no contrary instructions are given, each proxy received will be voted for each of the nominees for Director; for approval of the appointment of Deloitte &amp; Touche LLP to be our independent registered certified public accounting firm for the year ending December 31, 2015 and Deloitte Audit S.à r.l. to be our certified auditor for all statutory accounts as required by Luxembourg law for the same period; for approval of Altisource Portfolio Solutions S.A.'s annual accounts prepared in accordance with Luxembourg GAAP for the year ended December 31, 2014 and its consolidated financial statements prepared in accordance with U.S. GAAP including a footnote reconciliation of equity and net income to IFRS as of and for the year ended December 31, 2014; for receipt and approval of the Directors' reports for the Luxembourg Statutory Accounts; for allocation of the profits in the Luxembourg Annual Accounts for the year ended December 31, 2014; for approval of the discharge of each of the current and past Directors of Altisource Portfolio Solutions S.A. for the performance of their mandate during the year ended December 31, 2014; for ratification of non-management Directors' compensation for the 2014 to 2015 service year and approval of changes to non-management Directors' compensation; for approval of a share repurchase program whereby Altisource Portfolio Solutions S.A. is authorized, for a period of five years, to repurchase up to fifteen percent (15%) of the outstanding shares of its common stock (as of the close of business on the date of shareholder approval) at a minimum price of one dollar ($1.00) per share and a maximum price of five hundred dollars ($500.00) per share; and with regard to any other business that properly comes before the meeting in accordance with the best judgment of the persons appointed as proxies.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Revoke a Proxy</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Your proxy may be used only at the Annual Meeting of Shareholders and any adjournment or postponement of this meeting and will not be used for any other meeting.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You have the power to revoke your proxy at any time before it is exercised by:</w:t>
      </w:r>
    </w:p>
    <w:p>
      <w:pPr>
        <w:spacing w:after="0" w:line="222" w:lineRule="exact"/>
        <w:rPr>
          <w:sz w:val="20"/>
          <w:szCs w:val="20"/>
          <w:color w:val="auto"/>
        </w:rPr>
      </w:pPr>
    </w:p>
    <w:p>
      <w:pPr>
        <w:ind w:left="1040" w:hanging="522"/>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filing written notice with our Corporate Secretary at the following address:</w:t>
      </w:r>
    </w:p>
    <w:p>
      <w:pPr>
        <w:spacing w:after="0" w:line="21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Kevin J. Wilcox, Corporate Secretary</w:t>
      </w:r>
    </w:p>
    <w:p>
      <w:pPr>
        <w:spacing w:after="0" w:line="1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Altisource Portfolio Solutions S.A.</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40, avenue Monterey</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L-2163 Luxembourg City</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Grand Duchy of Luxembourg</w:t>
      </w:r>
    </w:p>
    <w:p>
      <w:pPr>
        <w:spacing w:after="0" w:line="235" w:lineRule="exact"/>
        <w:rPr>
          <w:sz w:val="20"/>
          <w:szCs w:val="20"/>
          <w:color w:val="auto"/>
        </w:rPr>
      </w:pPr>
    </w:p>
    <w:p>
      <w:pPr>
        <w:ind w:left="1040" w:hanging="522"/>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submitting a properly executed proxy bearing a later date or</w:t>
      </w:r>
    </w:p>
    <w:p>
      <w:pPr>
        <w:spacing w:after="0" w:line="229" w:lineRule="exact"/>
        <w:rPr>
          <w:rFonts w:ascii="Arial" w:cs="Arial" w:eastAsia="Arial" w:hAnsi="Arial"/>
          <w:sz w:val="17"/>
          <w:szCs w:val="17"/>
          <w:color w:val="auto"/>
        </w:rPr>
      </w:pPr>
    </w:p>
    <w:p>
      <w:pPr>
        <w:ind w:left="5680" w:right="1860" w:hanging="5162"/>
        <w:spacing w:after="0" w:line="527" w:lineRule="auto"/>
        <w:tabs>
          <w:tab w:leader="none" w:pos="1041"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appearing at the Annual Meeting of Shareholders and giving the Corporate Secretary notice of your intention to vote in person.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Who May Vote</w:t>
      </w: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Under Luxembourg law, you are entitled to vote at the Annual Meeting of Shareholders, or any adjournment or postponement thereof, if you are a holder of record of our common stock on the meeting date or, if you hold our common stock through a clearing agency, you are a holder as of midnight Central European Time on the fourteenth day prior to the meeting date. For purposes of establishing those holders to whom proxies will be mailed, our Board of Directors has set a record date and time of the close of business on March 23, 2015. At the close of business on March 23, 2015, there were 20,132,326 shares of common stock issued, outstanding and able to be voted and no other class of equity securities outstanding. Each share of our common stock is entitled to one (1) vote at the Annual Meeting of Shareholders on all matters properly presented.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and Voting Information</w:t>
      </w:r>
    </w:p>
    <w:p>
      <w:pPr>
        <w:spacing w:after="0" w:line="222" w:lineRule="exact"/>
        <w:rPr>
          <w:sz w:val="20"/>
          <w:szCs w:val="20"/>
          <w:color w:val="auto"/>
        </w:rPr>
      </w:pPr>
    </w:p>
    <w:p>
      <w:pPr>
        <w:ind w:right="260"/>
        <w:spacing w:after="0" w:line="226" w:lineRule="auto"/>
        <w:rPr>
          <w:sz w:val="20"/>
          <w:szCs w:val="20"/>
          <w:color w:val="auto"/>
        </w:rPr>
      </w:pPr>
      <w:r>
        <w:rPr>
          <w:rFonts w:ascii="Arial" w:cs="Arial" w:eastAsia="Arial" w:hAnsi="Arial"/>
          <w:sz w:val="17"/>
          <w:szCs w:val="17"/>
          <w:color w:val="auto"/>
        </w:rPr>
        <w:t>The presence at the Annual Meeting of Shareholders of holders of thirty-three and one-third percent (33</w:t>
      </w:r>
      <w:r>
        <w:rPr>
          <w:rFonts w:ascii="Arial" w:cs="Arial" w:eastAsia="Arial" w:hAnsi="Arial"/>
          <w:sz w:val="27"/>
          <w:szCs w:val="27"/>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votes of our common stock entitled to be cast, represented in person or by proxy, will constitute a quorum for the transaction of business at the Annual Meeting of Shareholders. Abstentions and broker "non-votes" will be treated as present for purposes of a quorum.</w:t>
      </w:r>
    </w:p>
    <w:p>
      <w:pPr>
        <w:spacing w:after="0" w:line="201"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Assuming a quorum, the four (4) nominees for Director will be elected as Directors of Altisource at the Annual Meeting so long as the votes cast in favor of each such person exceed the votes cast to withhold authority for such person. You may vote in favor of or withhold authority to vote for one (1) or more nominees for Director. The following proposals will be approved if the votes cast in favor of the action exceed the votes cast opposing the action: the proposal to approve the appointment of Deloitte &amp; Touche LLP to be our independent registered certified public accounting firm for the year ending December 31, 2015 and Deloitte Audit S.à r.l. to be our certified auditor for all statutory accounts as required by Luxembourg law for the same period; the proposal to approve the Luxembourg Statutory Accounts; the proposal to receive and approve the Directors' reports for the Luxembourg Statutory Accounts; the proposal to allocate the profits in the Luxembourg Annual Accounts for the year ended December 31, 2014; the proposal to approve the discharge of each of the current and past Directors of Altisource Portfolio Solutions S.A. for the performance of their mandate during the year ended December 31, 2014; the proposal to ratify non-management Directors' compensation for the 2014 to 2015 service year and approve changes to non-management Directors' compensation; the proposal to approve a share repurchase program whereby Altisource Portfolio Solutions S.A. is authorized, for a period of five years, to repurchase up to fifteen percent (15%) of the outstanding shares of its common stock (as of the close of business on the date of shareholder approval) at a minimum price of one dollar ($1.00) per share and a maximum price of five hundred dollars ($500.00) per share; and any other matter properly submitted for your consideration at the Annual Meeting of Shareholders (other than the election of Directors).</w:t>
      </w:r>
    </w:p>
    <w:p>
      <w:pPr>
        <w:spacing w:after="0" w:line="16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Abstentions will not be counted in determining the votes cast in connection with the foregoing matters. Brokers may not vote on behalf of their clients in connection with the proposal regarding the election of Directors so any broker "non-votes" will not be counted in determining the votes cast in connection with this proposal. A broker "non-vote" occurs when a shareholder has not provided voting instructions to his or her broker on a non-routine item.</w:t>
      </w:r>
    </w:p>
    <w:p>
      <w:pPr>
        <w:spacing w:after="0" w:line="16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materials. Please contact your bank or brokerage firm for further information. If you are a shareholder of record, you will receive a proxy card that will tell you how to vote your shares via the Internet, telephone or mail.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ELECTION OF DIRECTORS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(Proposal One)</w:t>
      </w:r>
    </w:p>
    <w:p>
      <w:pPr>
        <w:spacing w:after="0" w:line="209"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Our Articles of Association provide that our Board of Directors shall consist of no less than three (3) and no more than seven (7) members with the exact number to be decided by our Board of Directors.</w:t>
      </w:r>
    </w:p>
    <w:p>
      <w:pPr>
        <w:spacing w:after="0" w:line="17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We are proposing the four (4) nominees listed below for election as Directors at the Annual Meeting of Shareholders for a one (1) year term and/or until their successors are elected and qualified.</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All nominees currently serve as our Directors. There are no arrangements or understandings between any nominee and any other person for selection as a nominee.</w:t>
      </w:r>
    </w:p>
    <w:p>
      <w:pPr>
        <w:spacing w:after="0" w:line="240"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If any nominee is unable or unwilling to stand for election at the time of the Annual Meeting of Shareholders, the person or persons appointed as proxies may nominate and vote for a replacement nominee or nominees recommended by our Board of Directors. At this time, our Board of Directors knows of no reason why any of the nominees would not be able or willing to serve as Director if elected.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concerning our nominees for Director:</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Nomination/</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1"/>
              </w:rPr>
              <w:t>Age</w:t>
            </w:r>
            <w:r>
              <w:rPr>
                <w:rFonts w:ascii="Arial" w:cs="Arial" w:eastAsia="Arial" w:hAnsi="Arial"/>
                <w:sz w:val="27"/>
                <w:szCs w:val="27"/>
                <w:b w:val="1"/>
                <w:bCs w:val="1"/>
                <w:color w:val="auto"/>
                <w:w w:val="81"/>
                <w:vertAlign w:val="superscript"/>
              </w:rPr>
              <w:t>(1)</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w w:val="91"/>
              </w:rPr>
              <w:t>Director</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88"/>
              </w:rPr>
              <w:t>Executive</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1"/>
              </w:rPr>
              <w:t>Audit</w:t>
            </w:r>
          </w:p>
        </w:tc>
        <w:tc>
          <w:tcPr>
            <w:tcW w:w="1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9"/>
              </w:rPr>
              <w:t>Compliance</w:t>
            </w:r>
          </w:p>
        </w:tc>
        <w:tc>
          <w:tcPr>
            <w:tcW w:w="1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Governance</w:t>
            </w:r>
          </w:p>
        </w:tc>
        <w:tc>
          <w:tcPr>
            <w:tcW w:w="0" w:type="dxa"/>
            <w:vAlign w:val="bottom"/>
          </w:tcPr>
          <w:p>
            <w:pPr>
              <w:spacing w:after="0"/>
              <w:rPr>
                <w:sz w:val="1"/>
                <w:szCs w:val="1"/>
                <w:color w:val="auto"/>
              </w:rPr>
            </w:pPr>
          </w:p>
        </w:tc>
      </w:tr>
      <w:tr>
        <w:trPr>
          <w:trHeight w:val="219"/>
        </w:trPr>
        <w:tc>
          <w:tcPr>
            <w:tcW w:w="80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4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b w:val="1"/>
                <w:bCs w:val="1"/>
                <w:color w:val="auto"/>
              </w:rPr>
              <w:t>Since</w:t>
            </w:r>
          </w:p>
        </w:tc>
        <w:tc>
          <w:tcPr>
            <w:tcW w:w="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4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Committee</w:t>
            </w:r>
          </w:p>
        </w:tc>
        <w:tc>
          <w:tcPr>
            <w:tcW w:w="0" w:type="dxa"/>
            <w:vAlign w:val="bottom"/>
          </w:tcPr>
          <w:p>
            <w:pPr>
              <w:spacing w:after="0"/>
              <w:rPr>
                <w:sz w:val="1"/>
                <w:szCs w:val="1"/>
                <w:color w:val="auto"/>
              </w:rPr>
            </w:pPr>
          </w:p>
        </w:tc>
      </w:tr>
      <w:tr>
        <w:trPr>
          <w:trHeight w:val="238"/>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w w:val="94"/>
              </w:rPr>
              <w:t>Timo Vättö</w:t>
            </w:r>
          </w:p>
        </w:tc>
        <w:tc>
          <w:tcPr>
            <w:tcW w:w="400" w:type="dxa"/>
            <w:vAlign w:val="bottom"/>
            <w:tcBorders>
              <w:top w:val="single" w:sz="8" w:color="auto"/>
            </w:tcBorders>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60" w:type="dxa"/>
            <w:vAlign w:val="bottom"/>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2009</w:t>
            </w:r>
          </w:p>
        </w:tc>
        <w:tc>
          <w:tcPr>
            <w:tcW w:w="14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ind w:left="320"/>
              <w:spacing w:after="0" w:line="237"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2"/>
                <w:szCs w:val="12"/>
                <w:color w:val="auto"/>
              </w:rPr>
              <w:t>(2)</w:t>
            </w:r>
          </w:p>
        </w:tc>
        <w:tc>
          <w:tcPr>
            <w:tcW w:w="14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ind w:left="420"/>
              <w:spacing w:after="0" w:line="237"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2"/>
                <w:szCs w:val="12"/>
                <w:color w:val="auto"/>
              </w:rPr>
              <w:t>(3)</w:t>
            </w:r>
          </w:p>
        </w:tc>
        <w:tc>
          <w:tcPr>
            <w:tcW w:w="16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X</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560" w:type="dxa"/>
            <w:vAlign w:val="bottom"/>
            <w:gridSpan w:val="3"/>
          </w:tcPr>
          <w:p>
            <w:pPr>
              <w:spacing w:after="0"/>
              <w:rPr>
                <w:sz w:val="20"/>
                <w:szCs w:val="20"/>
                <w:color w:val="auto"/>
              </w:rPr>
            </w:pPr>
            <w:r>
              <w:rPr>
                <w:rFonts w:ascii="Arial" w:cs="Arial" w:eastAsia="Arial" w:hAnsi="Arial"/>
                <w:sz w:val="17"/>
                <w:szCs w:val="17"/>
                <w:color w:val="auto"/>
              </w:rPr>
              <w:t>William B. Shepro</w:t>
            </w: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820" w:type="dxa"/>
            <w:vAlign w:val="bottom"/>
            <w:gridSpan w:val="2"/>
          </w:tcPr>
          <w:p>
            <w:pPr>
              <w:jc w:val="right"/>
              <w:ind w:right="56"/>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7"/>
                <w:szCs w:val="17"/>
                <w:color w:val="auto"/>
              </w:rPr>
            </w:pPr>
          </w:p>
        </w:tc>
        <w:tc>
          <w:tcPr>
            <w:tcW w:w="840" w:type="dxa"/>
            <w:vAlign w:val="bottom"/>
          </w:tcPr>
          <w:p>
            <w:pPr>
              <w:ind w:left="340"/>
              <w:spacing w:after="0"/>
              <w:rPr>
                <w:sz w:val="20"/>
                <w:szCs w:val="20"/>
                <w:color w:val="auto"/>
              </w:rPr>
            </w:pPr>
            <w:r>
              <w:rPr>
                <w:rFonts w:ascii="Arial" w:cs="Arial" w:eastAsia="Arial" w:hAnsi="Arial"/>
                <w:sz w:val="17"/>
                <w:szCs w:val="17"/>
                <w:color w:val="auto"/>
              </w:rPr>
              <w:t>X</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Roland Müller-Ineichen</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c>
          <w:tcPr>
            <w:tcW w:w="82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2009</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ind w:left="320"/>
              <w:spacing w:after="0" w:line="245"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(3)</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X</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37"/>
        </w:trPr>
        <w:tc>
          <w:tcPr>
            <w:tcW w:w="2560" w:type="dxa"/>
            <w:vAlign w:val="bottom"/>
            <w:gridSpan w:val="3"/>
          </w:tcPr>
          <w:p>
            <w:pPr>
              <w:spacing w:after="0"/>
              <w:rPr>
                <w:sz w:val="20"/>
                <w:szCs w:val="20"/>
                <w:color w:val="auto"/>
              </w:rPr>
            </w:pPr>
            <w:r>
              <w:rPr>
                <w:rFonts w:ascii="Arial" w:cs="Arial" w:eastAsia="Arial" w:hAnsi="Arial"/>
                <w:sz w:val="17"/>
                <w:szCs w:val="17"/>
                <w:color w:val="auto"/>
              </w:rPr>
              <w:t>W. Michael Linn</w:t>
            </w: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820" w:type="dxa"/>
            <w:vAlign w:val="bottom"/>
            <w:gridSpan w:val="2"/>
          </w:tcPr>
          <w:p>
            <w:pPr>
              <w:jc w:val="right"/>
              <w:ind w:right="56"/>
              <w:spacing w:after="0"/>
              <w:rPr>
                <w:sz w:val="20"/>
                <w:szCs w:val="20"/>
                <w:color w:val="auto"/>
              </w:rPr>
            </w:pPr>
            <w:r>
              <w:rPr>
                <w:rFonts w:ascii="Arial" w:cs="Arial" w:eastAsia="Arial" w:hAnsi="Arial"/>
                <w:sz w:val="17"/>
                <w:szCs w:val="17"/>
                <w:color w:val="auto"/>
              </w:rPr>
              <w:t>2011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7"/>
                <w:szCs w:val="17"/>
                <w:color w:val="auto"/>
              </w:rPr>
              <w:t>X</w:t>
            </w:r>
          </w:p>
        </w:tc>
        <w:tc>
          <w:tcPr>
            <w:tcW w:w="140" w:type="dxa"/>
            <w:vAlign w:val="bottom"/>
          </w:tcPr>
          <w:p>
            <w:pPr>
              <w:spacing w:after="0"/>
              <w:rPr>
                <w:sz w:val="24"/>
                <w:szCs w:val="24"/>
                <w:color w:val="auto"/>
              </w:rPr>
            </w:pPr>
          </w:p>
        </w:tc>
        <w:tc>
          <w:tcPr>
            <w:tcW w:w="1040" w:type="dxa"/>
            <w:vAlign w:val="bottom"/>
          </w:tcPr>
          <w:p>
            <w:pPr>
              <w:ind w:left="440"/>
              <w:spacing w:after="0"/>
              <w:rPr>
                <w:sz w:val="20"/>
                <w:szCs w:val="20"/>
                <w:color w:val="auto"/>
              </w:rPr>
            </w:pPr>
            <w:r>
              <w:rPr>
                <w:rFonts w:ascii="Arial" w:cs="Arial" w:eastAsia="Arial" w:hAnsi="Arial"/>
                <w:sz w:val="17"/>
                <w:szCs w:val="17"/>
                <w:color w:val="auto"/>
              </w:rPr>
              <w:t>X</w:t>
            </w:r>
          </w:p>
        </w:tc>
        <w:tc>
          <w:tcPr>
            <w:tcW w:w="16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33"/>
                <w:szCs w:val="33"/>
                <w:color w:val="auto"/>
                <w:vertAlign w:val="subscript"/>
              </w:rPr>
              <w:t>X</w:t>
            </w:r>
            <w:r>
              <w:rPr>
                <w:rFonts w:ascii="Arial" w:cs="Arial" w:eastAsia="Arial" w:hAnsi="Arial"/>
                <w:sz w:val="14"/>
                <w:szCs w:val="14"/>
                <w:color w:val="auto"/>
              </w:rPr>
              <w:t>(3)</w:t>
            </w:r>
          </w:p>
        </w:tc>
        <w:tc>
          <w:tcPr>
            <w:tcW w:w="140" w:type="dxa"/>
            <w:vAlign w:val="bottom"/>
          </w:tcPr>
          <w:p>
            <w:pPr>
              <w:spacing w:after="0"/>
              <w:rPr>
                <w:sz w:val="24"/>
                <w:szCs w:val="24"/>
                <w:color w:val="auto"/>
              </w:rPr>
            </w:pPr>
          </w:p>
        </w:tc>
        <w:tc>
          <w:tcPr>
            <w:tcW w:w="1080" w:type="dxa"/>
            <w:vAlign w:val="bottom"/>
            <w:gridSpan w:val="2"/>
          </w:tcPr>
          <w:p>
            <w:pPr>
              <w:ind w:left="360"/>
              <w:spacing w:after="0"/>
              <w:rPr>
                <w:sz w:val="20"/>
                <w:szCs w:val="20"/>
                <w:color w:val="auto"/>
              </w:rPr>
            </w:pPr>
            <w:r>
              <w:rPr>
                <w:rFonts w:ascii="Arial" w:cs="Arial" w:eastAsia="Arial" w:hAnsi="Arial"/>
                <w:sz w:val="33"/>
                <w:szCs w:val="33"/>
                <w:color w:val="auto"/>
                <w:vertAlign w:val="subscript"/>
              </w:rPr>
              <w:t>X</w:t>
            </w: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ind w:left="1660" w:hanging="515"/>
        <w:spacing w:after="0" w:line="182" w:lineRule="auto"/>
        <w:tabs>
          <w:tab w:leader="none" w:pos="1660"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As of March 23, 2015</w:t>
      </w:r>
    </w:p>
    <w:p>
      <w:pPr>
        <w:spacing w:after="0" w:line="20" w:lineRule="exact"/>
        <w:rPr>
          <w:rFonts w:ascii="Arial" w:cs="Arial" w:eastAsia="Arial" w:hAnsi="Arial"/>
          <w:sz w:val="25"/>
          <w:szCs w:val="25"/>
          <w:color w:val="auto"/>
          <w:vertAlign w:val="superscript"/>
        </w:rPr>
      </w:pPr>
    </w:p>
    <w:p>
      <w:pPr>
        <w:ind w:left="1660" w:hanging="515"/>
        <w:spacing w:after="0" w:line="188" w:lineRule="auto"/>
        <w:tabs>
          <w:tab w:leader="none" w:pos="166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Mr. Vättö was appointed Chairman of the Executive Committee in February 2015</w:t>
      </w:r>
    </w:p>
    <w:p>
      <w:pPr>
        <w:spacing w:after="0" w:line="7" w:lineRule="exact"/>
        <w:rPr>
          <w:rFonts w:ascii="Arial" w:cs="Arial" w:eastAsia="Arial" w:hAnsi="Arial"/>
          <w:sz w:val="22"/>
          <w:szCs w:val="22"/>
          <w:color w:val="auto"/>
          <w:vertAlign w:val="superscript"/>
        </w:rPr>
      </w:pPr>
    </w:p>
    <w:p>
      <w:pPr>
        <w:ind w:left="1660" w:hanging="515"/>
        <w:spacing w:after="0" w:line="188" w:lineRule="auto"/>
        <w:tabs>
          <w:tab w:leader="none" w:pos="166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Committee Chairperson for 2014</w:t>
      </w:r>
    </w:p>
    <w:p>
      <w:pPr>
        <w:spacing w:after="0" w:line="7" w:lineRule="exact"/>
        <w:rPr>
          <w:rFonts w:ascii="Arial" w:cs="Arial" w:eastAsia="Arial" w:hAnsi="Arial"/>
          <w:sz w:val="22"/>
          <w:szCs w:val="22"/>
          <w:color w:val="auto"/>
          <w:vertAlign w:val="superscript"/>
        </w:rPr>
      </w:pPr>
    </w:p>
    <w:p>
      <w:pPr>
        <w:ind w:left="1660" w:hanging="515"/>
        <w:spacing w:after="0" w:line="188" w:lineRule="auto"/>
        <w:tabs>
          <w:tab w:leader="none" w:pos="166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Mr. Linn was appointed Chairman of the Nomination/Governance Committee in May 2014</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 for the last five (5) years and additional biographical information of each Director of Altisource is set forth below.</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All of our Directors bring to Altisource's Board of Directors a wealth of executive leadership experience derived from their service as executives of large corporations.</w:t>
      </w:r>
    </w:p>
    <w:p>
      <w:pPr>
        <w:spacing w:after="0" w:line="240" w:lineRule="exact"/>
        <w:rPr>
          <w:sz w:val="20"/>
          <w:szCs w:val="20"/>
          <w:color w:val="auto"/>
        </w:rPr>
      </w:pPr>
    </w:p>
    <w:p>
      <w:pPr>
        <w:spacing w:after="0" w:line="294" w:lineRule="auto"/>
        <w:rPr>
          <w:sz w:val="20"/>
          <w:szCs w:val="20"/>
          <w:color w:val="auto"/>
        </w:rPr>
      </w:pPr>
      <w:r>
        <w:rPr>
          <w:rFonts w:ascii="Arial" w:cs="Arial" w:eastAsia="Arial" w:hAnsi="Arial"/>
          <w:sz w:val="15"/>
          <w:szCs w:val="15"/>
          <w:b w:val="1"/>
          <w:bCs w:val="1"/>
          <w:i w:val="1"/>
          <w:iCs w:val="1"/>
          <w:color w:val="auto"/>
        </w:rPr>
        <w:t xml:space="preserve">Timo Vättö. </w:t>
      </w:r>
      <w:r>
        <w:rPr>
          <w:rFonts w:ascii="Arial" w:cs="Arial" w:eastAsia="Arial" w:hAnsi="Arial"/>
          <w:sz w:val="15"/>
          <w:szCs w:val="15"/>
          <w:color w:val="auto"/>
        </w:rPr>
        <w:t>Mr. Vättö was appointed to the Board of Directors of Altisource in August 2009, as Lead Independent Director in May 2014 and as Chairman of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Directors in January 2015. He is the founder and owner of Cundo Management AG, a provider of independent corporate advisory services to corporations, institutional investors and private families, which was founded in November 2008. Mr. Vättö serves as Chairman of the Board of Directors of Evalueserve, a privately held global specialist in knowledge processes, which provides research and analytics services for leading-edge companies worldwide, and as Chairman of the Board of Directors of KYC Exchange Net AG, a privately held company that provides the financial services industry with a secure platform for Know Your Customer and Customer Due Diligence purposes. He also serves on the Board of Directors of IHAG Holding AG, an independent, family-owned group of companies that holds a diversified portfolio of majority and minority shareholdings in a variety of sectors. Previously, Mr. Vättö was employed by Citigroup in Switzerland and the U.S. for almost twenty years in senior client coverage and business head roles within Corporate and Investment Banking, most recently as Head of Swiss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7"/>
          <w:szCs w:val="17"/>
          <w:color w:val="auto"/>
        </w:rPr>
        <w:t>Investment Banking. In addition, from 2004 to 2009, Mr. Vättö served as a member of the Board of Directors, including as a member of the Audit Committee, of Citibank (Switzerland) AG, part of Citigroup's Wealth Management Business. Mr. Vättö holds a Master of Science, Economics and Business Administration from the University of Tampere (Finland).</w:t>
      </w:r>
    </w:p>
    <w:p>
      <w:pPr>
        <w:spacing w:after="0" w:line="182" w:lineRule="exact"/>
        <w:rPr>
          <w:sz w:val="20"/>
          <w:szCs w:val="20"/>
          <w:color w:val="auto"/>
        </w:rPr>
      </w:pPr>
    </w:p>
    <w:p>
      <w:pPr>
        <w:ind w:right="720"/>
        <w:spacing w:after="0" w:line="343" w:lineRule="auto"/>
        <w:rPr>
          <w:sz w:val="20"/>
          <w:szCs w:val="20"/>
          <w:color w:val="auto"/>
        </w:rPr>
      </w:pPr>
      <w:r>
        <w:rPr>
          <w:rFonts w:ascii="Arial" w:cs="Arial" w:eastAsia="Arial" w:hAnsi="Arial"/>
          <w:sz w:val="15"/>
          <w:szCs w:val="15"/>
          <w:color w:val="auto"/>
        </w:rPr>
        <w:t>Mr. Vättö's experience with Cundo Management AG and Citigroup makes him financially literate and qualifies him as a financial expert as required pursuant to NASDAQ listing standards and SEC rules, and his knowledge of the financial services industry provides the Board of Directors with subject matter expertise.</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i w:val="1"/>
          <w:iCs w:val="1"/>
          <w:color w:val="auto"/>
        </w:rPr>
        <w:t xml:space="preserve">William B. Shepro. </w:t>
      </w:r>
      <w:r>
        <w:rPr>
          <w:rFonts w:ascii="Arial" w:cs="Arial" w:eastAsia="Arial" w:hAnsi="Arial"/>
          <w:sz w:val="17"/>
          <w:szCs w:val="17"/>
          <w:color w:val="auto"/>
        </w:rPr>
        <w:t>Mr. Shepro was appointed Chief Executive Officer and to the Board of Directors of Altisource in July 2009. Mr. Shepro previously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serves on the Boards of Altisource and certain subsidiaries. He holds a Bachelor of Science in Business from Skidmore College and a Juris Doctorate from the Florida State University College of Law.</w:t>
      </w:r>
    </w:p>
    <w:p>
      <w:pPr>
        <w:spacing w:after="0" w:line="18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182"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b w:val="1"/>
          <w:bCs w:val="1"/>
          <w:i w:val="1"/>
          <w:iCs w:val="1"/>
          <w:color w:val="auto"/>
        </w:rPr>
        <w:t xml:space="preserve">Roland Müller-Ineichen. </w:t>
      </w:r>
      <w:r>
        <w:rPr>
          <w:rFonts w:ascii="Arial" w:cs="Arial" w:eastAsia="Arial" w:hAnsi="Arial"/>
          <w:sz w:val="15"/>
          <w:szCs w:val="15"/>
          <w:color w:val="auto"/>
        </w:rPr>
        <w:t>Mr. Müller-Ineichen was appointed to the Board of Directors of Altisource in July 2009. He also serves on the Board of Directors of Bank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Sberbank (Switzerland) Ltd, based in Zurich, Switzerland, a subsidiary of Sberbank Russia, offering trade finance and corporate banking services.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 and SEC rules.</w:t>
      </w:r>
    </w:p>
    <w:p>
      <w:pPr>
        <w:spacing w:after="0" w:line="18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b w:val="1"/>
          <w:bCs w:val="1"/>
          <w:i w:val="1"/>
          <w:iCs w:val="1"/>
          <w:color w:val="auto"/>
        </w:rPr>
        <w:t xml:space="preserve">W. Michael Linn. </w:t>
      </w:r>
      <w:r>
        <w:rPr>
          <w:rFonts w:ascii="Arial" w:cs="Arial" w:eastAsia="Arial" w:hAnsi="Arial"/>
          <w:sz w:val="17"/>
          <w:szCs w:val="17"/>
          <w:color w:val="auto"/>
        </w:rPr>
        <w:t>Mr. Linn was appointed to the Board of Directors of Altisource in May 2011. Mr. Linn also serves as Chairman of Panua Partners in Hope,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charitable organization dedicated to demonstrating a cost effective methodology for eliminating multigenerational poverty. In addition, Mr. Linn is a private investor in energy-related industries. Mr. Linn previously served as President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line="276" w:lineRule="auto"/>
        <w:rPr>
          <w:sz w:val="20"/>
          <w:szCs w:val="20"/>
          <w:color w:val="auto"/>
        </w:rPr>
      </w:pPr>
      <w:r>
        <w:rPr>
          <w:rFonts w:ascii="Arial" w:cs="Arial" w:eastAsia="Arial" w:hAnsi="Arial"/>
          <w:sz w:val="16"/>
          <w:szCs w:val="16"/>
          <w:color w:val="auto"/>
        </w:rPr>
        <w:t>Chief Executive Officer of Greensleeves, LLC from January 2010 to April 2014. He also served on the Board of Directors of National Lime and Stone from 1994 through 2012. Mr. Linn served on the Board of Directors of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73" w:lineRule="exact"/>
        <w:rPr>
          <w:sz w:val="20"/>
          <w:szCs w:val="20"/>
          <w:color w:val="auto"/>
        </w:rPr>
      </w:pPr>
    </w:p>
    <w:p>
      <w:pPr>
        <w:jc w:val="both"/>
        <w:ind w:right="260"/>
        <w:spacing w:after="0" w:line="263" w:lineRule="auto"/>
        <w:rPr>
          <w:sz w:val="20"/>
          <w:szCs w:val="20"/>
          <w:color w:val="auto"/>
        </w:rPr>
      </w:pPr>
      <w:r>
        <w:rPr>
          <w:rFonts w:ascii="Arial" w:cs="Arial" w:eastAsia="Arial" w:hAnsi="Arial"/>
          <w:sz w:val="17"/>
          <w:szCs w:val="17"/>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required by NASDAQ listing standards and SEC rules.</w:t>
      </w:r>
    </w:p>
    <w:p>
      <w:pPr>
        <w:spacing w:after="0" w:line="384"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THAT YOU VOTE "FOR" EACH OF THE NOMINEES FOR DIRECTOR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7"/>
          <w:szCs w:val="17"/>
          <w:b w:val="1"/>
          <w:bCs w:val="1"/>
          <w:color w:val="auto"/>
        </w:rPr>
        <w:t>BOARD OF DIRECTORS AND CORPORATE GOVERNANCE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the Board of Directors</w:t>
      </w:r>
    </w:p>
    <w:p>
      <w:pPr>
        <w:spacing w:after="0" w:line="2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Board of Directors plays an active role in overseeing management and representing the interests of the shareholders. Directors are expected to attend all meetings of the Board of Directors, the meetings of committees on which they serve and the Annual Meeting of Shareholders. Directors are also consulted for advice and counsel between formal meetings.</w:t>
      </w:r>
    </w:p>
    <w:p>
      <w:pPr>
        <w:spacing w:after="0" w:line="18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Our Board of Directors held ten (10) meetings and took action pursuant to unanimous written consent three (3) times in 2014. Each incumbent Director attended at least 75% of these meetings as well as the meetings held by all committees of our Board of Directors on which they served during the period. Although we do not have a formal policy regarding Director attendance at the Annual Meeting of Shareholders, our Directors are expected to attend. All of the incumbent members of our Board of Directors attended our 2014 Annual Meeting of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Independence of Directors</w:t>
      </w:r>
    </w:p>
    <w:p>
      <w:pPr>
        <w:spacing w:after="0" w:line="221"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Our Corporate Governance Guidelines provide that our Board of Directors must be comprised of a majority of Directors who qualify as independent Directors under NASDAQ listing standards and applicable law.</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Messrs. Linn, Müller-Ineichen and Vättö are independent Directors.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Sessions of Independent Directors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Independent Directors met in executive session of the Board of Directors without management four (4) times in 2014.</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 The Chief Executive Officer is responsible for our day-to-day operations and for formulating and executing our long-term strategies in collaboration with the Board of Directors. The Chairman of the Board leads the Board and oversees meetings of the Board of Directors and the delivery of information necessary for the Board's informed decision-making.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1"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Our Board of Directors has established an Audit Committee, a Compensation Committee, a Compliance Committee, a Nomination/Governance Committee and an Executive Committee. A brief description of these committees is provided below.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certified public accounting firm; reviews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advises our Board of Directors with respect to matters involving the accounting, auditing, financial reporting and internal control functions; monitors our compliance with laws and regulations applicable to our operations, including the evaluation of significant matters relating to the financial reporting process and our system of accounting, internal controls, auditing and federal securities law matters; reviews and approves transactions with related parties; reviews the scope and results of the annual audit conducted by the independent registered certified public accounting firm; and reviews the Company's internal audit plan and enterprise risk assessment on an ongoing basis.</w:t>
      </w:r>
    </w:p>
    <w:p>
      <w:pPr>
        <w:spacing w:after="0" w:line="18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The members of the Audit Committee for 2014 were Messrs. Müller-Ineichen,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Audit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Audit Committee in February 2015. The Committee met ten (10) times in 2014. The Committee met in executive session with both the Company's internal and external auditors five (5) times, solely with the Company's internal auditors two (2) times and solely with the Company's external auditors five (5) times in 2014.</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human resource and compensation matters relating to our executive officers. The Compensation Committee reviews with the Chief Executive Officer and the Chief Administration Officer (except as they relate to such executive officers) and subsequently approves all executive compensation plans, any executive severance or termination arrangements and any equity compensation plans that are not subject to shareholder approval. The Compensation Committee is also responsible for reviewing Director compensation and recommending changes, subject to the approval of our shareholders. The Compensation Committee also has the power to review our other compensation plans, including the goals and objectives thereof and to recommend changes to these plans to our Board of Directors. The Compensation Committee has the authority to administer awards under the 2009 Equity Incentive Plan.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The Compensation Committee may request that any of our Directors, officers, employees or other persons attend its meetings to provide advice, counsel or pertinent information as the Committee requests.</w:t>
      </w:r>
    </w:p>
    <w:p>
      <w:pPr>
        <w:spacing w:after="0" w:line="176"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Our Compensation Committee engaged its independent compensation consultant, Exequity LLP ("Exequity"), in the first quarter of 2014 to ensure that Altisource's peer group for any future compensation benchmarking study is comprised of the most appropriate benchmark companies. Additionally, in reviewing the compensation for our Chief Executive Officer, Chief Administration Officer, Chief Financial Officer and Board of Directors in 2014 and in 2015, our Compensation Committee conducted compensation benchmarking with the assistance of Exequity. Exequity reviewed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right="300"/>
        <w:spacing w:after="0" w:line="263" w:lineRule="auto"/>
        <w:rPr>
          <w:sz w:val="20"/>
          <w:szCs w:val="20"/>
          <w:color w:val="auto"/>
        </w:rPr>
      </w:pPr>
      <w:r>
        <w:rPr>
          <w:rFonts w:ascii="Arial" w:cs="Arial" w:eastAsia="Arial" w:hAnsi="Arial"/>
          <w:sz w:val="17"/>
          <w:szCs w:val="17"/>
          <w:color w:val="auto"/>
        </w:rPr>
        <w:t>the pay levels compared to pay levels among our peer companies, as analyzed by the Human Resources function with input from management, to help identify the competitive positioning of our pay practices. Please see "Role of Compensation Consultant" and "Setting Compensation Levels" in our Compensation Discussion and Analysis for further information.</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members of the Compensation Committee for 2014 were Messrs. Vättö, Linn and Müller-Ineichen, with Mr. Vättö serving as the Chairman. 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Our Compensation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Compensation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Compensation Committee in February 2015. The Committee met six (6) times and took action pursuant to unanimous written consent two (2) times in 2014.</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the Chief Administration Officer, who may be present at Compensation Committee meetings, except that such executive officers may not be present during any voting or deliberations on their compensation. These executives annually review the performance of each executive officer (other than the Chief Executive Officer and the Chief Administration Officer whose performance is reviewed by the Compensation Committee without the presence of such executives)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the Chief Administration Officer for development and execution.</w:t>
      </w:r>
    </w:p>
    <w:p>
      <w:pPr>
        <w:spacing w:after="0" w:line="17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member of the Compensation Committee was at any time during the 2014 fiscal year or at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time an officer or employee of the Company, and no member had any relationship with us requiring disclosure under Item 404 of SEC Regulation S-K. None of our named executive officers has served on the Board of Directors or compensation committee of any other entity that has or had one (1) or more named executive officers who served as a member of our Board of Directors or our Compensation Committee during the 2014 fiscal year.</w:t>
      </w:r>
    </w:p>
    <w:p>
      <w:pPr>
        <w:spacing w:after="0" w:line="16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i w:val="1"/>
          <w:iCs w:val="1"/>
          <w:color w:val="auto"/>
        </w:rPr>
        <w:t xml:space="preserve">Compliance Committee. </w:t>
      </w:r>
      <w:r>
        <w:rPr>
          <w:rFonts w:ascii="Arial" w:cs="Arial" w:eastAsia="Arial" w:hAnsi="Arial"/>
          <w:sz w:val="17"/>
          <w:szCs w:val="17"/>
          <w:color w:val="auto"/>
        </w:rPr>
        <w:t>The Compliance Committee of our Board of Directors establishes and oversees the compliance function for the Company and its subsidiaries,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its compliance management system, oversees the Company's compliance with applicable regulatory rules and requirements and performs such other duties as may be prescribed pursuant to its charter.</w:t>
      </w:r>
    </w:p>
    <w:p>
      <w:pPr>
        <w:spacing w:after="0" w:line="182"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The members of the Compliance Committee for 2014 were Messrs. Linn, Müller-Ineichen and Vättö, with Mr. Linn serving as the Chairman. Each member of the Compliance Committee is independent as defined by NASDAQ listing standards.</w:t>
      </w:r>
    </w:p>
    <w:p>
      <w:pPr>
        <w:spacing w:after="0" w:line="17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Our Compliance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Compliance Committee reviews and approves its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ind w:right="120"/>
        <w:spacing w:after="0" w:line="263" w:lineRule="auto"/>
        <w:rPr>
          <w:sz w:val="20"/>
          <w:szCs w:val="20"/>
          <w:color w:val="auto"/>
        </w:rPr>
      </w:pPr>
      <w:r>
        <w:rPr>
          <w:rFonts w:ascii="Arial" w:cs="Arial" w:eastAsia="Arial" w:hAnsi="Arial"/>
          <w:sz w:val="17"/>
          <w:szCs w:val="17"/>
          <w:color w:val="auto"/>
        </w:rPr>
        <w:t>charter. The Compliance Committee evaluates its performance under its charter and delivers a report to the Board setting forth the results of its evaluation, including an assessment of the adequacy of its charter and any recommendations for amendments. The charter was last reviewed by the Committee in February 2015. The Committee met four (4) times in 2014.</w:t>
      </w:r>
    </w:p>
    <w:p>
      <w:pPr>
        <w:spacing w:after="0" w:line="182"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i w:val="1"/>
          <w:iCs w:val="1"/>
          <w:color w:val="auto"/>
        </w:rPr>
        <w:t xml:space="preserve">Nomination/Governance Committee. </w:t>
      </w:r>
      <w:r>
        <w:rPr>
          <w:rFonts w:ascii="Arial" w:cs="Arial" w:eastAsia="Arial" w:hAnsi="Arial"/>
          <w:sz w:val="17"/>
          <w:szCs w:val="17"/>
          <w:color w:val="auto"/>
        </w:rPr>
        <w:t>The Nomination/Governance Committee of our Board of Directors makes recommendations to our Board of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w:t>
      </w:r>
    </w:p>
    <w:p>
      <w:pPr>
        <w:spacing w:after="0" w:line="183"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members of the Nomination/Governance Committee during 2014 were Messrs. William C. Erbey, Linn, Müller-Ineichen and Vättö, with Mr. Linn serving as the Chairman effective May 21, 2014. Mr. Erbey resigned as a member of the Nomination/Governance Committee effective May 21, 2014.</w:t>
      </w:r>
    </w:p>
    <w:p>
      <w:pPr>
        <w:spacing w:after="0" w:line="14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 xml:space="preserve">Our Nomination/Governance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On an annual basis, the Nomination/Governance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Nomination/Governance Committee in February 2015. The Committee met five (5) times in 2014.</w:t>
      </w:r>
    </w:p>
    <w:p>
      <w:pPr>
        <w:spacing w:after="0" w:line="186"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 as such factors as knowledge, experience, skills, expertise, diversity and the interplay of the candidate's experience with the background of other members of our Board of Directors.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periodically reviews the skills and attributes of Board members within the context of the current make-up of the full Board of Directors as the Nomination/Governance Committee deems appropriate. The Nomination/Governance Committee does not discriminate against candidates for the Board of Directors based on race, color, religion, sex, sexual orientation or national origin.</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82" w:lineRule="exact"/>
        <w:rPr>
          <w:sz w:val="20"/>
          <w:szCs w:val="20"/>
          <w:color w:val="auto"/>
        </w:rPr>
      </w:pPr>
    </w:p>
    <w:p>
      <w:pPr>
        <w:ind w:right="740"/>
        <w:spacing w:after="0" w:line="274"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balance of management and independent Directors, the need for Audit Committee expertise and the evaluation of other prospective nominees.</w:t>
      </w:r>
    </w:p>
    <w:p>
      <w:pPr>
        <w:spacing w:after="0" w:line="217"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In connection with this evaluation, one or more members of the Nomination/Governance Committee, and others as appropriate, interview prospective nominees. After completing this evaluation and interview, the Nomination/ 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we have not received any shareholder proposal relating to Director nominees for the 2015 Annual Meeting of Shareholders.</w:t>
      </w:r>
    </w:p>
    <w:p>
      <w:pPr>
        <w:spacing w:after="0" w:line="18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You should provide each proposed nominee's name, biographical data, qualifications and expertise. Your recommendation should also include a written statement from the proposed nominee consenting to be named as a nominee and, if nominated and elected, to serve as a Director. For consideration at the 2016 Annual Meeting of Shareholders, we must receive your recommendations by December 8, 2015.</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b w:val="1"/>
          <w:bCs w:val="1"/>
          <w:i w:val="1"/>
          <w:iCs w:val="1"/>
          <w:color w:val="auto"/>
        </w:rPr>
        <w:t xml:space="preserve">Executive Committee. </w:t>
      </w:r>
      <w:r>
        <w:rPr>
          <w:rFonts w:ascii="Arial" w:cs="Arial" w:eastAsia="Arial" w:hAnsi="Arial"/>
          <w:sz w:val="15"/>
          <w:szCs w:val="15"/>
          <w:color w:val="auto"/>
        </w:rPr>
        <w:t>Our Executive Committee is generally responsible to act on behalf of our Board of Directors during the intervals between meetings of our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Directors. Our Board of Directors has authorized the Executive Committee to approve and/or to designate in writing certain individuals to approve ordinary course of business actions that are required to be documented by counterparties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Executive Committee deems appropriate in its sole discretion. The Executive Committee operates under a written charter, which is approved by our Board of Directors on an annual basis. The charter was last reviewed by the Board of Directors in February 2015. The Committee did not take any formal action in 2014 and, at its organizational meeting in May 2014, our Board of Directors did not establish an Executive Committee. The Executive Committee was reestablished in February 2015 with Messrs. Vättö and Shepro as members of the Committee, and Mr. Vättö serving as the Chairman.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Guidelines</w:t>
      </w:r>
    </w:p>
    <w:p>
      <w:pPr>
        <w:spacing w:after="0" w:line="22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appraisals of the Board of Directors.</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Our Nomination/Governance Committee reviews our Corporate Governance Guidelines at least once a year and, if necessary, recommends changes to our Board of Directors. Our Corporate Governance Guidelines were last reviewed by the Nomination/Governance Committee and the Board of Directors in February 2015. Our Corporate Governance Guidelines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them by writing to our Corporate Secretary at Altisource Portfolio Solutions S.A., 40, avenue Monterey, L-2163 Luxembourg City, Grand Duchy of Luxembourg.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Communications with Directors</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you desire to contact our Board of Directors or any individual Director regarding Altisource, you may do so by mail addressed to our Corporate Secretary at Altisource Portfolio Solutions S.A., 40, avenue Monterey, L-2163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2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 xml:space="preserve">We have adopted a Code of Business Conduct and Ethics that applies to our Directors, officers and employees as required by SEC rules or NASDAQ listing standards. We have also adopted a Code of Ethics for Senior Financial Officers that applies to our Chief Executive Officer, our Chief Financial Officer and our Chief Accounting Officer. Any waivers from the Code of Business Conduct and Ethics for Directors or named executive officers or the Code of Ethics for Senior Financial Officers must be approved by our Board of Directors or the Audit Committee and will be subsequently disclosed when required by SEC rules or NASDAQ listing standards. The Code of Business Conduct and Ethics and the Code of Ethics for Senior Financial Officers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February 2015. Any amendments to the Code of Business Conduct and Ethics or the Code of Ethics for Senior Financial Officers, as well as any waivers that are required to be disclosed under SEC rules or NASDAQ listing standards, either will be posted on our website or otherwise disclosed in accordance with such rules.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Oversight Process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and each of its committees are involved in the oversight of the Company's risk management.</w:t>
      </w:r>
    </w:p>
    <w:p>
      <w:pPr>
        <w:spacing w:after="0" w:line="217"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The Board of Directors and the Audit Committee monitor Altisource's credit risk, liquidity risk, operational risk, regulatory risk and enterprise risk by regular reviews with management and internal and external auditors. In its periodic meetings with internal and external auditors, the Audit Committee discusses the scope and plan for the internal audit department and includes management in its review of accounting and financial controls and assessment of business risks. The Board of Directors and the Compliance Committee monitor Altisource's overall compliance function, including the compliance management system, and Altisource's compliance with legal and regulatory requirements and related risks, by regular reviews with management and internal auditors. At least quarterly, the Compliance Committee reviews and discusses with management the Company's compliance with legal and regulatory requirements and compliance programs.</w:t>
      </w:r>
    </w:p>
    <w:p>
      <w:pPr>
        <w:spacing w:after="0" w:line="15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its periodic meetings with the external auditors, the Audit Committee discusses the external audit scope, the external auditors' responsibility under the Standards of the Public Company Accounting Oversight Board ("PCAOB"), accounting policies and practices and other required communications. In addition, through regular reviews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69"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Board of Directors' role in risk oversight is consistent with the Company's leadership structure, with the Chief Executive Officer and other members of senior management having responsibility for assessing and managing the Company's risk exposure, and our Chairman, the Board of Directors and its committees providing oversight in connection with these efforts.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7"/>
          <w:szCs w:val="17"/>
          <w:b w:val="1"/>
          <w:bCs w:val="1"/>
          <w:color w:val="auto"/>
        </w:rPr>
        <w:t>BOARD OF DIRECTORS COMPENSATION</w:t>
      </w:r>
    </w:p>
    <w:p>
      <w:pPr>
        <w:spacing w:after="0" w:line="22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following table discloses compensation earned by each non-management member of our Board of Directors who served as a Director during fiscal year 2014. Our management Director does not receive an annual retainer or any other compensation for his service on the Board of Directors.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60" w:type="dxa"/>
            <w:vAlign w:val="bottom"/>
          </w:tcPr>
          <w:p>
            <w:pPr>
              <w:jc w:val="right"/>
              <w:ind w:right="256"/>
              <w:spacing w:after="0"/>
              <w:rPr>
                <w:sz w:val="20"/>
                <w:szCs w:val="20"/>
                <w:color w:val="auto"/>
              </w:rPr>
            </w:pPr>
            <w:r>
              <w:rPr>
                <w:rFonts w:ascii="Arial" w:cs="Arial" w:eastAsia="Arial" w:hAnsi="Arial"/>
                <w:sz w:val="17"/>
                <w:szCs w:val="17"/>
                <w:b w:val="1"/>
                <w:bCs w:val="1"/>
                <w:color w:val="auto"/>
              </w:rPr>
              <w:t>Fees Earned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16"/>
              <w:spacing w:after="0"/>
              <w:rPr>
                <w:sz w:val="20"/>
                <w:szCs w:val="20"/>
                <w:color w:val="auto"/>
              </w:rPr>
            </w:pPr>
            <w:r>
              <w:rPr>
                <w:rFonts w:ascii="Arial" w:cs="Arial" w:eastAsia="Arial" w:hAnsi="Arial"/>
                <w:sz w:val="17"/>
                <w:szCs w:val="17"/>
                <w:b w:val="1"/>
                <w:bCs w:val="1"/>
                <w:color w:val="auto"/>
              </w:rPr>
              <w:t>All Other</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70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560" w:type="dxa"/>
            <w:vAlign w:val="bottom"/>
          </w:tcPr>
          <w:p>
            <w:pPr>
              <w:jc w:val="right"/>
              <w:ind w:right="56"/>
              <w:spacing w:after="0" w:line="257" w:lineRule="exact"/>
              <w:rPr>
                <w:sz w:val="20"/>
                <w:szCs w:val="20"/>
                <w:color w:val="auto"/>
              </w:rPr>
            </w:pPr>
            <w:r>
              <w:rPr>
                <w:rFonts w:ascii="Arial" w:cs="Arial" w:eastAsia="Arial" w:hAnsi="Arial"/>
                <w:sz w:val="17"/>
                <w:szCs w:val="17"/>
                <w:b w:val="1"/>
                <w:bCs w:val="1"/>
                <w:color w:val="auto"/>
                <w:w w:val="96"/>
              </w:rPr>
              <w:t>or Paid in Cash</w:t>
            </w:r>
            <w:r>
              <w:rPr>
                <w:rFonts w:ascii="Arial" w:cs="Arial" w:eastAsia="Arial" w:hAnsi="Arial"/>
                <w:sz w:val="27"/>
                <w:szCs w:val="27"/>
                <w:b w:val="1"/>
                <w:bCs w:val="1"/>
                <w:color w:val="auto"/>
                <w:w w:val="96"/>
                <w:vertAlign w:val="superscript"/>
              </w:rPr>
              <w:t>(1)</w:t>
            </w:r>
          </w:p>
        </w:tc>
        <w:tc>
          <w:tcPr>
            <w:tcW w:w="140" w:type="dxa"/>
            <w:vAlign w:val="bottom"/>
          </w:tcPr>
          <w:p>
            <w:pPr>
              <w:spacing w:after="0"/>
              <w:rPr>
                <w:sz w:val="22"/>
                <w:szCs w:val="22"/>
                <w:color w:val="auto"/>
              </w:rPr>
            </w:pPr>
          </w:p>
        </w:tc>
        <w:tc>
          <w:tcPr>
            <w:tcW w:w="1420" w:type="dxa"/>
            <w:vAlign w:val="bottom"/>
          </w:tcPr>
          <w:p>
            <w:pPr>
              <w:jc w:val="right"/>
              <w:ind w:right="56"/>
              <w:spacing w:after="0" w:line="257" w:lineRule="exact"/>
              <w:rPr>
                <w:sz w:val="20"/>
                <w:szCs w:val="20"/>
                <w:color w:val="auto"/>
              </w:rPr>
            </w:pPr>
            <w:r>
              <w:rPr>
                <w:rFonts w:ascii="Arial" w:cs="Arial" w:eastAsia="Arial" w:hAnsi="Arial"/>
                <w:sz w:val="17"/>
                <w:szCs w:val="17"/>
                <w:b w:val="1"/>
                <w:bCs w:val="1"/>
                <w:color w:val="auto"/>
                <w:w w:val="93"/>
              </w:rPr>
              <w:t>Stock Awards</w:t>
            </w:r>
            <w:r>
              <w:rPr>
                <w:rFonts w:ascii="Arial" w:cs="Arial" w:eastAsia="Arial" w:hAnsi="Arial"/>
                <w:sz w:val="27"/>
                <w:szCs w:val="27"/>
                <w:b w:val="1"/>
                <w:bCs w:val="1"/>
                <w:color w:val="auto"/>
                <w:w w:val="93"/>
                <w:vertAlign w:val="superscript"/>
              </w:rPr>
              <w:t>(2)</w:t>
            </w:r>
          </w:p>
        </w:tc>
        <w:tc>
          <w:tcPr>
            <w:tcW w:w="160" w:type="dxa"/>
            <w:vAlign w:val="bottom"/>
          </w:tcPr>
          <w:p>
            <w:pPr>
              <w:spacing w:after="0"/>
              <w:rPr>
                <w:sz w:val="22"/>
                <w:szCs w:val="22"/>
                <w:color w:val="auto"/>
              </w:rPr>
            </w:pPr>
          </w:p>
        </w:tc>
        <w:tc>
          <w:tcPr>
            <w:tcW w:w="1280" w:type="dxa"/>
            <w:vAlign w:val="bottom"/>
          </w:tcPr>
          <w:p>
            <w:pPr>
              <w:jc w:val="right"/>
              <w:ind w:right="56"/>
              <w:spacing w:after="0"/>
              <w:rPr>
                <w:sz w:val="20"/>
                <w:szCs w:val="20"/>
                <w:color w:val="auto"/>
              </w:rPr>
            </w:pPr>
            <w:r>
              <w:rPr>
                <w:rFonts w:ascii="Arial" w:cs="Arial" w:eastAsia="Arial" w:hAnsi="Arial"/>
                <w:sz w:val="17"/>
                <w:szCs w:val="17"/>
                <w:b w:val="1"/>
                <w:bCs w:val="1"/>
                <w:color w:val="auto"/>
                <w:w w:val="94"/>
              </w:rPr>
              <w:t>Compensation</w:t>
            </w:r>
          </w:p>
        </w:tc>
        <w:tc>
          <w:tcPr>
            <w:tcW w:w="140" w:type="dxa"/>
            <w:vAlign w:val="bottom"/>
          </w:tcPr>
          <w:p>
            <w:pPr>
              <w:spacing w:after="0"/>
              <w:rPr>
                <w:sz w:val="22"/>
                <w:szCs w:val="22"/>
                <w:color w:val="auto"/>
              </w:rPr>
            </w:pPr>
          </w:p>
        </w:tc>
        <w:tc>
          <w:tcPr>
            <w:tcW w:w="940" w:type="dxa"/>
            <w:vAlign w:val="bottom"/>
            <w:gridSpan w:val="2"/>
          </w:tcPr>
          <w:p>
            <w:pPr>
              <w:ind w:left="200"/>
              <w:spacing w:after="0"/>
              <w:rPr>
                <w:sz w:val="20"/>
                <w:szCs w:val="20"/>
                <w:color w:val="auto"/>
              </w:rPr>
            </w:pPr>
            <w:r>
              <w:rPr>
                <w:rFonts w:ascii="Arial" w:cs="Arial" w:eastAsia="Arial" w:hAnsi="Arial"/>
                <w:sz w:val="17"/>
                <w:szCs w:val="17"/>
                <w:b w:val="1"/>
                <w:bCs w:val="1"/>
                <w:color w:val="auto"/>
              </w:rPr>
              <w:t>Total</w:t>
            </w: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8"/>
        </w:trPr>
        <w:tc>
          <w:tcPr>
            <w:tcW w:w="3620" w:type="dxa"/>
            <w:vAlign w:val="bottom"/>
            <w:gridSpan w:val="3"/>
            <w:shd w:val="clear" w:color="auto" w:fill="CCEEFF"/>
          </w:tcPr>
          <w:p>
            <w:pPr>
              <w:spacing w:after="0" w:line="237" w:lineRule="exact"/>
              <w:rPr>
                <w:sz w:val="20"/>
                <w:szCs w:val="20"/>
                <w:color w:val="auto"/>
              </w:rPr>
            </w:pPr>
            <w:r>
              <w:rPr>
                <w:rFonts w:ascii="Arial" w:cs="Arial" w:eastAsia="Arial" w:hAnsi="Arial"/>
                <w:sz w:val="17"/>
                <w:szCs w:val="17"/>
                <w:color w:val="auto"/>
              </w:rPr>
              <w:t>William C. Erbey</w:t>
            </w:r>
            <w:r>
              <w:rPr>
                <w:rFonts w:ascii="Arial" w:cs="Arial" w:eastAsia="Arial" w:hAnsi="Arial"/>
                <w:sz w:val="27"/>
                <w:szCs w:val="27"/>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$47,078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$151,078</w:t>
            </w:r>
          </w:p>
        </w:tc>
        <w:tc>
          <w:tcPr>
            <w:tcW w:w="160" w:type="dxa"/>
            <w:vAlign w:val="bottom"/>
            <w:shd w:val="clear" w:color="auto" w:fill="CCEEFF"/>
          </w:tcPr>
          <w:p>
            <w:pPr>
              <w:spacing w:after="0"/>
              <w:rPr>
                <w:sz w:val="20"/>
                <w:szCs w:val="20"/>
                <w:color w:val="auto"/>
              </w:rPr>
            </w:pPr>
          </w:p>
        </w:tc>
      </w:tr>
      <w:tr>
        <w:trPr>
          <w:trHeight w:val="206"/>
        </w:trPr>
        <w:tc>
          <w:tcPr>
            <w:tcW w:w="3620" w:type="dxa"/>
            <w:vAlign w:val="bottom"/>
            <w:gridSpan w:val="3"/>
          </w:tcPr>
          <w:p>
            <w:pPr>
              <w:spacing w:after="0"/>
              <w:rPr>
                <w:sz w:val="20"/>
                <w:szCs w:val="20"/>
                <w:color w:val="auto"/>
              </w:rPr>
            </w:pPr>
            <w:r>
              <w:rPr>
                <w:rFonts w:ascii="Arial" w:cs="Arial" w:eastAsia="Arial" w:hAnsi="Arial"/>
                <w:sz w:val="17"/>
                <w:szCs w:val="17"/>
                <w:color w:val="auto"/>
              </w:rPr>
              <w:t>W. Michael Linn</w:t>
            </w:r>
          </w:p>
        </w:tc>
        <w:tc>
          <w:tcPr>
            <w:tcW w:w="1560" w:type="dxa"/>
            <w:vAlign w:val="bottom"/>
          </w:tcPr>
          <w:p>
            <w:pPr>
              <w:jc w:val="right"/>
              <w:spacing w:after="0"/>
              <w:rPr>
                <w:sz w:val="20"/>
                <w:szCs w:val="20"/>
                <w:color w:val="auto"/>
              </w:rPr>
            </w:pPr>
            <w:r>
              <w:rPr>
                <w:rFonts w:ascii="Arial" w:cs="Arial" w:eastAsia="Arial" w:hAnsi="Arial"/>
                <w:sz w:val="17"/>
                <w:szCs w:val="17"/>
                <w:color w:val="auto"/>
              </w:rPr>
              <w:t>$74,673</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$47,078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$121,751</w:t>
            </w:r>
          </w:p>
        </w:tc>
        <w:tc>
          <w:tcPr>
            <w:tcW w:w="160" w:type="dxa"/>
            <w:vAlign w:val="bottom"/>
          </w:tcPr>
          <w:p>
            <w:pPr>
              <w:spacing w:after="0"/>
              <w:rPr>
                <w:sz w:val="17"/>
                <w:szCs w:val="17"/>
                <w:color w:val="auto"/>
              </w:rPr>
            </w:pPr>
          </w:p>
        </w:tc>
      </w:tr>
      <w:tr>
        <w:trPr>
          <w:trHeight w:val="245"/>
        </w:trPr>
        <w:tc>
          <w:tcPr>
            <w:tcW w:w="3620" w:type="dxa"/>
            <w:vAlign w:val="bottom"/>
            <w:gridSpan w:val="3"/>
            <w:shd w:val="clear" w:color="auto" w:fill="CCEEFF"/>
          </w:tcPr>
          <w:p>
            <w:pPr>
              <w:spacing w:after="0" w:line="245" w:lineRule="exact"/>
              <w:rPr>
                <w:sz w:val="20"/>
                <w:szCs w:val="20"/>
                <w:color w:val="auto"/>
              </w:rPr>
            </w:pPr>
            <w:r>
              <w:rPr>
                <w:rFonts w:ascii="Arial" w:cs="Arial" w:eastAsia="Arial" w:hAnsi="Arial"/>
                <w:sz w:val="17"/>
                <w:szCs w:val="17"/>
                <w:color w:val="auto"/>
              </w:rPr>
              <w:t>Roland Müller-Ineichen</w:t>
            </w:r>
            <w:r>
              <w:rPr>
                <w:rFonts w:ascii="Arial" w:cs="Arial" w:eastAsia="Arial" w:hAnsi="Arial"/>
                <w:sz w:val="27"/>
                <w:szCs w:val="27"/>
                <w:color w:val="auto"/>
                <w:vertAlign w:val="superscript"/>
              </w:rPr>
              <w:t>(4)</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$66,074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$47,078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$113,152</w:t>
            </w:r>
          </w:p>
        </w:tc>
        <w:tc>
          <w:tcPr>
            <w:tcW w:w="160" w:type="dxa"/>
            <w:vAlign w:val="bottom"/>
            <w:shd w:val="clear" w:color="auto" w:fill="CCEEFF"/>
          </w:tcPr>
          <w:p>
            <w:pPr>
              <w:spacing w:after="0"/>
              <w:rPr>
                <w:sz w:val="21"/>
                <w:szCs w:val="21"/>
                <w:color w:val="auto"/>
              </w:rPr>
            </w:pPr>
          </w:p>
        </w:tc>
      </w:tr>
      <w:tr>
        <w:trPr>
          <w:trHeight w:val="365"/>
        </w:trPr>
        <w:tc>
          <w:tcPr>
            <w:tcW w:w="3620" w:type="dxa"/>
            <w:vAlign w:val="bottom"/>
            <w:gridSpan w:val="3"/>
          </w:tcPr>
          <w:p>
            <w:pPr>
              <w:spacing w:after="0"/>
              <w:rPr>
                <w:sz w:val="20"/>
                <w:szCs w:val="20"/>
                <w:color w:val="auto"/>
              </w:rPr>
            </w:pPr>
            <w:r>
              <w:rPr>
                <w:rFonts w:ascii="Arial" w:cs="Arial" w:eastAsia="Arial" w:hAnsi="Arial"/>
                <w:sz w:val="17"/>
                <w:szCs w:val="17"/>
                <w:color w:val="auto"/>
              </w:rPr>
              <w:t>Timo Vättö</w:t>
            </w:r>
            <w:r>
              <w:rPr>
                <w:rFonts w:ascii="Arial" w:cs="Arial" w:eastAsia="Arial" w:hAnsi="Arial"/>
                <w:sz w:val="27"/>
                <w:szCs w:val="27"/>
                <w:color w:val="auto"/>
                <w:vertAlign w:val="superscript"/>
              </w:rPr>
              <w:t>(5)</w:t>
            </w:r>
          </w:p>
        </w:tc>
        <w:tc>
          <w:tcPr>
            <w:tcW w:w="1560" w:type="dxa"/>
            <w:vAlign w:val="bottom"/>
          </w:tcPr>
          <w:p>
            <w:pPr>
              <w:jc w:val="right"/>
              <w:spacing w:after="0"/>
              <w:rPr>
                <w:sz w:val="20"/>
                <w:szCs w:val="20"/>
                <w:color w:val="auto"/>
              </w:rPr>
            </w:pPr>
            <w:r>
              <w:rPr>
                <w:rFonts w:ascii="Arial" w:cs="Arial" w:eastAsia="Arial" w:hAnsi="Arial"/>
                <w:sz w:val="17"/>
                <w:szCs w:val="17"/>
                <w:color w:val="auto"/>
              </w:rPr>
              <w:t>$65,099</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$47,078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$112,177</w:t>
            </w:r>
          </w:p>
        </w:tc>
        <w:tc>
          <w:tcPr>
            <w:tcW w:w="160" w:type="dxa"/>
            <w:vAlign w:val="bottom"/>
          </w:tcPr>
          <w:p>
            <w:pPr>
              <w:spacing w:after="0"/>
              <w:rPr>
                <w:sz w:val="24"/>
                <w:szCs w:val="24"/>
                <w:color w:val="auto"/>
              </w:rPr>
            </w:pPr>
          </w:p>
        </w:tc>
      </w:tr>
    </w:tbl>
    <w:p>
      <w:pPr>
        <w:spacing w:after="0" w:line="77" w:lineRule="exact"/>
        <w:rPr>
          <w:sz w:val="20"/>
          <w:szCs w:val="20"/>
          <w:color w:val="auto"/>
        </w:rPr>
      </w:pPr>
    </w:p>
    <w:p>
      <w:pPr>
        <w:ind w:left="1660" w:hanging="515"/>
        <w:spacing w:after="0" w:line="194" w:lineRule="auto"/>
        <w:tabs>
          <w:tab w:leader="none" w:pos="1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Consists of amounts earned in cash for service in fiscal year 2014, including amounts earned for service in the fourth quarter of 2014 and paid in the first quarter of 2015.</w:t>
      </w:r>
    </w:p>
    <w:p>
      <w:pPr>
        <w:spacing w:after="0" w:line="212" w:lineRule="exact"/>
        <w:rPr>
          <w:rFonts w:ascii="Arial" w:cs="Arial" w:eastAsia="Arial" w:hAnsi="Arial"/>
          <w:sz w:val="28"/>
          <w:szCs w:val="28"/>
          <w:color w:val="auto"/>
          <w:vertAlign w:val="superscript"/>
        </w:rPr>
      </w:pPr>
    </w:p>
    <w:p>
      <w:pPr>
        <w:ind w:left="1660" w:right="100" w:hanging="515"/>
        <w:spacing w:after="0" w:line="237" w:lineRule="auto"/>
        <w:tabs>
          <w:tab w:leader="none" w:pos="166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Non-management Directors who attended an aggregate of at least 75% of all meetings of the Board of Directors and committees on which they served for such year received an award of Altisource common stock with an aggregate fair market value of $45,000, as determined on the first day of the service year by the average of the high and low prices of the common stock as reported on the NASDAQ Global Select Market.</w:t>
      </w:r>
    </w:p>
    <w:p>
      <w:pPr>
        <w:spacing w:after="0" w:line="90" w:lineRule="exact"/>
        <w:rPr>
          <w:rFonts w:ascii="Arial" w:cs="Arial" w:eastAsia="Arial" w:hAnsi="Arial"/>
          <w:sz w:val="25"/>
          <w:szCs w:val="25"/>
          <w:color w:val="auto"/>
          <w:vertAlign w:val="superscript"/>
        </w:rPr>
      </w:pPr>
    </w:p>
    <w:p>
      <w:pPr>
        <w:ind w:left="1660" w:hanging="515"/>
        <w:spacing w:after="0"/>
        <w:tabs>
          <w:tab w:leader="none" w:pos="1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Mr. Erbey stepped down from the Board of Directors effective January 16, 2015.</w:t>
      </w:r>
    </w:p>
    <w:p>
      <w:pPr>
        <w:spacing w:after="0" w:line="198" w:lineRule="exact"/>
        <w:rPr>
          <w:rFonts w:ascii="Arial" w:cs="Arial" w:eastAsia="Arial" w:hAnsi="Arial"/>
          <w:sz w:val="28"/>
          <w:szCs w:val="28"/>
          <w:color w:val="auto"/>
          <w:vertAlign w:val="superscript"/>
        </w:rPr>
      </w:pPr>
    </w:p>
    <w:p>
      <w:pPr>
        <w:ind w:left="1660" w:right="40" w:hanging="515"/>
        <w:spacing w:after="0" w:line="249" w:lineRule="auto"/>
        <w:tabs>
          <w:tab w:leader="none" w:pos="166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Mr. Müller-Ineichen's cash compensation was paid in euros for the first, second and third quarters and in Swiss francs for the fourth quarter, using the exchange rate in effect on the 15th day of the last month of the quarter for which payment was made: for the first quarter, an exchange rate of 0.7203 euros to the U.S. dollar; for the second quarter, an exchange rate of 0.73813 euros to the U.S. dollar; for the third quarter, an exchange rate of 0.77128 euros to the U.S. dollar; and for the fourth quarter, an exchange rate of 0.96326 Swiss francs to the U.S. dollar.</w:t>
      </w:r>
    </w:p>
    <w:p>
      <w:pPr>
        <w:spacing w:after="0" w:line="207" w:lineRule="exact"/>
        <w:rPr>
          <w:rFonts w:ascii="Arial" w:cs="Arial" w:eastAsia="Arial" w:hAnsi="Arial"/>
          <w:sz w:val="25"/>
          <w:szCs w:val="25"/>
          <w:color w:val="auto"/>
          <w:vertAlign w:val="superscript"/>
        </w:rPr>
      </w:pPr>
    </w:p>
    <w:p>
      <w:pPr>
        <w:ind w:left="1660" w:right="80" w:hanging="515"/>
        <w:spacing w:after="0" w:line="219" w:lineRule="auto"/>
        <w:tabs>
          <w:tab w:leader="none" w:pos="1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Mr. Vättö's cash compensation was paid in Swiss francs, using the exchange rate in effect on the 15th day of the last month of the quarter for which payment was made: for the first quarter, an exchange rate of 0.87391 Swiss francs to the U.S. dollar; for the second quarter, an exchange rate of 0.89948 Swiss francs to the U.S. dollar; for the third quarter, an exchange rate of 0.93323 Swiss francs to the U.S. dollar; and for the fourth quarter, an exchange rate of 0.96326 Swiss francs to the U.S. dollar.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Prior to May 21, 2014, we provided the following annual cash compensation to our non-management Directors in quarterly installments:</w:t>
      </w:r>
    </w:p>
    <w:p>
      <w:pPr>
        <w:spacing w:after="0" w:line="229" w:lineRule="exact"/>
        <w:rPr>
          <w:sz w:val="20"/>
          <w:szCs w:val="20"/>
          <w:color w:val="auto"/>
        </w:rPr>
      </w:pPr>
    </w:p>
    <w:p>
      <w:pPr>
        <w:ind w:left="1040" w:hanging="522"/>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retainer of $49,000;</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$50,000 to the Chairman of the Board of Directors;</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$12,500 to the Audit Committee chairperson;</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$10,000 to the Compliance Committee chairperson;</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additional $5,000 to all committee chairpersons (other than the Audit Committee chairperson and the Compliance Committee chairperson) and</w:t>
      </w:r>
    </w:p>
    <w:p>
      <w:pPr>
        <w:spacing w:after="0" w:line="47" w:lineRule="exact"/>
        <w:rPr>
          <w:rFonts w:ascii="Arial" w:cs="Arial" w:eastAsia="Arial" w:hAnsi="Arial"/>
          <w:sz w:val="16"/>
          <w:szCs w:val="16"/>
          <w:color w:val="auto"/>
        </w:rPr>
      </w:pPr>
    </w:p>
    <w:p>
      <w:pPr>
        <w:ind w:left="1040" w:hanging="522"/>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$5,000 to all Audit Committee members (other than the Audit Committee chairperson).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In the 2014 to 2015 service year, we are providing the following annual cash compensation to our non-management Directors in quarterly installments:</w:t>
      </w:r>
    </w:p>
    <w:p>
      <w:pPr>
        <w:spacing w:after="0" w:line="229" w:lineRule="exact"/>
        <w:rPr>
          <w:sz w:val="20"/>
          <w:szCs w:val="20"/>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retainer of $54,000;</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16" w:name="page17"/>
    <w:bookmarkEnd w:id="16"/>
    <w:p>
      <w:pPr>
        <w:ind w:left="1040" w:hanging="522"/>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$50,000 to the Chairman of the Board of Directors;</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$15,000 to the Audit Committee chairperson;</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$12,500 to the Compliance Committee chairperson;</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additional $7,500 to all committee chairpersons (other than the Audit Committee chairperson and the Compliance Committee chairperson) and</w:t>
      </w:r>
    </w:p>
    <w:p>
      <w:pPr>
        <w:spacing w:after="0" w:line="47" w:lineRule="exact"/>
        <w:rPr>
          <w:rFonts w:ascii="Arial" w:cs="Arial" w:eastAsia="Arial" w:hAnsi="Arial"/>
          <w:sz w:val="16"/>
          <w:szCs w:val="16"/>
          <w:color w:val="auto"/>
        </w:rPr>
      </w:pPr>
    </w:p>
    <w:p>
      <w:pPr>
        <w:ind w:left="1040" w:hanging="522"/>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$7,500 to all Audit Committee members (other than the Audit Committee chairperson).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w:t>
      </w:r>
    </w:p>
    <w:p>
      <w:pPr>
        <w:spacing w:after="0" w:line="2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For the 2013 to 2014 service year, our non-management Directors who attended an aggregate of at least 75% of all meetings of the Board of Directors and committees on which they served received an award of shares of common stock of Altisource with an aggregate fair market value of $45,000, as determined on the first day of the service year by the average of the high and low prices of the common stock as reported on the NASDAQ Global Select Market.</w:t>
      </w:r>
    </w:p>
    <w:p>
      <w:pPr>
        <w:spacing w:after="0" w:line="16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For the 2014 to 2015 service year, non-management Directors who attend an aggregate of at least 75% of all meetings of the Board of Directors and committees on which they serve will receive an award of shares of common stock of Altisource with an aggregate fair market value of $60,000, subject to ratification by our shareholders at the Annual Meeting of Shareholders. "Fair market value" is defined as the average of the high and low prices of the common stock reported on the NASDAQ Global Select Market, as determined on the first day of the service year by the average of the high and low prices of the common stock as reported on the NASDAQ Global Select Market.</w:t>
      </w:r>
    </w:p>
    <w:p>
      <w:pPr>
        <w:spacing w:after="0" w:line="18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In addition, new non-management directors elected at the Annual Meeting of Shareholders are granted a one (1) time award of 500 shares of common stock, which vests 25% on each anniversary of the award date.</w:t>
      </w:r>
    </w:p>
    <w:p>
      <w:pPr>
        <w:spacing w:after="0" w:line="172" w:lineRule="exact"/>
        <w:rPr>
          <w:sz w:val="20"/>
          <w:szCs w:val="20"/>
          <w:color w:val="auto"/>
        </w:rPr>
      </w:pPr>
    </w:p>
    <w:p>
      <w:pPr>
        <w:ind w:right="100"/>
        <w:spacing w:after="0" w:line="343" w:lineRule="auto"/>
        <w:rPr>
          <w:sz w:val="20"/>
          <w:szCs w:val="20"/>
          <w:color w:val="auto"/>
        </w:rPr>
      </w:pPr>
      <w:r>
        <w:rPr>
          <w:rFonts w:ascii="Arial" w:cs="Arial" w:eastAsia="Arial" w:hAnsi="Arial"/>
          <w:sz w:val="15"/>
          <w:szCs w:val="15"/>
          <w:color w:val="auto"/>
        </w:rPr>
        <w:t>Our Director compensation policies were revised effective May 21, 2014, subject to ratification by our shareholders at our 2015 Annual Meeting of Shareholders. Please see the "Proposal for Change in Compensation" section below for further information regarding proposed changes in 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for Change in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Under Luxembourg law and our Articles of Association, Directors' compensation is subject to review and adjustment by the shareholders from time to time.</w:t>
      </w:r>
    </w:p>
    <w:p>
      <w:pPr>
        <w:spacing w:after="0" w:line="228" w:lineRule="exact"/>
        <w:rPr>
          <w:sz w:val="20"/>
          <w:szCs w:val="20"/>
          <w:color w:val="auto"/>
        </w:rPr>
      </w:pPr>
    </w:p>
    <w:p>
      <w:pPr>
        <w:spacing w:after="0" w:line="343" w:lineRule="auto"/>
        <w:rPr>
          <w:sz w:val="20"/>
          <w:szCs w:val="20"/>
          <w:color w:val="auto"/>
        </w:rPr>
      </w:pPr>
      <w:r>
        <w:rPr>
          <w:rFonts w:ascii="Arial" w:cs="Arial" w:eastAsia="Arial" w:hAnsi="Arial"/>
          <w:sz w:val="15"/>
          <w:szCs w:val="15"/>
          <w:color w:val="auto"/>
        </w:rPr>
        <w:t>In the second quarter of 2014, the Company engaged Exequity to assist in analyzing the competitiveness of its pay levels for non-management Directors. Please see "Role of Compensation Consultant" in our Compensation Discussion and Analysis for further information relating to the peer group companies used in the analysis.</w:t>
      </w:r>
    </w:p>
    <w:p>
      <w:pPr>
        <w:spacing w:after="0" w:line="125"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Based on a review of the peer group data, the Compensation Committee concluded that the compensation of our Directors was below the median compensation of non-management Directors of our peer group companies. Therefore, our Director compensation policies were revised effective May 21, 2014, subject to ratification by our shareholders at our 2015 Annual Meeting of Shareholders. Please see the "Cash Compensation" and "Equity Compensations" sections above for further information regarding changes relating to the service year 2014 to 2015.</w:t>
      </w:r>
    </w:p>
    <w:p>
      <w:pPr>
        <w:spacing w:after="0" w:line="18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Compensation Committee believes it is important to attract and retain the best possible candidates to serve on our Board of Directors. Accordingly, in the first quarter of 2015, the Company engaged Exequity to help further analyze the competitiveness of its pay levels for non-management Directors. Based on a review of the available data, the Compensation Committee concluded that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compensation of our Directors is below the median compensation of non-management Directors of our peer group companies by approximately 15.7%.</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Therefore, we are including a proposal to our shareholders that:</w:t>
      </w:r>
    </w:p>
    <w:p>
      <w:pPr>
        <w:spacing w:after="0" w:line="229" w:lineRule="exact"/>
        <w:rPr>
          <w:sz w:val="20"/>
          <w:szCs w:val="20"/>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annual cash retainer to the Board of Directors chairperson be further increased from $50,000 to $85,000</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annual cash retainer to the Executive Committee chairperson be set at $15,000</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annual cash compensation to the Audit Committee chairperson be increased from $15,000 to $20,000</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annual cash compensation to Compliance Committee members (other than the Compliance Committee chairperson) be set at $5,000</w:t>
      </w:r>
    </w:p>
    <w:p>
      <w:pPr>
        <w:spacing w:after="0" w:line="21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Additionally, the Compensation Committee is proposing that the value of the annual award of shares of common stock to non-management Directors who attend an aggregate of at least 75% of all meetings of the Board of Directors and committees on which they serve be increased from $60,000 to $75,000, as determined on the first day of the service year by the average of the high and low prices of the common stock as reported on the NASDAQ Global Select Market.</w:t>
      </w:r>
    </w:p>
    <w:p>
      <w:pPr>
        <w:spacing w:after="0" w:line="147" w:lineRule="exact"/>
        <w:rPr>
          <w:sz w:val="20"/>
          <w:szCs w:val="20"/>
          <w:color w:val="auto"/>
        </w:rPr>
      </w:pPr>
    </w:p>
    <w:p>
      <w:pPr>
        <w:jc w:val="both"/>
        <w:ind w:right="180"/>
        <w:spacing w:after="0" w:line="274" w:lineRule="auto"/>
        <w:rPr>
          <w:sz w:val="20"/>
          <w:szCs w:val="20"/>
          <w:color w:val="auto"/>
        </w:rPr>
      </w:pPr>
      <w:r>
        <w:rPr>
          <w:rFonts w:ascii="Arial" w:cs="Arial" w:eastAsia="Arial" w:hAnsi="Arial"/>
          <w:sz w:val="17"/>
          <w:szCs w:val="17"/>
          <w:color w:val="auto"/>
        </w:rPr>
        <w:t>The proposed changes will position overall compensation closer to the median compensation of non-management Directors of our peer group companies (4.6% lower than the median).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Directors are reimbursed for reasonable travel and other expenses incurred in connection with attending meetings of the Board of Directors and its committees.</w:t>
      </w:r>
    </w:p>
    <w:p>
      <w:pPr>
        <w:spacing w:after="0" w:line="228" w:lineRule="exact"/>
        <w:rPr>
          <w:sz w:val="20"/>
          <w:szCs w:val="20"/>
          <w:color w:val="auto"/>
        </w:rPr>
      </w:pPr>
    </w:p>
    <w:p>
      <w:pPr>
        <w:jc w:val="both"/>
        <w:ind w:right="180"/>
        <w:spacing w:after="0" w:line="274" w:lineRule="auto"/>
        <w:rPr>
          <w:sz w:val="20"/>
          <w:szCs w:val="20"/>
          <w:color w:val="auto"/>
        </w:rPr>
      </w:pPr>
      <w:r>
        <w:rPr>
          <w:rFonts w:ascii="Arial" w:cs="Arial" w:eastAsia="Arial" w:hAnsi="Arial"/>
          <w:sz w:val="17"/>
          <w:szCs w:val="17"/>
          <w:color w:val="auto"/>
        </w:rPr>
        <w:t>Any Director compensation may be prorated for a Director serving less than a full one (1) year term as in the case of a Director joining the Board of Directors after an Annual Meeting of Shareholders but during the service year.</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EXECUTIVE OFFICERS WHO ARE NOT DIRECTORS</w:t>
      </w:r>
    </w:p>
    <w:p>
      <w:pPr>
        <w:spacing w:after="0" w:line="221" w:lineRule="exact"/>
        <w:rPr>
          <w:sz w:val="20"/>
          <w:szCs w:val="20"/>
          <w:color w:val="auto"/>
        </w:rPr>
      </w:pPr>
    </w:p>
    <w:p>
      <w:pPr>
        <w:jc w:val="both"/>
        <w:ind w:right="180"/>
        <w:spacing w:after="0" w:line="314" w:lineRule="auto"/>
        <w:rPr>
          <w:sz w:val="20"/>
          <w:szCs w:val="20"/>
          <w:color w:val="auto"/>
        </w:rPr>
      </w:pPr>
      <w:r>
        <w:rPr>
          <w:rFonts w:ascii="Arial" w:cs="Arial" w:eastAsia="Arial" w:hAnsi="Arial"/>
          <w:sz w:val="15"/>
          <w:szCs w:val="15"/>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None of our Directors and/or executive officers are related to any other Director and/or executive officer of Altisource or any of its subsidiaries by blood, marriage or adoption.</w:t>
      </w:r>
    </w:p>
    <w:p>
      <w:pPr>
        <w:spacing w:after="0" w:line="90" w:lineRule="exact"/>
        <w:rPr>
          <w:sz w:val="20"/>
          <w:szCs w:val="20"/>
          <w:color w:val="auto"/>
        </w:rPr>
      </w:pPr>
    </w:p>
    <w:tbl>
      <w:tblPr>
        <w:tblLayout w:type="fixed"/>
        <w:tblInd w:w="1140" w:type="dxa"/>
        <w:tblCellMar>
          <w:top w:w="0" w:type="dxa"/>
          <w:left w:w="0" w:type="dxa"/>
          <w:bottom w:w="0" w:type="dxa"/>
          <w:right w:w="0" w:type="dxa"/>
        </w:tblCellMar>
      </w:tblPr>
      <w:tr>
        <w:trPr>
          <w:trHeight w:val="330"/>
        </w:trPr>
        <w:tc>
          <w:tcPr>
            <w:tcW w:w="1980" w:type="dxa"/>
            <w:vAlign w:val="bottom"/>
            <w:gridSpan w:val="2"/>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27"/>
                <w:szCs w:val="27"/>
                <w:b w:val="1"/>
                <w:bCs w:val="1"/>
                <w:color w:val="auto"/>
                <w:vertAlign w:val="superscript"/>
              </w:rPr>
              <w:t>(1)</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Age</w:t>
            </w:r>
          </w:p>
        </w:tc>
        <w:tc>
          <w:tcPr>
            <w:tcW w:w="140" w:type="dxa"/>
            <w:vAlign w:val="bottom"/>
          </w:tcPr>
          <w:p>
            <w:pPr>
              <w:spacing w:after="0"/>
              <w:rPr>
                <w:sz w:val="24"/>
                <w:szCs w:val="24"/>
                <w:color w:val="auto"/>
              </w:rPr>
            </w:pPr>
          </w:p>
        </w:tc>
        <w:tc>
          <w:tcPr>
            <w:tcW w:w="6380" w:type="dxa"/>
            <w:vAlign w:val="bottom"/>
            <w:tcBorders>
              <w:bottom w:val="single" w:sz="8" w:color="auto"/>
            </w:tcBorders>
          </w:tcPr>
          <w:p>
            <w:pPr>
              <w:ind w:left="2900"/>
              <w:spacing w:after="0"/>
              <w:rPr>
                <w:sz w:val="20"/>
                <w:szCs w:val="20"/>
                <w:color w:val="auto"/>
              </w:rPr>
            </w:pPr>
            <w:r>
              <w:rPr>
                <w:rFonts w:ascii="Arial" w:cs="Arial" w:eastAsia="Arial" w:hAnsi="Arial"/>
                <w:sz w:val="17"/>
                <w:szCs w:val="17"/>
                <w:b w:val="1"/>
                <w:bCs w:val="1"/>
                <w:color w:val="auto"/>
              </w:rPr>
              <w:t>Position</w:t>
            </w:r>
          </w:p>
        </w:tc>
      </w:tr>
      <w:tr>
        <w:trPr>
          <w:trHeight w:val="179"/>
        </w:trPr>
        <w:tc>
          <w:tcPr>
            <w:tcW w:w="46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7"/>
                <w:szCs w:val="17"/>
                <w:color w:val="auto"/>
              </w:rPr>
              <w:t>Kevin</w:t>
            </w:r>
          </w:p>
        </w:tc>
        <w:tc>
          <w:tcPr>
            <w:tcW w:w="15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7"/>
                <w:szCs w:val="17"/>
                <w:color w:val="auto"/>
              </w:rPr>
              <w:t>J. Wilcox</w:t>
            </w:r>
          </w:p>
        </w:tc>
        <w:tc>
          <w:tcPr>
            <w:tcW w:w="640" w:type="dxa"/>
            <w:vAlign w:val="bottom"/>
            <w:tcBorders>
              <w:top w:val="single" w:sz="8" w:color="CCEEFF"/>
            </w:tcBorders>
            <w:shd w:val="clear" w:color="auto" w:fill="CCEEFF"/>
          </w:tcPr>
          <w:p>
            <w:pPr>
              <w:jc w:val="right"/>
              <w:ind w:right="116"/>
              <w:spacing w:after="0" w:line="179" w:lineRule="exact"/>
              <w:rPr>
                <w:sz w:val="20"/>
                <w:szCs w:val="20"/>
                <w:color w:val="auto"/>
              </w:rPr>
            </w:pPr>
            <w:r>
              <w:rPr>
                <w:rFonts w:ascii="Arial" w:cs="Arial" w:eastAsia="Arial" w:hAnsi="Arial"/>
                <w:sz w:val="17"/>
                <w:szCs w:val="17"/>
                <w:color w:val="auto"/>
              </w:rPr>
              <w:t>51</w:t>
            </w:r>
          </w:p>
        </w:tc>
        <w:tc>
          <w:tcPr>
            <w:tcW w:w="6520" w:type="dxa"/>
            <w:vAlign w:val="bottom"/>
            <w:tcBorders>
              <w:top w:val="single" w:sz="8" w:color="CCEEFF"/>
            </w:tcBorders>
            <w:gridSpan w:val="2"/>
            <w:shd w:val="clear" w:color="auto" w:fill="CCEEFF"/>
          </w:tcPr>
          <w:p>
            <w:pPr>
              <w:ind w:left="140"/>
              <w:spacing w:after="0" w:line="179" w:lineRule="exact"/>
              <w:rPr>
                <w:sz w:val="20"/>
                <w:szCs w:val="20"/>
                <w:color w:val="auto"/>
              </w:rPr>
            </w:pPr>
            <w:r>
              <w:rPr>
                <w:rFonts w:ascii="Arial" w:cs="Arial" w:eastAsia="Arial" w:hAnsi="Arial"/>
                <w:sz w:val="17"/>
                <w:szCs w:val="17"/>
                <w:color w:val="auto"/>
              </w:rPr>
              <w:t>Chief Administration Officer</w:t>
            </w:r>
          </w:p>
        </w:tc>
      </w:tr>
      <w:tr>
        <w:trPr>
          <w:trHeight w:val="206"/>
        </w:trPr>
        <w:tc>
          <w:tcPr>
            <w:tcW w:w="1980" w:type="dxa"/>
            <w:vAlign w:val="bottom"/>
            <w:gridSpan w:val="2"/>
          </w:tcPr>
          <w:p>
            <w:pPr>
              <w:spacing w:after="0"/>
              <w:rPr>
                <w:sz w:val="20"/>
                <w:szCs w:val="20"/>
                <w:color w:val="auto"/>
              </w:rPr>
            </w:pPr>
            <w:r>
              <w:rPr>
                <w:rFonts w:ascii="Arial" w:cs="Arial" w:eastAsia="Arial" w:hAnsi="Arial"/>
                <w:sz w:val="17"/>
                <w:szCs w:val="17"/>
                <w:color w:val="auto"/>
              </w:rPr>
              <w:t>Michelle D. Esterman</w:t>
            </w:r>
          </w:p>
        </w:tc>
        <w:tc>
          <w:tcPr>
            <w:tcW w:w="640" w:type="dxa"/>
            <w:vAlign w:val="bottom"/>
          </w:tcPr>
          <w:p>
            <w:pPr>
              <w:jc w:val="right"/>
              <w:ind w:right="116"/>
              <w:spacing w:after="0"/>
              <w:rPr>
                <w:sz w:val="20"/>
                <w:szCs w:val="20"/>
                <w:color w:val="auto"/>
              </w:rPr>
            </w:pPr>
            <w:r>
              <w:rPr>
                <w:rFonts w:ascii="Arial" w:cs="Arial" w:eastAsia="Arial" w:hAnsi="Arial"/>
                <w:sz w:val="17"/>
                <w:szCs w:val="17"/>
                <w:color w:val="auto"/>
              </w:rPr>
              <w:t>42</w:t>
            </w:r>
          </w:p>
        </w:tc>
        <w:tc>
          <w:tcPr>
            <w:tcW w:w="6520" w:type="dxa"/>
            <w:vAlign w:val="bottom"/>
            <w:gridSpan w:val="2"/>
          </w:tcPr>
          <w:p>
            <w:pPr>
              <w:ind w:left="140"/>
              <w:spacing w:after="0"/>
              <w:rPr>
                <w:sz w:val="20"/>
                <w:szCs w:val="20"/>
                <w:color w:val="auto"/>
              </w:rPr>
            </w:pPr>
            <w:r>
              <w:rPr>
                <w:rFonts w:ascii="Arial" w:cs="Arial" w:eastAsia="Arial" w:hAnsi="Arial"/>
                <w:sz w:val="17"/>
                <w:szCs w:val="17"/>
                <w:color w:val="auto"/>
              </w:rPr>
              <w:t>Chief Financial Officer</w:t>
            </w:r>
          </w:p>
        </w:tc>
      </w:tr>
      <w:tr>
        <w:trPr>
          <w:trHeight w:val="206"/>
        </w:trPr>
        <w:tc>
          <w:tcPr>
            <w:tcW w:w="1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Vivek Bhandari</w:t>
            </w:r>
          </w:p>
        </w:tc>
        <w:tc>
          <w:tcPr>
            <w:tcW w:w="6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39</w:t>
            </w:r>
          </w:p>
        </w:tc>
        <w:tc>
          <w:tcPr>
            <w:tcW w:w="6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President, Financial Services</w:t>
            </w:r>
          </w:p>
        </w:tc>
      </w:tr>
      <w:tr>
        <w:trPr>
          <w:trHeight w:val="206"/>
        </w:trPr>
        <w:tc>
          <w:tcPr>
            <w:tcW w:w="1980" w:type="dxa"/>
            <w:vAlign w:val="bottom"/>
            <w:gridSpan w:val="2"/>
          </w:tcPr>
          <w:p>
            <w:pPr>
              <w:spacing w:after="0"/>
              <w:rPr>
                <w:sz w:val="20"/>
                <w:szCs w:val="20"/>
                <w:color w:val="auto"/>
              </w:rPr>
            </w:pPr>
            <w:r>
              <w:rPr>
                <w:rFonts w:ascii="Arial" w:cs="Arial" w:eastAsia="Arial" w:hAnsi="Arial"/>
                <w:sz w:val="17"/>
                <w:szCs w:val="17"/>
                <w:color w:val="auto"/>
              </w:rPr>
              <w:t>Joseph A. Davila</w:t>
            </w:r>
          </w:p>
        </w:tc>
        <w:tc>
          <w:tcPr>
            <w:tcW w:w="640" w:type="dxa"/>
            <w:vAlign w:val="bottom"/>
          </w:tcPr>
          <w:p>
            <w:pPr>
              <w:jc w:val="right"/>
              <w:ind w:right="116"/>
              <w:spacing w:after="0"/>
              <w:rPr>
                <w:sz w:val="20"/>
                <w:szCs w:val="20"/>
                <w:color w:val="auto"/>
              </w:rPr>
            </w:pPr>
            <w:r>
              <w:rPr>
                <w:rFonts w:ascii="Arial" w:cs="Arial" w:eastAsia="Arial" w:hAnsi="Arial"/>
                <w:sz w:val="17"/>
                <w:szCs w:val="17"/>
                <w:color w:val="auto"/>
              </w:rPr>
              <w:t>45</w:t>
            </w:r>
          </w:p>
        </w:tc>
        <w:tc>
          <w:tcPr>
            <w:tcW w:w="6520" w:type="dxa"/>
            <w:vAlign w:val="bottom"/>
            <w:gridSpan w:val="2"/>
          </w:tcPr>
          <w:p>
            <w:pPr>
              <w:ind w:left="140"/>
              <w:spacing w:after="0"/>
              <w:rPr>
                <w:sz w:val="20"/>
                <w:szCs w:val="20"/>
                <w:color w:val="auto"/>
              </w:rPr>
            </w:pPr>
            <w:r>
              <w:rPr>
                <w:rFonts w:ascii="Arial" w:cs="Arial" w:eastAsia="Arial" w:hAnsi="Arial"/>
                <w:sz w:val="17"/>
                <w:szCs w:val="17"/>
                <w:color w:val="auto"/>
              </w:rPr>
              <w:t>President, Mortgage Services</w:t>
            </w:r>
          </w:p>
        </w:tc>
      </w:tr>
      <w:tr>
        <w:trPr>
          <w:trHeight w:val="206"/>
        </w:trPr>
        <w:tc>
          <w:tcPr>
            <w:tcW w:w="1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 J. Hynes</w:t>
            </w:r>
          </w:p>
        </w:tc>
        <w:tc>
          <w:tcPr>
            <w:tcW w:w="6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45</w:t>
            </w:r>
          </w:p>
        </w:tc>
        <w:tc>
          <w:tcPr>
            <w:tcW w:w="6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President, Technology Services</w:t>
            </w:r>
          </w:p>
        </w:tc>
      </w:tr>
      <w:tr>
        <w:trPr>
          <w:trHeight w:val="213"/>
        </w:trPr>
        <w:tc>
          <w:tcPr>
            <w:tcW w:w="1980" w:type="dxa"/>
            <w:vAlign w:val="bottom"/>
            <w:gridSpan w:val="2"/>
          </w:tcPr>
          <w:p>
            <w:pPr>
              <w:spacing w:after="0"/>
              <w:rPr>
                <w:sz w:val="20"/>
                <w:szCs w:val="20"/>
                <w:color w:val="auto"/>
              </w:rPr>
            </w:pPr>
            <w:r>
              <w:rPr>
                <w:rFonts w:ascii="Arial" w:cs="Arial" w:eastAsia="Arial" w:hAnsi="Arial"/>
                <w:sz w:val="17"/>
                <w:szCs w:val="17"/>
                <w:color w:val="auto"/>
              </w:rPr>
              <w:t>Gregory J. Ritts</w:t>
            </w:r>
          </w:p>
        </w:tc>
        <w:tc>
          <w:tcPr>
            <w:tcW w:w="640" w:type="dxa"/>
            <w:vAlign w:val="bottom"/>
          </w:tcPr>
          <w:p>
            <w:pPr>
              <w:jc w:val="right"/>
              <w:ind w:right="116"/>
              <w:spacing w:after="0"/>
              <w:rPr>
                <w:sz w:val="20"/>
                <w:szCs w:val="20"/>
                <w:color w:val="auto"/>
              </w:rPr>
            </w:pPr>
            <w:r>
              <w:rPr>
                <w:rFonts w:ascii="Arial" w:cs="Arial" w:eastAsia="Arial" w:hAnsi="Arial"/>
                <w:sz w:val="17"/>
                <w:szCs w:val="17"/>
                <w:color w:val="auto"/>
              </w:rPr>
              <w:t>46</w:t>
            </w:r>
          </w:p>
        </w:tc>
        <w:tc>
          <w:tcPr>
            <w:tcW w:w="6520" w:type="dxa"/>
            <w:vAlign w:val="bottom"/>
            <w:gridSpan w:val="2"/>
          </w:tcPr>
          <w:p>
            <w:pPr>
              <w:ind w:left="140"/>
              <w:spacing w:after="0"/>
              <w:rPr>
                <w:sz w:val="20"/>
                <w:szCs w:val="20"/>
                <w:color w:val="auto"/>
              </w:rPr>
            </w:pPr>
            <w:r>
              <w:rPr>
                <w:rFonts w:ascii="Arial" w:cs="Arial" w:eastAsia="Arial" w:hAnsi="Arial"/>
                <w:sz w:val="17"/>
                <w:szCs w:val="17"/>
                <w:color w:val="auto"/>
              </w:rPr>
              <w:t>General Counsel</w:t>
            </w:r>
          </w:p>
        </w:tc>
      </w:tr>
    </w:tbl>
    <w:p>
      <w:pPr>
        <w:spacing w:after="0" w:line="94" w:lineRule="exact"/>
        <w:rPr>
          <w:sz w:val="20"/>
          <w:szCs w:val="20"/>
          <w:color w:val="auto"/>
        </w:rPr>
      </w:pPr>
    </w:p>
    <w:p>
      <w:pPr>
        <w:ind w:left="1660" w:hanging="515"/>
        <w:spacing w:after="0"/>
        <w:tabs>
          <w:tab w:leader="none" w:pos="166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All information set forth herein is as of March 23, 2015</w:t>
      </w:r>
    </w:p>
    <w:p>
      <w:pPr>
        <w:spacing w:after="0" w:line="19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principal occupation for the last five (5) years, as well as certain other biographical information, for each of our executive officers that is not a Director is set forth below.</w:t>
      </w:r>
    </w:p>
    <w:p>
      <w:pPr>
        <w:spacing w:after="0" w:line="17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 xml:space="preserve">Kevin J. Wilcox. </w:t>
      </w:r>
      <w:r>
        <w:rPr>
          <w:rFonts w:ascii="Arial" w:cs="Arial" w:eastAsia="Arial" w:hAnsi="Arial"/>
          <w:sz w:val="16"/>
          <w:szCs w:val="16"/>
          <w:color w:val="auto"/>
        </w:rPr>
        <w:t>Mr. Wilcox serves as Chief Administration Officer of Altisource. Before joining Altisource in August 2009, he served as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Administration Officer and Corporate Secretary for Ocwen since May 2008. Mr. Wilcox previously served as Senior Vice President</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8" w:name="page19"/>
    <w:bookmarkEnd w:id="18"/>
    <w:p>
      <w:pPr>
        <w:ind w:right="40"/>
        <w:spacing w:after="0" w:line="263" w:lineRule="auto"/>
        <w:rPr>
          <w:sz w:val="20"/>
          <w:szCs w:val="20"/>
          <w:color w:val="auto"/>
        </w:rPr>
      </w:pPr>
      <w:r>
        <w:rPr>
          <w:rFonts w:ascii="Arial" w:cs="Arial" w:eastAsia="Arial" w:hAnsi="Arial"/>
          <w:sz w:val="17"/>
          <w:szCs w:val="17"/>
          <w:color w:val="auto"/>
        </w:rPr>
        <w:t>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82"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b w:val="1"/>
          <w:bCs w:val="1"/>
          <w:i w:val="1"/>
          <w:iCs w:val="1"/>
          <w:color w:val="auto"/>
        </w:rPr>
        <w:t xml:space="preserve">Michelle D. Esterman. </w:t>
      </w:r>
      <w:r>
        <w:rPr>
          <w:rFonts w:ascii="Arial" w:cs="Arial" w:eastAsia="Arial" w:hAnsi="Arial"/>
          <w:sz w:val="15"/>
          <w:szCs w:val="15"/>
          <w:color w:val="auto"/>
        </w:rPr>
        <w:t>Ms. Esterman serves as Chief Financial Officer of Altisource. Before joining Altisource in March 2012, she served as Senior Manager, Audit &amp;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Enterprise Risk Services for Deloitte &amp; Touche LLP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5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Prior to hiring Ms. Esterman, the Company determined that her employment with Deloitte &amp; Touche LLP presented no independence issues that could prevent her from assuming the position of Chief Financial Officer of the Company.</w:t>
      </w:r>
    </w:p>
    <w:p>
      <w:pPr>
        <w:spacing w:after="0" w:line="17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 xml:space="preserve">Vivek Bhandari. </w:t>
      </w:r>
      <w:r>
        <w:rPr>
          <w:rFonts w:ascii="Arial" w:cs="Arial" w:eastAsia="Arial" w:hAnsi="Arial"/>
          <w:sz w:val="17"/>
          <w:szCs w:val="17"/>
          <w:color w:val="auto"/>
        </w:rPr>
        <w:t>Mr. Bhandari serves as President, Financial Services of Altisource since October 2010. Mr. Bhandari previously served as Vice President,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Services since joining Altisource in August 2009. Before joining Altisource, he served as Vice President, Operations, Financial Services at Ocwen since April 2008 and in various other positions within Ocwen from 2005. Mr. Bhandari began his career with Tata Technologies India Ltd. as a consultant. He holds a Bachelor of Technology and Manufacturing Science and Engineering from the Indian Institute of Technology, Delhi and a Master of Business Administration from the Indian Institute of Management, Calcutta.</w:t>
      </w:r>
    </w:p>
    <w:p>
      <w:pPr>
        <w:spacing w:after="0" w:line="18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b w:val="1"/>
          <w:bCs w:val="1"/>
          <w:i w:val="1"/>
          <w:iCs w:val="1"/>
          <w:color w:val="auto"/>
        </w:rPr>
        <w:t xml:space="preserve">Joseph A. Davila. </w:t>
      </w:r>
      <w:r>
        <w:rPr>
          <w:rFonts w:ascii="Arial" w:cs="Arial" w:eastAsia="Arial" w:hAnsi="Arial"/>
          <w:sz w:val="15"/>
          <w:szCs w:val="15"/>
          <w:color w:val="auto"/>
        </w:rPr>
        <w:t>Mr. Davila serves as President, Mortgage Services of Altisource since February 2013. Mr. Davila previously served as Senior Vice President, Real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Estate Services since joining Altisource in July 2011. Before joining Altisource, he served as Vice President of Operations of Capital One Financial Corporation.</w:t>
      </w:r>
    </w:p>
    <w:p>
      <w:pPr>
        <w:spacing w:after="0" w:line="1"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Mr. Davila began his career with Price Waterhouse and, subsequently, with Bain &amp; Company as a consultant. He holds a Bachelor of Science from Southern Methodist University and a Master of Business Administration from Kellogg School of Management at Northwestern University.</w:t>
      </w:r>
    </w:p>
    <w:p>
      <w:pPr>
        <w:spacing w:after="0" w:line="179"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 xml:space="preserve">Mark J. Hynes. </w:t>
      </w:r>
      <w:r>
        <w:rPr>
          <w:rFonts w:ascii="Arial" w:cs="Arial" w:eastAsia="Arial" w:hAnsi="Arial"/>
          <w:sz w:val="16"/>
          <w:szCs w:val="16"/>
          <w:color w:val="auto"/>
        </w:rPr>
        <w:t>Mr. Hynes serves as President, Technology Services of Altisource since January 2011. Mr. Hynes previously served as Vice President, Spend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since joining Altisource in January 2010. Before joining Altisource, he served as President of Digi-Net Technologies, Inc., an early pioneer in marketing analytics software-as-a-service solutions. Mr. Hynes also co-founded Xevo, Inc., a leading provider of service provisioning technologies to application service providers, where he held the position of Chief Operating Officer. Mr. Hynes began his career with Bain &amp; Company as a consultant. He holds a Bachelor of Business Administration from James Madison University and a Master of Business Administration from Harvard University.</w:t>
      </w:r>
    </w:p>
    <w:p>
      <w:pPr>
        <w:spacing w:after="0" w:line="171"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b w:val="1"/>
          <w:bCs w:val="1"/>
          <w:i w:val="1"/>
          <w:iCs w:val="1"/>
          <w:color w:val="auto"/>
        </w:rPr>
        <w:t xml:space="preserve">Gregory J. Ritts. </w:t>
      </w:r>
      <w:r>
        <w:rPr>
          <w:rFonts w:ascii="Arial" w:cs="Arial" w:eastAsia="Arial" w:hAnsi="Arial"/>
          <w:sz w:val="16"/>
          <w:szCs w:val="16"/>
          <w:color w:val="auto"/>
        </w:rPr>
        <w:t>Mr. Ritts serves as General Counsel of Altisource. Before joining Altisource in October 2014, he served as Senior Vice President, Deputy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of Publicis Groupe.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Doctorate from the University of Michigan Law School.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AND RELATED SHAREHOLDER MATTERS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the beneficial ownership of our common stock as of the record date by:</w:t>
      </w:r>
    </w:p>
    <w:p>
      <w:pPr>
        <w:spacing w:after="0" w:line="229" w:lineRule="exact"/>
        <w:rPr>
          <w:sz w:val="20"/>
          <w:szCs w:val="20"/>
          <w:color w:val="auto"/>
        </w:rPr>
      </w:pPr>
    </w:p>
    <w:p>
      <w:pPr>
        <w:ind w:left="1040" w:hanging="522"/>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persons known by Altisource to own beneficially 5% or more of the outstanding common stock;</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Director and named executive officer of Altisource; and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Directors and executive officers of Altisource as a group.</w:t>
      </w:r>
    </w:p>
    <w:p>
      <w:pPr>
        <w:spacing w:after="0" w:line="217" w:lineRule="exact"/>
        <w:rPr>
          <w:sz w:val="20"/>
          <w:szCs w:val="20"/>
          <w:color w:val="auto"/>
        </w:rPr>
      </w:pPr>
    </w:p>
    <w:p>
      <w:pPr>
        <w:jc w:val="both"/>
        <w:ind w:right="380"/>
        <w:spacing w:after="0" w:line="263" w:lineRule="auto"/>
        <w:rPr>
          <w:sz w:val="20"/>
          <w:szCs w:val="20"/>
          <w:color w:val="auto"/>
        </w:rPr>
      </w:pPr>
      <w:r>
        <w:rPr>
          <w:rFonts w:ascii="Arial" w:cs="Arial" w:eastAsia="Arial" w:hAnsi="Arial"/>
          <w:sz w:val="17"/>
          <w:szCs w:val="17"/>
          <w:color w:val="auto"/>
        </w:rPr>
        <w:t>The table is based upon information supplied to us by Directors, executive officers and principal shareholders and filings under the Exchange Act and is based on an aggregate of 20,132,326 shares issued and outstanding as of March 23, 2015. Unless otherwise indicated, the address of all persons below is: Altisource, 40, avenue Monterey, L-2163 Luxembourg City, Grand Duchy of Luxembourg.</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36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300" w:type="dxa"/>
            <w:vAlign w:val="bottom"/>
            <w:gridSpan w:val="2"/>
          </w:tcPr>
          <w:p>
            <w:pPr>
              <w:ind w:left="700"/>
              <w:spacing w:after="0"/>
              <w:rPr>
                <w:sz w:val="20"/>
                <w:szCs w:val="20"/>
                <w:color w:val="auto"/>
              </w:rPr>
            </w:pPr>
            <w:r>
              <w:rPr>
                <w:rFonts w:ascii="Arial" w:cs="Arial" w:eastAsia="Arial" w:hAnsi="Arial"/>
                <w:sz w:val="17"/>
                <w:szCs w:val="17"/>
                <w:b w:val="1"/>
                <w:bCs w:val="1"/>
                <w:color w:val="auto"/>
              </w:rPr>
              <w:t>Shares Beneficially Owned as of March 23, 2015</w:t>
            </w:r>
            <w:r>
              <w:rPr>
                <w:rFonts w:ascii="Arial" w:cs="Arial" w:eastAsia="Arial" w:hAnsi="Arial"/>
                <w:sz w:val="27"/>
                <w:szCs w:val="27"/>
                <w:b w:val="1"/>
                <w:bCs w:val="1"/>
                <w:color w:val="auto"/>
                <w:vertAlign w:val="superscript"/>
              </w:rPr>
              <w:t>(1)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360" w:type="dxa"/>
            <w:vAlign w:val="bottom"/>
            <w:gridSpan w:val="5"/>
          </w:tcPr>
          <w:p>
            <w:pPr>
              <w:spacing w:after="0"/>
              <w:rPr>
                <w:sz w:val="20"/>
                <w:szCs w:val="20"/>
                <w:color w:val="auto"/>
              </w:rPr>
            </w:pPr>
            <w:r>
              <w:rPr>
                <w:rFonts w:ascii="Arial" w:cs="Arial" w:eastAsia="Arial" w:hAnsi="Arial"/>
                <w:sz w:val="17"/>
                <w:szCs w:val="17"/>
                <w:b w:val="1"/>
                <w:bCs w:val="1"/>
                <w:color w:val="auto"/>
              </w:rPr>
              <w:t>Name of Beneficial Owner:</w:t>
            </w: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Amount</w:t>
            </w:r>
          </w:p>
        </w:tc>
        <w:tc>
          <w:tcPr>
            <w:tcW w:w="1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2"/>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204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William C. Erbey</w:t>
            </w:r>
            <w:r>
              <w:rPr>
                <w:rFonts w:ascii="Arial" w:cs="Arial" w:eastAsia="Arial" w:hAnsi="Arial"/>
                <w:sz w:val="27"/>
                <w:szCs w:val="27"/>
                <w:color w:val="auto"/>
                <w:vertAlign w:val="superscript"/>
              </w:rPr>
              <w:t>(2)</w:t>
            </w:r>
          </w:p>
        </w:tc>
        <w:tc>
          <w:tcPr>
            <w:tcW w:w="5300" w:type="dxa"/>
            <w:vAlign w:val="bottom"/>
            <w:gridSpan w:val="2"/>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6,810,157</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32.44%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Putnam Investments, LLC</w:t>
            </w:r>
            <w:r>
              <w:rPr>
                <w:rFonts w:ascii="Arial" w:cs="Arial" w:eastAsia="Arial" w:hAnsi="Arial"/>
                <w:sz w:val="27"/>
                <w:szCs w:val="27"/>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7"/>
                <w:szCs w:val="17"/>
                <w:color w:val="auto"/>
              </w:rPr>
              <w:t>3,029,790</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15.05%</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Entities Affiliated with Luxor Capital Group, LP</w:t>
            </w:r>
            <w:r>
              <w:rPr>
                <w:rFonts w:ascii="Arial" w:cs="Arial" w:eastAsia="Arial" w:hAnsi="Arial"/>
                <w:sz w:val="27"/>
                <w:szCs w:val="27"/>
                <w:color w:val="auto"/>
                <w:vertAlign w:val="superscript"/>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2,381,550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11.83%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340" w:type="dxa"/>
            <w:vAlign w:val="bottom"/>
            <w:gridSpan w:val="4"/>
          </w:tcPr>
          <w:p>
            <w:pPr>
              <w:spacing w:after="0"/>
              <w:rPr>
                <w:sz w:val="20"/>
                <w:szCs w:val="20"/>
                <w:color w:val="auto"/>
              </w:rPr>
            </w:pPr>
            <w:r>
              <w:rPr>
                <w:rFonts w:ascii="Arial" w:cs="Arial" w:eastAsia="Arial" w:hAnsi="Arial"/>
                <w:sz w:val="17"/>
                <w:szCs w:val="17"/>
                <w:color w:val="auto"/>
              </w:rPr>
              <w:t>Leon G. Cooperman</w:t>
            </w:r>
            <w:r>
              <w:rPr>
                <w:rFonts w:ascii="Arial" w:cs="Arial" w:eastAsia="Arial" w:hAnsi="Arial"/>
                <w:sz w:val="27"/>
                <w:szCs w:val="27"/>
                <w:color w:val="auto"/>
                <w:vertAlign w:val="superscript"/>
              </w:rPr>
              <w:t>(5)</w:t>
            </w:r>
          </w:p>
        </w:tc>
        <w:tc>
          <w:tcPr>
            <w:tcW w:w="800" w:type="dxa"/>
            <w:vAlign w:val="bottom"/>
          </w:tcPr>
          <w:p>
            <w:pPr>
              <w:jc w:val="right"/>
              <w:spacing w:after="0"/>
              <w:rPr>
                <w:sz w:val="20"/>
                <w:szCs w:val="20"/>
                <w:color w:val="auto"/>
              </w:rPr>
            </w:pPr>
            <w:r>
              <w:rPr>
                <w:rFonts w:ascii="Arial" w:cs="Arial" w:eastAsia="Arial" w:hAnsi="Arial"/>
                <w:sz w:val="17"/>
                <w:szCs w:val="17"/>
                <w:color w:val="auto"/>
              </w:rPr>
              <w:t>1,962,351</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9.75%</w:t>
            </w:r>
          </w:p>
        </w:tc>
        <w:tc>
          <w:tcPr>
            <w:tcW w:w="0" w:type="dxa"/>
            <w:vAlign w:val="bottom"/>
          </w:tcPr>
          <w:p>
            <w:pPr>
              <w:spacing w:after="0"/>
              <w:rPr>
                <w:sz w:val="1"/>
                <w:szCs w:val="1"/>
                <w:color w:val="auto"/>
              </w:rPr>
            </w:pPr>
          </w:p>
        </w:tc>
      </w:tr>
      <w:tr>
        <w:trPr>
          <w:trHeight w:val="291"/>
        </w:trPr>
        <w:tc>
          <w:tcPr>
            <w:tcW w:w="7360" w:type="dxa"/>
            <w:vAlign w:val="bottom"/>
            <w:gridSpan w:val="5"/>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80" w:type="dxa"/>
            <w:vAlign w:val="bottom"/>
            <w:tcBorders>
              <w:top w:val="single" w:sz="8" w:color="auto"/>
            </w:tcBorders>
            <w:gridSpan w:val="3"/>
            <w:shd w:val="clear" w:color="auto" w:fill="CCEEFF"/>
          </w:tcPr>
          <w:p>
            <w:pPr>
              <w:spacing w:after="0" w:line="239"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(6)</w:t>
            </w:r>
          </w:p>
        </w:tc>
        <w:tc>
          <w:tcPr>
            <w:tcW w:w="4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553,599</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Kevin J. Wilcox</w:t>
            </w:r>
            <w:r>
              <w:rPr>
                <w:rFonts w:ascii="Arial" w:cs="Arial" w:eastAsia="Arial" w:hAnsi="Arial"/>
                <w:sz w:val="27"/>
                <w:szCs w:val="27"/>
                <w:color w:val="auto"/>
                <w:vertAlign w:val="superscript"/>
              </w:rPr>
              <w:t>(7)</w:t>
            </w:r>
          </w:p>
        </w:tc>
        <w:tc>
          <w:tcPr>
            <w:tcW w:w="800" w:type="dxa"/>
            <w:vAlign w:val="bottom"/>
          </w:tcPr>
          <w:p>
            <w:pPr>
              <w:jc w:val="right"/>
              <w:spacing w:after="0"/>
              <w:rPr>
                <w:sz w:val="20"/>
                <w:szCs w:val="20"/>
                <w:color w:val="auto"/>
              </w:rPr>
            </w:pPr>
            <w:r>
              <w:rPr>
                <w:rFonts w:ascii="Arial" w:cs="Arial" w:eastAsia="Arial" w:hAnsi="Arial"/>
                <w:sz w:val="17"/>
                <w:szCs w:val="17"/>
                <w:color w:val="auto"/>
              </w:rPr>
              <w:t>333,978</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Mark J. Hynes</w:t>
            </w:r>
            <w:r>
              <w:rPr>
                <w:rFonts w:ascii="Arial" w:cs="Arial" w:eastAsia="Arial" w:hAnsi="Arial"/>
                <w:sz w:val="27"/>
                <w:szCs w:val="27"/>
                <w:color w:val="auto"/>
                <w:vertAlign w:val="superscript"/>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7"/>
                <w:szCs w:val="27"/>
                <w:color w:val="auto"/>
                <w:vertAlign w:val="superscript"/>
              </w:rPr>
              <w:t>(9)</w:t>
            </w:r>
          </w:p>
        </w:tc>
        <w:tc>
          <w:tcPr>
            <w:tcW w:w="800" w:type="dxa"/>
            <w:vAlign w:val="bottom"/>
          </w:tcPr>
          <w:p>
            <w:pPr>
              <w:jc w:val="right"/>
              <w:spacing w:after="0"/>
              <w:rPr>
                <w:sz w:val="20"/>
                <w:szCs w:val="20"/>
                <w:color w:val="auto"/>
              </w:rPr>
            </w:pPr>
            <w:r>
              <w:rPr>
                <w:rFonts w:ascii="Arial" w:cs="Arial" w:eastAsia="Arial" w:hAnsi="Arial"/>
                <w:sz w:val="17"/>
                <w:szCs w:val="17"/>
                <w:color w:val="auto"/>
              </w:rPr>
              <w:t>32,907</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W. Michael Linn</w:t>
            </w:r>
            <w:r>
              <w:rPr>
                <w:rFonts w:ascii="Arial" w:cs="Arial" w:eastAsia="Arial" w:hAnsi="Arial"/>
                <w:sz w:val="27"/>
                <w:szCs w:val="27"/>
                <w:color w:val="auto"/>
                <w:vertAlign w:val="superscript"/>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21,676</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Joseph A. Davila</w:t>
            </w:r>
            <w:r>
              <w:rPr>
                <w:rFonts w:ascii="Arial" w:cs="Arial" w:eastAsia="Arial" w:hAnsi="Arial"/>
                <w:sz w:val="27"/>
                <w:szCs w:val="27"/>
                <w:color w:val="auto"/>
                <w:vertAlign w:val="superscript"/>
              </w:rPr>
              <w:t>(11)</w:t>
            </w:r>
          </w:p>
        </w:tc>
        <w:tc>
          <w:tcPr>
            <w:tcW w:w="800" w:type="dxa"/>
            <w:vAlign w:val="bottom"/>
          </w:tcPr>
          <w:p>
            <w:pPr>
              <w:jc w:val="right"/>
              <w:spacing w:after="0"/>
              <w:rPr>
                <w:sz w:val="20"/>
                <w:szCs w:val="20"/>
                <w:color w:val="auto"/>
              </w:rPr>
            </w:pPr>
            <w:r>
              <w:rPr>
                <w:rFonts w:ascii="Arial" w:cs="Arial" w:eastAsia="Arial" w:hAnsi="Arial"/>
                <w:sz w:val="17"/>
                <w:szCs w:val="17"/>
                <w:color w:val="auto"/>
              </w:rPr>
              <w:t>20,158</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Roland Müller-Ineichen</w:t>
            </w:r>
            <w:r>
              <w:rPr>
                <w:rFonts w:ascii="Arial" w:cs="Arial" w:eastAsia="Arial" w:hAnsi="Arial"/>
                <w:sz w:val="27"/>
                <w:szCs w:val="27"/>
                <w:color w:val="auto"/>
                <w:vertAlign w:val="superscript"/>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15,811</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Timo Vättö</w:t>
            </w:r>
            <w:r>
              <w:rPr>
                <w:rFonts w:ascii="Arial" w:cs="Arial" w:eastAsia="Arial" w:hAnsi="Arial"/>
                <w:sz w:val="27"/>
                <w:szCs w:val="27"/>
                <w:color w:val="auto"/>
                <w:vertAlign w:val="superscript"/>
              </w:rPr>
              <w:t>(13)</w:t>
            </w:r>
          </w:p>
        </w:tc>
        <w:tc>
          <w:tcPr>
            <w:tcW w:w="800" w:type="dxa"/>
            <w:vAlign w:val="bottom"/>
          </w:tcPr>
          <w:p>
            <w:pPr>
              <w:jc w:val="right"/>
              <w:spacing w:after="0"/>
              <w:rPr>
                <w:sz w:val="20"/>
                <w:szCs w:val="20"/>
                <w:color w:val="auto"/>
              </w:rPr>
            </w:pPr>
            <w:r>
              <w:rPr>
                <w:rFonts w:ascii="Arial" w:cs="Arial" w:eastAsia="Arial" w:hAnsi="Arial"/>
                <w:sz w:val="17"/>
                <w:szCs w:val="17"/>
                <w:color w:val="auto"/>
              </w:rPr>
              <w:t>11,111</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All Directors and Executive Officers as a Group (10 persons)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1,069,864</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423"/>
        </w:trPr>
        <w:tc>
          <w:tcPr>
            <w:tcW w:w="300" w:type="dxa"/>
            <w:vAlign w:val="bottom"/>
            <w:gridSpan w:val="2"/>
          </w:tcPr>
          <w:p>
            <w:pPr>
              <w:spacing w:after="0"/>
              <w:rPr>
                <w:sz w:val="20"/>
                <w:szCs w:val="20"/>
                <w:color w:val="auto"/>
              </w:rPr>
            </w:pPr>
            <w:r>
              <w:rPr>
                <w:rFonts w:ascii="Arial" w:cs="Arial" w:eastAsia="Arial" w:hAnsi="Arial"/>
                <w:sz w:val="17"/>
                <w:szCs w:val="17"/>
                <w:color w:val="auto"/>
              </w:rPr>
              <w:t>*</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Less than 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660" w:right="20" w:hanging="515"/>
        <w:spacing w:after="0" w:line="219" w:lineRule="auto"/>
        <w:tabs>
          <w:tab w:leader="none" w:pos="166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directly or indirectly has, or shares, voting power or investment power as defined in the rules promulgated under the Exchange Act. Unless otherwise indicated, an individual has sole voting power and sole investment power with respect to the indicated shares. No shares have been pledged as security by the named executive officers or Directors.</w:t>
      </w:r>
    </w:p>
    <w:p>
      <w:pPr>
        <w:spacing w:after="0" w:line="201" w:lineRule="exact"/>
        <w:rPr>
          <w:rFonts w:ascii="Arial" w:cs="Arial" w:eastAsia="Arial" w:hAnsi="Arial"/>
          <w:sz w:val="28"/>
          <w:szCs w:val="28"/>
          <w:color w:val="auto"/>
          <w:vertAlign w:val="superscript"/>
        </w:rPr>
      </w:pPr>
    </w:p>
    <w:p>
      <w:pPr>
        <w:ind w:left="1660" w:hanging="515"/>
        <w:spacing w:after="0" w:line="236" w:lineRule="auto"/>
        <w:tabs>
          <w:tab w:leader="none" w:pos="166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13D/A filed with the SEC on March 6, 2015. Includes 5,952,614 shares held by Salt Pond Holdings, LLC, a United States Virgin Islands limited liability company, of which the members are William C. Erbey and his spouse, E. Elaine Erbey; FF Plaza Limited Partnership, a Delaware partnership, of which the partners are Mr. and Mrs. Erbey and Delaware Permanent Corporation, a Delaware corporation wholly owned by Mr. Erbey; and Erbey Holding Corporation, a Delaware corporation, wholly-owned by Mr. Erbey. Includes 125 shares of unvested restricted common stock, subject to forfeiture until vested, and options to acquire 857,543 shares which are vested but remain unexercised, which are held directly by Mr. Erbey. Mr. Erbey's address is P.O. Box 25437, Christiansted, U.S. Virgin Islands 00824. Mr. Erbey stepped down from his position as a Director and Chairman of the Board of Directors of the Company effective January 16, 2015. The Compensation Committee of the Board of Directors determined that his departure constitutes a "retirement" pursuant to the Altisource 2009</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0" w:name="page21"/>
    <w:bookmarkEnd w:id="20"/>
    <w:p>
      <w:pPr>
        <w:ind w:left="515" w:right="120"/>
        <w:spacing w:after="0" w:line="274" w:lineRule="auto"/>
        <w:rPr>
          <w:sz w:val="20"/>
          <w:szCs w:val="20"/>
          <w:color w:val="auto"/>
        </w:rPr>
      </w:pPr>
      <w:r>
        <w:rPr>
          <w:rFonts w:ascii="Arial" w:cs="Arial" w:eastAsia="Arial" w:hAnsi="Arial"/>
          <w:sz w:val="17"/>
          <w:szCs w:val="17"/>
          <w:color w:val="auto"/>
        </w:rPr>
        <w:t>Equity Plan and applicable option and restricted stock award agreements. As a result, his vested options may be exercised within three (3) years of the date of his retirement and his unvested shares of restricted common stock will continue to vest.</w:t>
      </w:r>
    </w:p>
    <w:p>
      <w:pPr>
        <w:spacing w:after="0" w:line="172" w:lineRule="exact"/>
        <w:rPr>
          <w:sz w:val="20"/>
          <w:szCs w:val="20"/>
          <w:color w:val="auto"/>
        </w:rPr>
      </w:pPr>
    </w:p>
    <w:p>
      <w:pPr>
        <w:ind w:left="515" w:right="80" w:hanging="515"/>
        <w:spacing w:after="0" w:line="249" w:lineRule="auto"/>
        <w:tabs>
          <w:tab w:leader="none" w:pos="515" w:val="left"/>
        </w:tabs>
        <w:numPr>
          <w:ilvl w:val="0"/>
          <w:numId w:val="22"/>
        </w:numPr>
        <w:rPr>
          <w:rFonts w:ascii="Arial" w:cs="Arial" w:eastAsia="Arial" w:hAnsi="Arial"/>
          <w:sz w:val="27"/>
          <w:szCs w:val="27"/>
          <w:color w:val="auto"/>
          <w:vertAlign w:val="superscript"/>
        </w:rPr>
      </w:pPr>
      <w:r>
        <w:rPr>
          <w:rFonts w:ascii="Arial" w:cs="Arial" w:eastAsia="Arial" w:hAnsi="Arial"/>
          <w:sz w:val="16"/>
          <w:szCs w:val="16"/>
          <w:color w:val="auto"/>
        </w:rPr>
        <w:t>Based on information contained in a Schedule 13G/A filed with the SEC on February 17, 2015, jointly by Putnam Investments, LLC d/b/a Putnam Investments ("PI"); two of its wholly-owned registered investment advisors, Putnam Investment Management, LLC ("PIM") and The Putnam Advisory Company, LLC ("PAC"); and Putnam Equity Spectrum Fund. The 3,029,790 shares held by PI, as to which sole dispositive power is claimed (and sole voting power is claimed over 34,410 of those shares), include: (a) 3,011,935 shares held by PIM, as to which sole dispositive power is claimed (and sole voting power is claimed over 17,129 of those shares) and (b) 17,855 shares held by PAC, as to which sole dispositive power is claimed (and sole voting power is claimed over 17,281 of those shares). The shares held by PIM include 1,822,971 shares held by Putnam Equity Spectrum Fund as to which sole voting and dispositive power is claimed. The business address of PI, PIM, PAC and Putnam Equity Spectrum Fund is One Post Office Square, Boston, Massachusetts 02109.</w:t>
      </w:r>
    </w:p>
    <w:p>
      <w:pPr>
        <w:spacing w:after="0" w:line="208" w:lineRule="exact"/>
        <w:rPr>
          <w:rFonts w:ascii="Arial" w:cs="Arial" w:eastAsia="Arial" w:hAnsi="Arial"/>
          <w:sz w:val="27"/>
          <w:szCs w:val="27"/>
          <w:color w:val="auto"/>
          <w:vertAlign w:val="superscript"/>
        </w:rPr>
      </w:pPr>
    </w:p>
    <w:p>
      <w:pPr>
        <w:ind w:left="515" w:right="60" w:hanging="515"/>
        <w:spacing w:after="0" w:line="218" w:lineRule="auto"/>
        <w:tabs>
          <w:tab w:leader="none" w:pos="515"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Based on the information contained in a Schedule 13G/A filed with the SEC on August 21, 2014. Includes 949,321 shares beneficially owned by Luxor Capital Partners, LP (the "Onshore Fund"); 214,238 shares beneficially owned by Luxor Wavefront, LP (the "Wavefront Fund");</w:t>
      </w:r>
    </w:p>
    <w:p>
      <w:pPr>
        <w:spacing w:after="0" w:line="1" w:lineRule="exact"/>
        <w:rPr>
          <w:rFonts w:ascii="Arial" w:cs="Arial" w:eastAsia="Arial" w:hAnsi="Arial"/>
          <w:sz w:val="25"/>
          <w:szCs w:val="25"/>
          <w:color w:val="auto"/>
          <w:vertAlign w:val="superscript"/>
        </w:rPr>
      </w:pPr>
    </w:p>
    <w:p>
      <w:pPr>
        <w:ind w:left="515" w:right="60"/>
        <w:spacing w:after="0" w:line="271" w:lineRule="auto"/>
        <w:rPr>
          <w:rFonts w:ascii="Arial" w:cs="Arial" w:eastAsia="Arial" w:hAnsi="Arial"/>
          <w:sz w:val="25"/>
          <w:szCs w:val="25"/>
          <w:color w:val="auto"/>
          <w:vertAlign w:val="superscript"/>
        </w:rPr>
      </w:pPr>
      <w:r>
        <w:rPr>
          <w:rFonts w:ascii="Arial" w:cs="Arial" w:eastAsia="Arial" w:hAnsi="Arial"/>
          <w:sz w:val="16"/>
          <w:szCs w:val="16"/>
          <w:color w:val="auto"/>
        </w:rPr>
        <w:t>1,067,683 shares beneficially owned by Luxor Capital Partners Offshore Master Fund, LP (the "Offshore Master Fund") and, Luxor Capital Partners Offshore, Ltd. (the "Offshore Feeder Fund") may be deemed to beneficially own these shares; 70,702 shares beneficially owned by Luxor Spectrum Offshore Master Fund, LP (the "Spectrum Master Fund") and Luxor Spectrum Offshore, Ltd. (the "Spectrum Feeder Fund") may be deemed to beneficially own these shares; 2,301,944 shares beneficially owned by LCG Holdings, LLC ("LCG Holdings"), as the general partner of the Onshore Fund, the Wavefront Fund, the Offshore Master Fund and the Spectrum Master Fund; 2,301,944 shares beneficially owned by Luxor Capital Group, LP ("Luxor Capital Group"), as the investment manager of the funds and an additional 79,606 shares held in the Separately Managed Account; Luxor Management, LLC ("Luxor Management"), as the general partner of Luxor Capital Group, may be deemed to beneficially own the 2,381,550 shares of common stock beneficially owned by Luxor Capital Group; Mr. Christian Leone, as the managing member of Luxor Management, may be deemed to beneficially own the 2,381,550 shares of common stock beneficially owned by Luxor Management.</w:t>
      </w:r>
    </w:p>
    <w:p>
      <w:pPr>
        <w:spacing w:after="0" w:line="181" w:lineRule="exact"/>
        <w:rPr>
          <w:rFonts w:ascii="Arial" w:cs="Arial" w:eastAsia="Arial" w:hAnsi="Arial"/>
          <w:sz w:val="25"/>
          <w:szCs w:val="25"/>
          <w:color w:val="auto"/>
          <w:vertAlign w:val="superscript"/>
        </w:rPr>
      </w:pPr>
    </w:p>
    <w:p>
      <w:pPr>
        <w:ind w:left="515" w:right="140"/>
        <w:spacing w:after="0" w:line="258" w:lineRule="auto"/>
        <w:rPr>
          <w:rFonts w:ascii="Arial" w:cs="Arial" w:eastAsia="Arial" w:hAnsi="Arial"/>
          <w:sz w:val="25"/>
          <w:szCs w:val="25"/>
          <w:color w:val="auto"/>
          <w:vertAlign w:val="superscript"/>
        </w:rPr>
      </w:pPr>
      <w:r>
        <w:rPr>
          <w:rFonts w:ascii="Arial" w:cs="Arial" w:eastAsia="Arial" w:hAnsi="Arial"/>
          <w:sz w:val="17"/>
          <w:szCs w:val="17"/>
          <w:color w:val="auto"/>
        </w:rPr>
        <w:t>All reporting entities report shared voting and dispositive power with respect to all shares beneficially owned. The business address of each of the Onshore Fund, the Wavefront Fund, Luxor Capital Group, Luxor Management, LCG Holdings and Mr. Leone is 1114 Avenue of the Americas, 29th Floor, New York, New York 10036. The business address of each of the Offshore Master Fund, the Offshore Feeder Fund, the Spectrum Master Fund and the Spectrum Feeder Fund is c/o Maples Corporate Services Limited, P.O. Box 309, Ugland House, Grand Cayman, KY1-1104, Cayman Islands.</w:t>
      </w:r>
    </w:p>
    <w:p>
      <w:pPr>
        <w:spacing w:after="0" w:line="185" w:lineRule="exact"/>
        <w:rPr>
          <w:rFonts w:ascii="Arial" w:cs="Arial" w:eastAsia="Arial" w:hAnsi="Arial"/>
          <w:sz w:val="25"/>
          <w:szCs w:val="25"/>
          <w:color w:val="auto"/>
          <w:vertAlign w:val="superscript"/>
        </w:rPr>
      </w:pPr>
    </w:p>
    <w:p>
      <w:pPr>
        <w:jc w:val="both"/>
        <w:ind w:left="515" w:hanging="515"/>
        <w:spacing w:after="0" w:line="257" w:lineRule="auto"/>
        <w:tabs>
          <w:tab w:leader="none" w:pos="515"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Form 4 filed with the SEC on March 18, 2015. The 1,962,351 shares beneficially owned by Mr. Cooperman consist of 404,710 shares owned by Omega Capital Partners, L.P.; 204,600 shares owned by Omega Equity Investors, L.P.; 198,400 shares owned by Omega Capital Investors, L.P.; 551,042 Shares owned by Omega Overseas Partners, Ltd.; and 603,599 shares held in Managed Accounts over which Mr. Cooperman has investment discretion. Mr. Cooperman disclaims beneficial ownership of all of these shares, except to the extent of his pecuniary interest therein. Mr. Cooperman's address is 11431 West Palmetto Park Road, Boca Raton, FL 33428.</w:t>
      </w:r>
    </w:p>
    <w:p>
      <w:pPr>
        <w:spacing w:after="0" w:line="189" w:lineRule="exact"/>
        <w:rPr>
          <w:rFonts w:ascii="Arial" w:cs="Arial" w:eastAsia="Arial" w:hAnsi="Arial"/>
          <w:sz w:val="25"/>
          <w:szCs w:val="25"/>
          <w:color w:val="auto"/>
          <w:vertAlign w:val="superscript"/>
        </w:rPr>
      </w:pPr>
    </w:p>
    <w:p>
      <w:pPr>
        <w:ind w:left="515" w:right="140" w:hanging="515"/>
        <w:spacing w:after="0" w:line="203" w:lineRule="auto"/>
        <w:tabs>
          <w:tab w:leader="none" w:pos="515" w:val="left"/>
        </w:tabs>
        <w:numPr>
          <w:ilvl w:val="0"/>
          <w:numId w:val="22"/>
        </w:numPr>
        <w:rPr>
          <w:rFonts w:ascii="Arial" w:cs="Arial" w:eastAsia="Arial" w:hAnsi="Arial"/>
          <w:sz w:val="27"/>
          <w:szCs w:val="27"/>
          <w:color w:val="auto"/>
          <w:vertAlign w:val="superscript"/>
        </w:rPr>
      </w:pPr>
      <w:r>
        <w:rPr>
          <w:rFonts w:ascii="Arial" w:cs="Arial" w:eastAsia="Arial" w:hAnsi="Arial"/>
          <w:sz w:val="16"/>
          <w:szCs w:val="16"/>
          <w:color w:val="auto"/>
        </w:rPr>
        <w:t>Includes options to acquire 522,690 shares which are exercisable on or within 60 days after March 23, 2015. Includes 30,909 shares held by the William B. Shepro Revocable Trust. Mr. and Mrs. Shepro share voting and dispositive power with respect to these shares.</w:t>
      </w:r>
    </w:p>
    <w:p>
      <w:pPr>
        <w:spacing w:after="0" w:line="200"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75"/>
          </w:cols>
          <w:pgMar w:left="1385" w:top="131" w:right="239" w:bottom="1440" w:gutter="0" w:footer="0" w:header="0"/>
        </w:sectPr>
      </w:pPr>
    </w:p>
    <w:bookmarkStart w:id="21" w:name="page22"/>
    <w:bookmarkEnd w:id="21"/>
    <w:p>
      <w:pPr>
        <w:ind w:left="515" w:hanging="515"/>
        <w:spacing w:after="0"/>
        <w:tabs>
          <w:tab w:leader="none" w:pos="515"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Includes options to acquire 333,246 shares which are exercisable on or within 60 days after March 23, 2015.</w:t>
      </w:r>
    </w:p>
    <w:p>
      <w:pPr>
        <w:spacing w:after="0" w:line="152" w:lineRule="exact"/>
        <w:rPr>
          <w:rFonts w:ascii="Arial" w:cs="Arial" w:eastAsia="Arial" w:hAnsi="Arial"/>
          <w:sz w:val="28"/>
          <w:szCs w:val="28"/>
          <w:color w:val="auto"/>
          <w:vertAlign w:val="superscript"/>
        </w:rPr>
      </w:pPr>
    </w:p>
    <w:p>
      <w:pPr>
        <w:ind w:left="515" w:hanging="515"/>
        <w:spacing w:after="0" w:line="202" w:lineRule="auto"/>
        <w:tabs>
          <w:tab w:leader="none" w:pos="515"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acquire 75,000 shares which are exercisable on or within 60 days after March 23, 2015.</w:t>
      </w:r>
    </w:p>
    <w:p>
      <w:pPr>
        <w:spacing w:after="0" w:line="141" w:lineRule="exact"/>
        <w:rPr>
          <w:rFonts w:ascii="Arial" w:cs="Arial" w:eastAsia="Arial" w:hAnsi="Arial"/>
          <w:sz w:val="28"/>
          <w:szCs w:val="28"/>
          <w:color w:val="auto"/>
          <w:vertAlign w:val="superscript"/>
        </w:rPr>
      </w:pPr>
    </w:p>
    <w:p>
      <w:pPr>
        <w:ind w:left="515" w:hanging="515"/>
        <w:spacing w:after="0" w:line="202" w:lineRule="auto"/>
        <w:tabs>
          <w:tab w:leader="none" w:pos="515"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acquire 32,907 shares which are exercisable on or within 60 days after March 23, 2015.</w:t>
      </w:r>
    </w:p>
    <w:p>
      <w:pPr>
        <w:spacing w:after="0" w:line="200" w:lineRule="exact"/>
        <w:rPr>
          <w:rFonts w:ascii="Arial" w:cs="Arial" w:eastAsia="Arial" w:hAnsi="Arial"/>
          <w:sz w:val="28"/>
          <w:szCs w:val="28"/>
          <w:color w:val="auto"/>
          <w:vertAlign w:val="superscript"/>
        </w:rPr>
      </w:pPr>
    </w:p>
    <w:p>
      <w:pPr>
        <w:ind w:left="515" w:hanging="515"/>
        <w:spacing w:after="0" w:line="229" w:lineRule="auto"/>
        <w:tabs>
          <w:tab w:leader="none" w:pos="515"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Includes 4,494 shares held by Mr. Linn's spouse, Elizabeth S. Linn, directly; 200 shares held by Mr. Linn's adult children sharing the same household, of which Mr. Linn disclaims voting and dispositive power; 2,070 shares held by W M Linn Trust; 680 shares held by the William Michael Linn, Roth IRA; 315 shares held by the Elizabeth S. Linn, Roth IRA, of which Mr. Linn disclaims voting and dispositive power; 224 shares held by William M. Linn, Simple IRA; and 580 shares held by S &amp; S Agriculture &amp; Oil, LP, a limited partnership in which Mr. and Mrs. Linn are 2% owners and hold 100% of the voting and dispositive power with Mr. Linn's children being 98% owners. Includes 125 shares of unvested restricted common stock, subject to forfeiture until vested.</w:t>
      </w:r>
    </w:p>
    <w:p>
      <w:pPr>
        <w:spacing w:after="0" w:line="106" w:lineRule="exact"/>
        <w:rPr>
          <w:rFonts w:ascii="Arial" w:cs="Arial" w:eastAsia="Arial" w:hAnsi="Arial"/>
          <w:sz w:val="28"/>
          <w:szCs w:val="28"/>
          <w:color w:val="auto"/>
          <w:vertAlign w:val="superscript"/>
        </w:rPr>
      </w:pPr>
    </w:p>
    <w:p>
      <w:pPr>
        <w:ind w:left="515" w:hanging="515"/>
        <w:spacing w:after="0"/>
        <w:tabs>
          <w:tab w:leader="none" w:pos="515"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acquire 20,158 shares which are exercisable on or within 60 days after March 23, 2015.</w:t>
      </w:r>
    </w:p>
    <w:p>
      <w:pPr>
        <w:spacing w:after="0" w:line="139" w:lineRule="exact"/>
        <w:rPr>
          <w:rFonts w:ascii="Arial" w:cs="Arial" w:eastAsia="Arial" w:hAnsi="Arial"/>
          <w:sz w:val="28"/>
          <w:szCs w:val="28"/>
          <w:color w:val="auto"/>
          <w:vertAlign w:val="superscript"/>
        </w:rPr>
      </w:pPr>
    </w:p>
    <w:p>
      <w:pPr>
        <w:ind w:left="515" w:hanging="515"/>
        <w:spacing w:after="0" w:line="202" w:lineRule="auto"/>
        <w:tabs>
          <w:tab w:leader="none" w:pos="515"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Includes 125 shares of unvested restricted common stock, subject to forfeiture until vested.</w:t>
      </w:r>
    </w:p>
    <w:p>
      <w:pPr>
        <w:spacing w:after="0" w:line="153" w:lineRule="exact"/>
        <w:rPr>
          <w:rFonts w:ascii="Arial" w:cs="Arial" w:eastAsia="Arial" w:hAnsi="Arial"/>
          <w:sz w:val="28"/>
          <w:szCs w:val="28"/>
          <w:color w:val="auto"/>
          <w:vertAlign w:val="superscript"/>
        </w:rPr>
      </w:pPr>
    </w:p>
    <w:p>
      <w:pPr>
        <w:ind w:left="515" w:hanging="515"/>
        <w:spacing w:after="0" w:line="193" w:lineRule="auto"/>
        <w:tabs>
          <w:tab w:leader="none" w:pos="515"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Includes 125 shares of unvested restricted common stock, subject to forfeiture until vested.</w:t>
      </w:r>
    </w:p>
    <w:p>
      <w:pPr>
        <w:spacing w:after="0" w:line="199"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5"/>
          </w:cols>
          <w:pgMar w:left="1385" w:top="22" w:right="29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following table sets forth information as of the end of the most recently completed fiscal year with respect to compensation plans under which our equity securities are authorized for issuance.</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7"/>
              </w:rPr>
              <w:t>Weighted average</w:t>
            </w:r>
          </w:p>
        </w:tc>
        <w:tc>
          <w:tcPr>
            <w:tcW w:w="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7"/>
              </w:rPr>
              <w:t>Number of securities to</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6"/>
              </w:rPr>
              <w:t>exercise price of</w:t>
            </w:r>
          </w:p>
        </w:tc>
        <w:tc>
          <w:tcPr>
            <w:tcW w:w="160" w:type="dxa"/>
            <w:vAlign w:val="bottom"/>
          </w:tcPr>
          <w:p>
            <w:pPr>
              <w:spacing w:after="0"/>
              <w:rPr>
                <w:sz w:val="17"/>
                <w:szCs w:val="17"/>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Number of securities</w:t>
            </w:r>
          </w:p>
        </w:tc>
      </w:tr>
      <w:tr>
        <w:trPr>
          <w:trHeight w:val="206"/>
        </w:trPr>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4"/>
              </w:rPr>
              <w:t>be issued upon exercise</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5"/>
              </w:rPr>
              <w:t>outstanding options,</w:t>
            </w:r>
          </w:p>
        </w:tc>
        <w:tc>
          <w:tcPr>
            <w:tcW w:w="160" w:type="dxa"/>
            <w:vAlign w:val="bottom"/>
          </w:tcPr>
          <w:p>
            <w:pPr>
              <w:spacing w:after="0"/>
              <w:rPr>
                <w:sz w:val="17"/>
                <w:szCs w:val="17"/>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remaining available for</w:t>
            </w:r>
          </w:p>
        </w:tc>
      </w:tr>
      <w:tr>
        <w:trPr>
          <w:trHeight w:val="207"/>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5"/>
              </w:rPr>
              <w:t>of outstanding options,</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0"/>
              </w:rPr>
              <w:t>warrants and</w:t>
            </w:r>
          </w:p>
        </w:tc>
        <w:tc>
          <w:tcPr>
            <w:tcW w:w="160" w:type="dxa"/>
            <w:vAlign w:val="bottom"/>
          </w:tcPr>
          <w:p>
            <w:pPr>
              <w:spacing w:after="0"/>
              <w:rPr>
                <w:sz w:val="18"/>
                <w:szCs w:val="18"/>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future issuance under</w:t>
            </w:r>
          </w:p>
        </w:tc>
      </w:tr>
      <w:tr>
        <w:trPr>
          <w:trHeight w:val="256"/>
        </w:trPr>
        <w:tc>
          <w:tcPr>
            <w:tcW w:w="1040" w:type="dxa"/>
            <w:vAlign w:val="bottom"/>
          </w:tcPr>
          <w:p>
            <w:pPr>
              <w:spacing w:after="0"/>
              <w:rPr>
                <w:sz w:val="22"/>
                <w:szCs w:val="22"/>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Plan Category</w:t>
            </w:r>
          </w:p>
        </w:tc>
        <w:tc>
          <w:tcPr>
            <w:tcW w:w="120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warrants and rights</w:t>
            </w:r>
          </w:p>
        </w:tc>
        <w:tc>
          <w:tcPr>
            <w:tcW w:w="160" w:type="dxa"/>
            <w:vAlign w:val="bottom"/>
          </w:tcPr>
          <w:p>
            <w:pPr>
              <w:spacing w:after="0"/>
              <w:rPr>
                <w:sz w:val="22"/>
                <w:szCs w:val="22"/>
                <w:color w:val="auto"/>
              </w:rPr>
            </w:pPr>
          </w:p>
        </w:tc>
        <w:tc>
          <w:tcPr>
            <w:tcW w:w="16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7"/>
                <w:szCs w:val="17"/>
                <w:b w:val="1"/>
                <w:bCs w:val="1"/>
                <w:color w:val="auto"/>
                <w:w w:val="83"/>
              </w:rPr>
              <w:t>rights</w:t>
            </w:r>
            <w:r>
              <w:rPr>
                <w:rFonts w:ascii="Arial" w:cs="Arial" w:eastAsia="Arial" w:hAnsi="Arial"/>
                <w:sz w:val="27"/>
                <w:szCs w:val="27"/>
                <w:b w:val="1"/>
                <w:bCs w:val="1"/>
                <w:color w:val="auto"/>
                <w:w w:val="83"/>
                <w:vertAlign w:val="superscript"/>
              </w:rPr>
              <w:t>(1)</w:t>
            </w:r>
          </w:p>
        </w:tc>
        <w:tc>
          <w:tcPr>
            <w:tcW w:w="160" w:type="dxa"/>
            <w:vAlign w:val="bottom"/>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equity compensation plans</w:t>
            </w:r>
          </w:p>
        </w:tc>
        <w:tc>
          <w:tcPr>
            <w:tcW w:w="160" w:type="dxa"/>
            <w:vAlign w:val="bottom"/>
          </w:tcPr>
          <w:p>
            <w:pPr>
              <w:spacing w:after="0"/>
              <w:rPr>
                <w:sz w:val="22"/>
                <w:szCs w:val="22"/>
                <w:color w:val="auto"/>
              </w:rPr>
            </w:pPr>
          </w:p>
        </w:tc>
      </w:tr>
      <w:tr>
        <w:trPr>
          <w:trHeight w:val="190"/>
        </w:trPr>
        <w:tc>
          <w:tcPr>
            <w:tcW w:w="3320" w:type="dxa"/>
            <w:vAlign w:val="bottom"/>
            <w:gridSpan w:val="3"/>
            <w:shd w:val="clear" w:color="auto" w:fill="CCEEFF"/>
          </w:tcPr>
          <w:p>
            <w:pPr>
              <w:spacing w:after="0" w:line="190" w:lineRule="exact"/>
              <w:rPr>
                <w:sz w:val="20"/>
                <w:szCs w:val="20"/>
                <w:color w:val="auto"/>
              </w:rPr>
            </w:pPr>
            <w:r>
              <w:rPr>
                <w:rFonts w:ascii="Arial" w:cs="Arial" w:eastAsia="Arial" w:hAnsi="Arial"/>
                <w:sz w:val="17"/>
                <w:szCs w:val="17"/>
                <w:color w:val="auto"/>
              </w:rPr>
              <w:t>Equity compensation plans approved by</w:t>
            </w:r>
          </w:p>
        </w:tc>
        <w:tc>
          <w:tcPr>
            <w:tcW w:w="1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5"/>
        </w:trPr>
        <w:tc>
          <w:tcPr>
            <w:tcW w:w="3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 holders</w:t>
            </w:r>
          </w:p>
        </w:tc>
        <w:tc>
          <w:tcPr>
            <w:tcW w:w="182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2,603,644</w:t>
            </w:r>
          </w:p>
        </w:tc>
        <w:tc>
          <w:tcPr>
            <w:tcW w:w="1760" w:type="dxa"/>
            <w:vAlign w:val="bottom"/>
            <w:gridSpan w:val="2"/>
            <w:shd w:val="clear" w:color="auto" w:fill="CCEEFF"/>
          </w:tcPr>
          <w:p>
            <w:pPr>
              <w:jc w:val="right"/>
              <w:ind w:right="436"/>
              <w:spacing w:after="0"/>
              <w:rPr>
                <w:sz w:val="20"/>
                <w:szCs w:val="20"/>
                <w:color w:val="auto"/>
              </w:rPr>
            </w:pPr>
            <w:r>
              <w:rPr>
                <w:rFonts w:ascii="Arial" w:cs="Arial" w:eastAsia="Arial" w:hAnsi="Arial"/>
                <w:sz w:val="17"/>
                <w:szCs w:val="17"/>
                <w:color w:val="auto"/>
              </w:rPr>
              <w:t>$21.21</w:t>
            </w:r>
          </w:p>
        </w:tc>
        <w:tc>
          <w:tcPr>
            <w:tcW w:w="2200" w:type="dxa"/>
            <w:vAlign w:val="bottom"/>
            <w:gridSpan w:val="2"/>
            <w:shd w:val="clear" w:color="auto" w:fill="CCEEFF"/>
          </w:tcPr>
          <w:p>
            <w:pPr>
              <w:jc w:val="right"/>
              <w:ind w:right="556"/>
              <w:spacing w:after="0"/>
              <w:rPr>
                <w:sz w:val="20"/>
                <w:szCs w:val="20"/>
                <w:color w:val="auto"/>
              </w:rPr>
            </w:pPr>
            <w:r>
              <w:rPr>
                <w:rFonts w:ascii="Arial" w:cs="Arial" w:eastAsia="Arial" w:hAnsi="Arial"/>
                <w:sz w:val="17"/>
                <w:szCs w:val="17"/>
                <w:color w:val="auto"/>
              </w:rPr>
              <w:t>2,628,576</w:t>
            </w:r>
          </w:p>
        </w:tc>
        <w:tc>
          <w:tcPr>
            <w:tcW w:w="16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ind w:left="1660" w:hanging="515"/>
        <w:spacing w:after="0" w:line="210" w:lineRule="auto"/>
        <w:tabs>
          <w:tab w:leader="none" w:pos="166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The calculation of the weighted average exercise price does not include restricted stock awards that may be issued to our Directors who attend an aggregate of at least 75% of all meetings of the Board of Directors and committees on which they serve during the service year. See "Board of Directors Compensation"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2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Section 16(a) of the Exchange Act requires our named executive officers, Directors and persons who own more than 10% of our common stock to file reports of ownership and changes in ownership with the SEC. Named executive officers, Directors and greater than 10% shareholders are required by SEC regulations to furnish us with copies of all Section 16(a) forms they file.</w:t>
      </w:r>
    </w:p>
    <w:p>
      <w:pPr>
        <w:spacing w:after="0" w:line="18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Based upon the Company's review of Section 16(a) reports, the Company believes that all Section 16(a) filing requirements applicable to such reporting persons were complied with in 2014, except that the following Section 16 reports were filed late each as a result of an administrative oversight: Joseph A. Davila filed one late report, which covered one transaction; Mark J. Hynes filed two late reports, which each covered one transaction; and Gregory J. Ritts filed one late report, which covered one transaction.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 Philosophy and Objectives</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This compensation discussion and analysis provides information regarding the following:</w:t>
      </w:r>
    </w:p>
    <w:p>
      <w:pPr>
        <w:spacing w:after="0" w:line="229" w:lineRule="exact"/>
        <w:rPr>
          <w:sz w:val="20"/>
          <w:szCs w:val="20"/>
          <w:color w:val="auto"/>
        </w:rPr>
      </w:pPr>
    </w:p>
    <w:p>
      <w:pPr>
        <w:ind w:left="1040" w:hanging="522"/>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compensation governance practices</w:t>
      </w:r>
    </w:p>
    <w:p>
      <w:pPr>
        <w:spacing w:after="0" w:line="242" w:lineRule="exact"/>
        <w:rPr>
          <w:rFonts w:ascii="Arial" w:cs="Arial" w:eastAsia="Arial" w:hAnsi="Arial"/>
          <w:sz w:val="17"/>
          <w:szCs w:val="17"/>
          <w:color w:val="auto"/>
        </w:rPr>
      </w:pPr>
    </w:p>
    <w:p>
      <w:pPr>
        <w:ind w:left="1040" w:hanging="522"/>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compensation programs for our Chief Executive Officer, Chief Financial Officer and three other most highly compensated executive officers in 2014</w:t>
      </w:r>
    </w:p>
    <w:p>
      <w:pPr>
        <w:spacing w:after="0" w:line="252" w:lineRule="exact"/>
        <w:rPr>
          <w:rFonts w:ascii="Arial" w:cs="Arial" w:eastAsia="Arial" w:hAnsi="Arial"/>
          <w:sz w:val="15"/>
          <w:szCs w:val="15"/>
          <w:color w:val="auto"/>
        </w:rPr>
      </w:pPr>
    </w:p>
    <w:p>
      <w:pPr>
        <w:ind w:left="1040" w:hanging="522"/>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overall objectives of our compensation program and what it is designed to reward</w:t>
      </w:r>
    </w:p>
    <w:p>
      <w:pPr>
        <w:spacing w:after="0" w:line="229" w:lineRule="exact"/>
        <w:rPr>
          <w:rFonts w:ascii="Arial" w:cs="Arial" w:eastAsia="Arial" w:hAnsi="Arial"/>
          <w:sz w:val="17"/>
          <w:szCs w:val="17"/>
          <w:color w:val="auto"/>
        </w:rPr>
      </w:pPr>
    </w:p>
    <w:p>
      <w:pPr>
        <w:ind w:left="1040" w:hanging="522"/>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element of compensation that we provide</w:t>
      </w:r>
    </w:p>
    <w:p>
      <w:pPr>
        <w:spacing w:after="0" w:line="242" w:lineRule="exact"/>
        <w:rPr>
          <w:rFonts w:ascii="Arial" w:cs="Arial" w:eastAsia="Arial" w:hAnsi="Arial"/>
          <w:sz w:val="17"/>
          <w:szCs w:val="17"/>
          <w:color w:val="auto"/>
        </w:rPr>
      </w:pPr>
    </w:p>
    <w:p>
      <w:pPr>
        <w:ind w:left="1040" w:hanging="522"/>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reasons for the compensation decisions we have made regarding these individuals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gridSpan w:val="3"/>
          </w:tcPr>
          <w:p>
            <w:pPr>
              <w:spacing w:after="0"/>
              <w:rPr>
                <w:sz w:val="20"/>
                <w:szCs w:val="20"/>
                <w:color w:val="auto"/>
              </w:rPr>
            </w:pPr>
            <w:r>
              <w:rPr>
                <w:rFonts w:ascii="Arial" w:cs="Arial" w:eastAsia="Arial" w:hAnsi="Arial"/>
                <w:sz w:val="17"/>
                <w:szCs w:val="17"/>
                <w:color w:val="auto"/>
              </w:rPr>
              <w:t>Our named executive officers for 2014 are:</w:t>
            </w:r>
          </w:p>
        </w:tc>
        <w:tc>
          <w:tcPr>
            <w:tcW w:w="4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7"/>
                <w:szCs w:val="17"/>
                <w:b w:val="1"/>
                <w:bCs w:val="1"/>
                <w:color w:val="auto"/>
                <w:w w:val="94"/>
              </w:rPr>
              <w:t>Name</w:t>
            </w:r>
          </w:p>
        </w:tc>
        <w:tc>
          <w:tcPr>
            <w:tcW w:w="1700" w:type="dxa"/>
            <w:vAlign w:val="bottom"/>
          </w:tcPr>
          <w:p>
            <w:pPr>
              <w:spacing w:after="0"/>
              <w:rPr>
                <w:sz w:val="24"/>
                <w:szCs w:val="24"/>
                <w:color w:val="auto"/>
              </w:rPr>
            </w:pPr>
          </w:p>
        </w:tc>
        <w:tc>
          <w:tcPr>
            <w:tcW w:w="6980" w:type="dxa"/>
            <w:vAlign w:val="bottom"/>
            <w:gridSpan w:val="2"/>
          </w:tcPr>
          <w:p>
            <w:pPr>
              <w:ind w:left="420"/>
              <w:spacing w:after="0"/>
              <w:rPr>
                <w:sz w:val="20"/>
                <w:szCs w:val="20"/>
                <w:color w:val="auto"/>
              </w:rPr>
            </w:pPr>
            <w:r>
              <w:rPr>
                <w:rFonts w:ascii="Arial" w:cs="Arial" w:eastAsia="Arial" w:hAnsi="Arial"/>
                <w:sz w:val="17"/>
                <w:szCs w:val="17"/>
                <w:b w:val="1"/>
                <w:bCs w:val="1"/>
                <w:color w:val="auto"/>
              </w:rPr>
              <w:t>Position</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40" w:type="dxa"/>
            <w:vAlign w:val="bottom"/>
            <w:vMerge w:val="continue"/>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7"/>
                <w:szCs w:val="17"/>
                <w:color w:val="auto"/>
              </w:rPr>
              <w:t>Kevin J. Wilcox</w:t>
            </w:r>
          </w:p>
        </w:tc>
        <w:tc>
          <w:tcPr>
            <w:tcW w:w="6980" w:type="dxa"/>
            <w:vAlign w:val="bottom"/>
            <w:gridSpan w:val="2"/>
          </w:tcPr>
          <w:p>
            <w:pPr>
              <w:ind w:left="420"/>
              <w:spacing w:after="0"/>
              <w:rPr>
                <w:sz w:val="20"/>
                <w:szCs w:val="20"/>
                <w:color w:val="auto"/>
              </w:rPr>
            </w:pPr>
            <w:r>
              <w:rPr>
                <w:rFonts w:ascii="Arial" w:cs="Arial" w:eastAsia="Arial" w:hAnsi="Arial"/>
                <w:sz w:val="17"/>
                <w:szCs w:val="17"/>
                <w:color w:val="auto"/>
              </w:rPr>
              <w:t>Chief Administration Officer</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7"/>
                <w:szCs w:val="17"/>
                <w:color w:val="auto"/>
              </w:rPr>
              <w:t>Joseph A. Davila</w:t>
            </w:r>
          </w:p>
        </w:tc>
        <w:tc>
          <w:tcPr>
            <w:tcW w:w="6980" w:type="dxa"/>
            <w:vAlign w:val="bottom"/>
            <w:gridSpan w:val="2"/>
          </w:tcPr>
          <w:p>
            <w:pPr>
              <w:ind w:left="420"/>
              <w:spacing w:after="0"/>
              <w:rPr>
                <w:sz w:val="20"/>
                <w:szCs w:val="20"/>
                <w:color w:val="auto"/>
              </w:rPr>
            </w:pPr>
            <w:r>
              <w:rPr>
                <w:rFonts w:ascii="Arial" w:cs="Arial" w:eastAsia="Arial" w:hAnsi="Arial"/>
                <w:sz w:val="17"/>
                <w:szCs w:val="17"/>
                <w:color w:val="auto"/>
              </w:rPr>
              <w:t>President, Mortgage Services</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 J. Hynes</w:t>
            </w: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President, Technology Services</w:t>
            </w:r>
          </w:p>
        </w:tc>
        <w:tc>
          <w:tcPr>
            <w:tcW w:w="0" w:type="dxa"/>
            <w:vAlign w:val="bottom"/>
          </w:tcPr>
          <w:p>
            <w:pPr>
              <w:spacing w:after="0"/>
              <w:rPr>
                <w:sz w:val="1"/>
                <w:szCs w:val="1"/>
                <w:color w:val="auto"/>
              </w:rPr>
            </w:pPr>
          </w:p>
        </w:tc>
      </w:tr>
      <w:tr>
        <w:trPr>
          <w:trHeight w:val="411"/>
        </w:trPr>
        <w:tc>
          <w:tcPr>
            <w:tcW w:w="3300" w:type="dxa"/>
            <w:vAlign w:val="bottom"/>
            <w:gridSpan w:val="3"/>
          </w:tcPr>
          <w:p>
            <w:pPr>
              <w:spacing w:after="0"/>
              <w:rPr>
                <w:sz w:val="20"/>
                <w:szCs w:val="20"/>
                <w:color w:val="auto"/>
              </w:rPr>
            </w:pPr>
            <w:r>
              <w:rPr>
                <w:rFonts w:ascii="Arial" w:cs="Arial" w:eastAsia="Arial" w:hAnsi="Arial"/>
                <w:sz w:val="17"/>
                <w:szCs w:val="17"/>
                <w:b w:val="1"/>
                <w:bCs w:val="1"/>
                <w:color w:val="auto"/>
              </w:rPr>
              <w:t>Compensation Governance Practices</w:t>
            </w:r>
          </w:p>
        </w:tc>
        <w:tc>
          <w:tcPr>
            <w:tcW w:w="4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Our compensation program maintains and continues to build upon the Company's compensation governance framework, as demonstrated by the following practices:</w:t>
      </w:r>
    </w:p>
    <w:p>
      <w:pPr>
        <w:spacing w:after="0" w:line="252" w:lineRule="exact"/>
        <w:rPr>
          <w:sz w:val="20"/>
          <w:szCs w:val="20"/>
          <w:color w:val="auto"/>
        </w:rPr>
      </w:pPr>
    </w:p>
    <w:p>
      <w:pPr>
        <w:ind w:left="1040" w:right="60" w:hanging="522"/>
        <w:spacing w:after="0" w:line="314" w:lineRule="auto"/>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Pay is closely linked to performance. Our 2014 incentive cash compensation awards make up a significant portion of the compensation for each of our named executive officers, including the majority of the compensation for our Chief Executive Officer and Chief Administration Officer. In addition, each of our named executive officers has received performance-based stock option awards upon joining and/or during his or her tenure with the Company.</w:t>
      </w:r>
    </w:p>
    <w:p>
      <w:pPr>
        <w:spacing w:after="0" w:line="160" w:lineRule="exact"/>
        <w:rPr>
          <w:rFonts w:ascii="Arial" w:cs="Arial" w:eastAsia="Arial" w:hAnsi="Arial"/>
          <w:sz w:val="15"/>
          <w:szCs w:val="15"/>
          <w:color w:val="auto"/>
        </w:rPr>
      </w:pPr>
    </w:p>
    <w:p>
      <w:pPr>
        <w:ind w:left="1040" w:right="40" w:hanging="522"/>
        <w:spacing w:after="0" w:line="274"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 respect to equity grants made after January 1, 2013, we have the right to cancel outstanding equity awards and recover realized gains if an executive breaches certain restrictive covenants within two years following his departure from the Company.</w:t>
      </w:r>
    </w:p>
    <w:p>
      <w:pPr>
        <w:spacing w:after="0" w:line="197" w:lineRule="exact"/>
        <w:rPr>
          <w:rFonts w:ascii="Arial" w:cs="Arial" w:eastAsia="Arial" w:hAnsi="Arial"/>
          <w:sz w:val="17"/>
          <w:szCs w:val="17"/>
          <w:color w:val="auto"/>
        </w:rPr>
      </w:pPr>
    </w:p>
    <w:p>
      <w:pPr>
        <w:ind w:left="1040" w:hanging="522"/>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do not provide golden parachute excise tax gross-up protection for our executives.</w:t>
      </w:r>
    </w:p>
    <w:p>
      <w:pPr>
        <w:spacing w:after="0" w:line="229" w:lineRule="exact"/>
        <w:rPr>
          <w:rFonts w:ascii="Arial" w:cs="Arial" w:eastAsia="Arial" w:hAnsi="Arial"/>
          <w:sz w:val="17"/>
          <w:szCs w:val="17"/>
          <w:color w:val="auto"/>
        </w:rPr>
      </w:pPr>
    </w:p>
    <w:p>
      <w:pPr>
        <w:ind w:left="1040" w:right="120" w:hanging="522"/>
        <w:spacing w:after="0" w:line="263"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Insider Trading policy prohibits Company personnel, including our named executive officers, and our Directors from engaging in any short-term, speculative securities transactions, including purchasing securities on margin, engaging in short sales, buying or selling put or call options and trading in options (other than those granted by the Company).</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Role of Executive Officers in Compensation Decisions</w:t>
      </w:r>
    </w:p>
    <w:p>
      <w:pPr>
        <w:spacing w:after="0" w:line="22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the Chief Administration Officer, who may be present at Compensation Committee meetings, except that such executive officers may not be present during any voting or deliberations on their compensation. These executives annually review the performance of each executive officer (other than the Chief Executive Officer and the Chief Administration Officer whose performance is reviewed by the Compensation Committee without the presence of such executives)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the Chief Administration Officer for development and execution.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Compensation Consultant</w:t>
      </w:r>
    </w:p>
    <w:p>
      <w:pPr>
        <w:spacing w:after="0" w:line="22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Pursuant to its authority to retain independent counsel or other advisers as it deems necessary, the Compensation Committee has entered into an agreement with Exequity to provide compensation consulting services to the Compensation Committee as needed from time to time, pursuant to individual engagements. With the consent of the Compensation Committee or the Compensation Committee Chairman, Exequity coordinates with the Human Resources function to gather information necessary to provide these services, and to review, validate and provide input on information, programs and recommendations.</w:t>
      </w:r>
    </w:p>
    <w:p>
      <w:pPr>
        <w:spacing w:after="0" w:line="169"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As disclosed in the Company's proxy statement in connection with the Company's 2014 Annual Meeting of Shareholders, in the first quarter of 2014, the Compensation Committee engaged Exequity to assist in conducting an analysis to ensure that Altisource's peer group for any future compensation benchmarking is comprised of the most appropriate benchmark companies.</w:t>
      </w:r>
    </w:p>
    <w:p>
      <w:pPr>
        <w:spacing w:after="0" w:line="18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part of this analysis, Exequity reviewed and provided research related to appropriate peer group companies for Altisource, taking into consideration many factors, including industry, company size (based on revenues, market capitalization and number of employees), recent growth, similarities in product and service offerings, financial results and operational complexity. To ensure all relevant companies were considered, an initial list of public companies whose compensation details are publicly available and who are classified as operating in similar industries was developed. This initial list was then filtered and refined based on a reasonable matching to a combination of the factors described above.</w:t>
      </w:r>
    </w:p>
    <w:p>
      <w:pPr>
        <w:spacing w:after="0" w:line="186" w:lineRule="exact"/>
        <w:rPr>
          <w:sz w:val="20"/>
          <w:szCs w:val="20"/>
          <w:color w:val="auto"/>
        </w:rPr>
      </w:pPr>
    </w:p>
    <w:p>
      <w:pPr>
        <w:ind w:right="760"/>
        <w:spacing w:after="0" w:line="274" w:lineRule="auto"/>
        <w:rPr>
          <w:sz w:val="20"/>
          <w:szCs w:val="20"/>
          <w:color w:val="auto"/>
        </w:rPr>
      </w:pPr>
      <w:r>
        <w:rPr>
          <w:rFonts w:ascii="Arial" w:cs="Arial" w:eastAsia="Arial" w:hAnsi="Arial"/>
          <w:sz w:val="17"/>
          <w:szCs w:val="17"/>
          <w:color w:val="auto"/>
        </w:rPr>
        <w:t>The resulting group of 18 peer companies includes 10 of the 14 companies included in Altisource's prior peer group, which remain relevant based on the stated parameters, and an additional 8 companies, as follows.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Companies from Altisource's prior peer group:</w:t>
      </w:r>
    </w:p>
    <w:p>
      <w:pPr>
        <w:spacing w:after="0" w:line="229" w:lineRule="exact"/>
        <w:rPr>
          <w:sz w:val="20"/>
          <w:szCs w:val="20"/>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CoreLogic,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Equifax,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ExlService Holdings,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FleetCor Technologies,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Genpact Ltd.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iGATE Corp.</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Lender Processing Services,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Nationstar Mortgage Holdings,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Virtusa Corp.</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WEX,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Additional peer companies for 2014:</w:t>
      </w:r>
    </w:p>
    <w:p>
      <w:pPr>
        <w:spacing w:after="0" w:line="229" w:lineRule="exact"/>
        <w:rPr>
          <w:sz w:val="20"/>
          <w:szCs w:val="20"/>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Global Cash Access Holdings,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Heartland Payment Systems,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Jack Henry &amp; Associates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PRGX Global,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Stewart Information Services Corp.</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Sykes Enterprises,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Syntel,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Walter Investment Management Corp.</w:t>
      </w:r>
    </w:p>
    <w:p>
      <w:pPr>
        <w:spacing w:after="0" w:line="21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To further the objectives of our compensation program, in the second quarter of 2014, our Compensation Committee conducted an analysis of the compensation levels of our Chief Executive Officer, Chief Administration Officer, Chief Financial Officer and our Directors in conjunction with Exequity.</w:t>
      </w:r>
    </w:p>
    <w:p>
      <w:pPr>
        <w:spacing w:after="0" w:line="17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As part of the analysis, Exequity presented information to the Compensation Committee related to the peer group companies approved in the first quarter and reviewed compensation trends and "best practices" in executive and Director compensation among the peer group companies. Compensation data and other resources provided by Exequity set the foundation for the Committee's review and analysis of executive and Director Compensation levels.</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Utilizing a similar benchmarking analysis, the Compensation Committee also reviewed the compensation levels for the Chief Financial Officer and our Directors in the first quarter of 2015 with the assistance of Exequity. Amongst the peer group companies, Lender Processing Services, Inc. was removed from the peer group, subsequent to its acquisition and eventual delisting.</w:t>
      </w:r>
    </w:p>
    <w:p>
      <w:pPr>
        <w:spacing w:after="0" w:line="182"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Based on its consideration of the various factors as set forth in SEC rules and NASDAQ listing standards, the Compensation Committee determined that Exequity is independent and that Exequity's work raised no conflict of interest.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As required by Luxembourg law, Altisource has entered into employment agreements with each of our named executive officers. The employment terms continue indefinitely until the executive's separation from the Company. The agreements provide for a base salary and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or her employment with the Company including, without limitation, reimbursement of relocation expenses and the provision of certain allowances as described in the Executive Compensation section below.</w:t>
      </w:r>
    </w:p>
    <w:p>
      <w:pPr>
        <w:spacing w:after="0" w:line="17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 order to terminate the agreement, each party must provide notice in accordance with the time periods set forth in article L.124-1 of the Luxembourg Labor Code. In the event of the executive's termination by the Company for "cause" ("</w:t>
      </w:r>
      <w:r>
        <w:rPr>
          <w:rFonts w:ascii="Arial" w:cs="Arial" w:eastAsia="Arial" w:hAnsi="Arial"/>
          <w:sz w:val="15"/>
          <w:szCs w:val="15"/>
          <w:i w:val="1"/>
          <w:iCs w:val="1"/>
          <w:color w:val="auto"/>
        </w:rPr>
        <w:t>motifs graves</w:t>
      </w:r>
      <w:r>
        <w:rPr>
          <w:rFonts w:ascii="Arial" w:cs="Arial" w:eastAsia="Arial" w:hAnsi="Arial"/>
          <w:sz w:val="15"/>
          <w:szCs w:val="15"/>
          <w:color w:val="auto"/>
        </w:rPr>
        <w:t>"), no notice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Labor Code upon certain terminations.</w:t>
      </w:r>
    </w:p>
    <w:p>
      <w:pPr>
        <w:spacing w:after="0" w:line="153"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The agreements also provide for a covenant to maintain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by and in accordance with the laws of the Grand Duchy of Luxembourg.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Elements of Compensation</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current compensation package for our named executive officers consists of base salary and annual incentive compensation. This compensation structure was developed in order to provide each named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183"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Base salaries for our named executive officers are established based on individual qualifications and job responsibilities while taking into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levels at similarly situated companies in our peer group for similar positions.</w:t>
      </w:r>
    </w:p>
    <w:p>
      <w:pPr>
        <w:spacing w:after="0" w:line="17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Base salaries for our named executive officers are reviewed annually with adjustments made based on market information, internal review of the named executive officer's compensation in relation to other officers, individual performance of the executive officer and corporate performance. Salary levels are also considered upon a relocation, a promotion or other change in job responsibility. Salary adjustment recommendations are based on our overall performance and an analysis of compensation levels necessary to maintain and attract quality personnel. The Compensation Committee sets the base salary for the Chief Executive Officer and approves the base salaries for all other named executive officers.</w:t>
      </w:r>
    </w:p>
    <w:p>
      <w:pPr>
        <w:spacing w:after="0" w:line="186"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Additionally, under Luxembourg law, all salaries are required to be adapted based upon the cost of living index in the Grand Duchy of Luxembourg. The last increase in Luxembourg salaries pursuant to this law occurred in October 2013. There was no required increase in salaries in 2014.</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Please see "Compensation Increases for Certain Named Executive Officers" for a discussion of salary increases for our named executive officers.</w:t>
      </w:r>
    </w:p>
    <w:p>
      <w:pPr>
        <w:spacing w:after="0" w:line="21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i w:val="1"/>
          <w:iCs w:val="1"/>
          <w:color w:val="auto"/>
        </w:rPr>
        <w:t xml:space="preserve">2014 Annual Incentive Compensation. </w:t>
      </w:r>
      <w:r>
        <w:rPr>
          <w:rFonts w:ascii="Arial" w:cs="Arial" w:eastAsia="Arial" w:hAnsi="Arial"/>
          <w:sz w:val="17"/>
          <w:szCs w:val="17"/>
          <w:color w:val="auto"/>
        </w:rPr>
        <w:t>Pursuant to an annual incentive plan, a participant can earn cash, restricted stock and stock option awards as determined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The plan provides the Compensation Committee and our management with the authority to establish incentive award guidelines which are further discussed below.</w:t>
      </w:r>
    </w:p>
    <w:p>
      <w:pPr>
        <w:spacing w:after="0" w:line="18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Each named executive officer has a targeted annual cash incentive award that is expressed as a percentage of his or her annual cash total target compensation. In 2014, 40–60% of total annual cash target compensation was payable only upon achievement of certain minimum Company and individual performance levels. The appropriate targeted percentage varies based upon the nature and scope of each named executive officer's responsibilities.</w:t>
      </w:r>
    </w:p>
    <w:p>
      <w:pPr>
        <w:spacing w:after="0" w:line="16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table below reflects the percentage of each named executive officer's target total annual cash compensation that was allocated to each of base salary and incentive compensation in 2014 and each named executive officer's actual total annual cash compensation that was allocated to each of base salary and incentive compensation in 2014: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89"/>
              </w:rPr>
              <w:t>Incentive</w:t>
            </w:r>
          </w:p>
        </w:tc>
      </w:tr>
      <w:tr>
        <w:trPr>
          <w:trHeight w:val="206"/>
        </w:trPr>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Base Salary %</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Compensation %</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9"/>
              </w:rPr>
              <w:t>Base Salary %</w:t>
            </w:r>
          </w:p>
        </w:tc>
        <w:tc>
          <w:tcPr>
            <w:tcW w:w="180" w:type="dxa"/>
            <w:vAlign w:val="bottom"/>
          </w:tcPr>
          <w:p>
            <w:pPr>
              <w:spacing w:after="0"/>
              <w:rPr>
                <w:sz w:val="17"/>
                <w:szCs w:val="17"/>
                <w:color w:val="auto"/>
              </w:rPr>
            </w:pPr>
          </w:p>
        </w:tc>
        <w:tc>
          <w:tcPr>
            <w:tcW w:w="2760" w:type="dxa"/>
            <w:vAlign w:val="bottom"/>
            <w:gridSpan w:val="3"/>
          </w:tcPr>
          <w:p>
            <w:pPr>
              <w:jc w:val="center"/>
              <w:ind w:right="1200"/>
              <w:spacing w:after="0"/>
              <w:rPr>
                <w:sz w:val="20"/>
                <w:szCs w:val="20"/>
                <w:color w:val="auto"/>
              </w:rPr>
            </w:pPr>
            <w:r>
              <w:rPr>
                <w:rFonts w:ascii="Arial" w:cs="Arial" w:eastAsia="Arial" w:hAnsi="Arial"/>
                <w:sz w:val="17"/>
                <w:szCs w:val="17"/>
                <w:b w:val="1"/>
                <w:bCs w:val="1"/>
                <w:color w:val="auto"/>
                <w:w w:val="89"/>
              </w:rPr>
              <w:t>Compensation %</w:t>
            </w:r>
          </w:p>
        </w:tc>
      </w:tr>
      <w:tr>
        <w:trPr>
          <w:trHeight w:val="206"/>
        </w:trPr>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of Target Total</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of Target Total</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9"/>
              </w:rPr>
              <w:t>of Actual Total</w:t>
            </w:r>
          </w:p>
        </w:tc>
        <w:tc>
          <w:tcPr>
            <w:tcW w:w="180" w:type="dxa"/>
            <w:vAlign w:val="bottom"/>
          </w:tcPr>
          <w:p>
            <w:pPr>
              <w:spacing w:after="0"/>
              <w:rPr>
                <w:sz w:val="17"/>
                <w:szCs w:val="17"/>
                <w:color w:val="auto"/>
              </w:rPr>
            </w:pPr>
          </w:p>
        </w:tc>
        <w:tc>
          <w:tcPr>
            <w:tcW w:w="276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89"/>
              </w:rPr>
              <w:t>of Actual Total</w:t>
            </w:r>
          </w:p>
        </w:tc>
      </w:tr>
      <w:tr>
        <w:trPr>
          <w:trHeight w:val="206"/>
        </w:trPr>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276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90"/>
              </w:rPr>
              <w:t>Annual Cash</w:t>
            </w:r>
          </w:p>
        </w:tc>
      </w:tr>
      <w:tr>
        <w:trPr>
          <w:trHeight w:val="206"/>
        </w:trPr>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6"/>
              </w:rPr>
              <w:t>Compensation</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80" w:type="dxa"/>
            <w:vAlign w:val="bottom"/>
          </w:tcPr>
          <w:p>
            <w:pPr>
              <w:spacing w:after="0"/>
              <w:rPr>
                <w:sz w:val="17"/>
                <w:szCs w:val="17"/>
                <w:color w:val="auto"/>
              </w:rPr>
            </w:pPr>
          </w:p>
        </w:tc>
        <w:tc>
          <w:tcPr>
            <w:tcW w:w="276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86"/>
              </w:rPr>
              <w:t>Compensation</w:t>
            </w:r>
          </w:p>
        </w:tc>
      </w:tr>
      <w:tr>
        <w:trPr>
          <w:trHeight w:val="218"/>
        </w:trPr>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Name</w:t>
            </w:r>
          </w:p>
        </w:tc>
        <w:tc>
          <w:tcPr>
            <w:tcW w:w="148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2014</w:t>
            </w:r>
          </w:p>
        </w:tc>
        <w:tc>
          <w:tcPr>
            <w:tcW w:w="18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2014</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2014</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in 2014</w:t>
            </w:r>
          </w:p>
        </w:tc>
        <w:tc>
          <w:tcPr>
            <w:tcW w:w="1200" w:type="dxa"/>
            <w:vAlign w:val="bottom"/>
            <w:gridSpan w:val="2"/>
          </w:tcPr>
          <w:p>
            <w:pPr>
              <w:spacing w:after="0"/>
              <w:rPr>
                <w:sz w:val="18"/>
                <w:szCs w:val="18"/>
                <w:color w:val="auto"/>
              </w:rPr>
            </w:pPr>
          </w:p>
        </w:tc>
      </w:tr>
      <w:tr>
        <w:trPr>
          <w:trHeight w:val="200"/>
        </w:trPr>
        <w:tc>
          <w:tcPr>
            <w:tcW w:w="1140" w:type="dxa"/>
            <w:vAlign w:val="bottom"/>
          </w:tcPr>
          <w:p>
            <w:pPr>
              <w:spacing w:after="0"/>
              <w:rPr>
                <w:sz w:val="17"/>
                <w:szCs w:val="17"/>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40%</w:t>
            </w:r>
          </w:p>
        </w:tc>
        <w:tc>
          <w:tcPr>
            <w:tcW w:w="170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60%</w:t>
            </w:r>
          </w:p>
        </w:tc>
        <w:tc>
          <w:tcPr>
            <w:tcW w:w="154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39%</w:t>
            </w:r>
          </w:p>
        </w:tc>
        <w:tc>
          <w:tcPr>
            <w:tcW w:w="1740" w:type="dxa"/>
            <w:vAlign w:val="bottom"/>
            <w:gridSpan w:val="2"/>
            <w:shd w:val="clear" w:color="auto" w:fill="CCEEFF"/>
          </w:tcPr>
          <w:p>
            <w:pPr>
              <w:jc w:val="right"/>
              <w:ind w:right="496"/>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1340" w:type="dxa"/>
            <w:vAlign w:val="bottom"/>
          </w:tcPr>
          <w:p>
            <w:pPr>
              <w:jc w:val="right"/>
              <w:ind w:right="396"/>
              <w:spacing w:after="0"/>
              <w:rPr>
                <w:sz w:val="20"/>
                <w:szCs w:val="20"/>
                <w:color w:val="auto"/>
              </w:rPr>
            </w:pPr>
            <w:r>
              <w:rPr>
                <w:rFonts w:ascii="Arial" w:cs="Arial" w:eastAsia="Arial" w:hAnsi="Arial"/>
                <w:sz w:val="17"/>
                <w:szCs w:val="17"/>
                <w:color w:val="auto"/>
              </w:rPr>
              <w:t>50%</w:t>
            </w:r>
          </w:p>
        </w:tc>
        <w:tc>
          <w:tcPr>
            <w:tcW w:w="1700" w:type="dxa"/>
            <w:vAlign w:val="bottom"/>
            <w:gridSpan w:val="2"/>
          </w:tcPr>
          <w:p>
            <w:pPr>
              <w:jc w:val="right"/>
              <w:ind w:right="476"/>
              <w:spacing w:after="0"/>
              <w:rPr>
                <w:sz w:val="20"/>
                <w:szCs w:val="20"/>
                <w:color w:val="auto"/>
              </w:rPr>
            </w:pPr>
            <w:r>
              <w:rPr>
                <w:rFonts w:ascii="Arial" w:cs="Arial" w:eastAsia="Arial" w:hAnsi="Arial"/>
                <w:sz w:val="17"/>
                <w:szCs w:val="17"/>
                <w:color w:val="auto"/>
              </w:rPr>
              <w:t>50%</w:t>
            </w:r>
          </w:p>
        </w:tc>
        <w:tc>
          <w:tcPr>
            <w:tcW w:w="1540" w:type="dxa"/>
            <w:vAlign w:val="bottom"/>
            <w:gridSpan w:val="2"/>
          </w:tcPr>
          <w:p>
            <w:pPr>
              <w:jc w:val="right"/>
              <w:ind w:right="396"/>
              <w:spacing w:after="0"/>
              <w:rPr>
                <w:sz w:val="20"/>
                <w:szCs w:val="20"/>
                <w:color w:val="auto"/>
              </w:rPr>
            </w:pPr>
            <w:r>
              <w:rPr>
                <w:rFonts w:ascii="Arial" w:cs="Arial" w:eastAsia="Arial" w:hAnsi="Arial"/>
                <w:sz w:val="17"/>
                <w:szCs w:val="17"/>
                <w:color w:val="auto"/>
              </w:rPr>
              <w:t>48%</w:t>
            </w:r>
          </w:p>
        </w:tc>
        <w:tc>
          <w:tcPr>
            <w:tcW w:w="1740" w:type="dxa"/>
            <w:vAlign w:val="bottom"/>
            <w:gridSpan w:val="2"/>
          </w:tcPr>
          <w:p>
            <w:pPr>
              <w:jc w:val="right"/>
              <w:ind w:right="496"/>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60%</w:t>
            </w:r>
          </w:p>
        </w:tc>
        <w:tc>
          <w:tcPr>
            <w:tcW w:w="170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40%</w:t>
            </w:r>
          </w:p>
        </w:tc>
        <w:tc>
          <w:tcPr>
            <w:tcW w:w="154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59%</w:t>
            </w:r>
          </w:p>
        </w:tc>
        <w:tc>
          <w:tcPr>
            <w:tcW w:w="1740" w:type="dxa"/>
            <w:vAlign w:val="bottom"/>
            <w:gridSpan w:val="2"/>
            <w:shd w:val="clear" w:color="auto" w:fill="CCEEFF"/>
          </w:tcPr>
          <w:p>
            <w:pPr>
              <w:jc w:val="right"/>
              <w:ind w:right="496"/>
              <w:spacing w:after="0"/>
              <w:rPr>
                <w:sz w:val="20"/>
                <w:szCs w:val="20"/>
                <w:color w:val="auto"/>
              </w:rPr>
            </w:pPr>
            <w:r>
              <w:rPr>
                <w:rFonts w:ascii="Arial" w:cs="Arial" w:eastAsia="Arial" w:hAnsi="Arial"/>
                <w:sz w:val="17"/>
                <w:szCs w:val="17"/>
                <w:color w:val="auto"/>
              </w:rPr>
              <w:t>41%</w:t>
            </w:r>
          </w:p>
        </w:tc>
        <w:tc>
          <w:tcPr>
            <w:tcW w:w="1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auto"/>
              </w:rPr>
              <w:t>Joseph A. Davila</w:t>
            </w:r>
          </w:p>
        </w:tc>
        <w:tc>
          <w:tcPr>
            <w:tcW w:w="1340" w:type="dxa"/>
            <w:vAlign w:val="bottom"/>
          </w:tcPr>
          <w:p>
            <w:pPr>
              <w:jc w:val="right"/>
              <w:ind w:right="396"/>
              <w:spacing w:after="0"/>
              <w:rPr>
                <w:sz w:val="20"/>
                <w:szCs w:val="20"/>
                <w:color w:val="auto"/>
              </w:rPr>
            </w:pPr>
            <w:r>
              <w:rPr>
                <w:rFonts w:ascii="Arial" w:cs="Arial" w:eastAsia="Arial" w:hAnsi="Arial"/>
                <w:sz w:val="17"/>
                <w:szCs w:val="17"/>
                <w:color w:val="auto"/>
              </w:rPr>
              <w:t>57%</w:t>
            </w:r>
          </w:p>
        </w:tc>
        <w:tc>
          <w:tcPr>
            <w:tcW w:w="1700" w:type="dxa"/>
            <w:vAlign w:val="bottom"/>
            <w:gridSpan w:val="2"/>
          </w:tcPr>
          <w:p>
            <w:pPr>
              <w:jc w:val="right"/>
              <w:ind w:right="476"/>
              <w:spacing w:after="0"/>
              <w:rPr>
                <w:sz w:val="20"/>
                <w:szCs w:val="20"/>
                <w:color w:val="auto"/>
              </w:rPr>
            </w:pPr>
            <w:r>
              <w:rPr>
                <w:rFonts w:ascii="Arial" w:cs="Arial" w:eastAsia="Arial" w:hAnsi="Arial"/>
                <w:sz w:val="17"/>
                <w:szCs w:val="17"/>
                <w:color w:val="auto"/>
              </w:rPr>
              <w:t>43%</w:t>
            </w:r>
          </w:p>
        </w:tc>
        <w:tc>
          <w:tcPr>
            <w:tcW w:w="1540" w:type="dxa"/>
            <w:vAlign w:val="bottom"/>
            <w:gridSpan w:val="2"/>
          </w:tcPr>
          <w:p>
            <w:pPr>
              <w:jc w:val="right"/>
              <w:ind w:right="396"/>
              <w:spacing w:after="0"/>
              <w:rPr>
                <w:sz w:val="20"/>
                <w:szCs w:val="20"/>
                <w:color w:val="auto"/>
              </w:rPr>
            </w:pPr>
            <w:r>
              <w:rPr>
                <w:rFonts w:ascii="Arial" w:cs="Arial" w:eastAsia="Arial" w:hAnsi="Arial"/>
                <w:sz w:val="17"/>
                <w:szCs w:val="17"/>
                <w:color w:val="auto"/>
              </w:rPr>
              <w:t>56%</w:t>
            </w:r>
          </w:p>
        </w:tc>
        <w:tc>
          <w:tcPr>
            <w:tcW w:w="1740" w:type="dxa"/>
            <w:vAlign w:val="bottom"/>
            <w:gridSpan w:val="2"/>
          </w:tcPr>
          <w:p>
            <w:pPr>
              <w:jc w:val="right"/>
              <w:ind w:right="496"/>
              <w:spacing w:after="0"/>
              <w:rPr>
                <w:sz w:val="20"/>
                <w:szCs w:val="20"/>
                <w:color w:val="auto"/>
              </w:rPr>
            </w:pPr>
            <w:r>
              <w:rPr>
                <w:rFonts w:ascii="Arial" w:cs="Arial" w:eastAsia="Arial" w:hAnsi="Arial"/>
                <w:sz w:val="17"/>
                <w:szCs w:val="17"/>
                <w:color w:val="auto"/>
              </w:rPr>
              <w:t>44%</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Mark J. Hynes</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57%</w:t>
            </w:r>
          </w:p>
        </w:tc>
        <w:tc>
          <w:tcPr>
            <w:tcW w:w="170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43%</w:t>
            </w:r>
          </w:p>
        </w:tc>
        <w:tc>
          <w:tcPr>
            <w:tcW w:w="154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60%</w:t>
            </w:r>
          </w:p>
        </w:tc>
        <w:tc>
          <w:tcPr>
            <w:tcW w:w="1740" w:type="dxa"/>
            <w:vAlign w:val="bottom"/>
            <w:gridSpan w:val="2"/>
            <w:shd w:val="clear" w:color="auto" w:fill="CCEEFF"/>
          </w:tcPr>
          <w:p>
            <w:pPr>
              <w:jc w:val="right"/>
              <w:ind w:right="496"/>
              <w:spacing w:after="0"/>
              <w:rPr>
                <w:sz w:val="20"/>
                <w:szCs w:val="20"/>
                <w:color w:val="auto"/>
              </w:rPr>
            </w:pPr>
            <w:r>
              <w:rPr>
                <w:rFonts w:ascii="Arial" w:cs="Arial" w:eastAsia="Arial" w:hAnsi="Arial"/>
                <w:sz w:val="17"/>
                <w:szCs w:val="17"/>
                <w:color w:val="auto"/>
              </w:rPr>
              <w:t>40%</w:t>
            </w:r>
          </w:p>
        </w:tc>
        <w:tc>
          <w:tcPr>
            <w:tcW w:w="1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411"/>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gridSpan w:val="2"/>
          </w:tcPr>
          <w:p>
            <w:pPr>
              <w:jc w:val="right"/>
              <w:ind w:right="1056"/>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7"/>
        </w:trPr>
        <w:tc>
          <w:tcPr>
            <w:tcW w:w="114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line="294" w:lineRule="auto"/>
        <w:rPr>
          <w:sz w:val="20"/>
          <w:szCs w:val="20"/>
          <w:color w:val="auto"/>
        </w:rPr>
      </w:pPr>
      <w:r>
        <w:rPr>
          <w:rFonts w:ascii="Arial" w:cs="Arial" w:eastAsia="Arial" w:hAnsi="Arial"/>
          <w:sz w:val="15"/>
          <w:szCs w:val="15"/>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the development of the corporate scorecard each year, the Compensation Committee considers the level of difficulty associated with the attainment of each goal in the scorecard. The intent of the Compensation Committee is to establish the target goal at a level that is challenging to achieve. For 2014, our corporate scorecard was approved by our Board of Directors at its meeting on February 10, 2014. Certain amendments to our corporate scorecard were approved by our Board of Directors at subsequent Board of Directors meetings.</w:t>
      </w:r>
    </w:p>
    <w:p>
      <w:pPr>
        <w:spacing w:after="0" w:line="164"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As disclosed in the Company's proxy statement in connection with the Company's 2014 Annual Meeting of Shareholders, the corporate scorecard for 2014 included achieving a consolidated revenue target, achieving business segment specific revenue and pre-tax income targets and achieving an earnings per share target. In addition, the corporate scorecard provided for successful completion of strategic initiatives. While many of our scorecard metrics were achieved, we believe we experienced a decline in our share price in 2014 following the discontinuation of our lender placed insurance brokerage line of business, news of ongoing regulatory investigations at Ocwen, our largest customer, and concerns about Ocwen's ability to grow. As detailed below, we failed to meet our earnings per share target but exceeded our consolidated revenue target, achieved or exceeded the majority of the business segment specific revenue and pre-tax income targets and successfully completed the majority of the 2014 strategic initiatives established to enhance our ability to create long-term corporate and shareholder value.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Our corporate scorecard for 2014, as amended, and corresponding achievement levels are detailed below:</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Corporate Scorecard Elements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7"/>
              </w:rPr>
              <w:t>Levels of Achievement</w:t>
            </w:r>
          </w:p>
        </w:tc>
        <w:tc>
          <w:tcPr>
            <w:tcW w:w="13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199"/>
        </w:trPr>
        <w:tc>
          <w:tcPr>
            <w:tcW w:w="216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Element</w:t>
            </w:r>
          </w:p>
        </w:tc>
        <w:tc>
          <w:tcPr>
            <w:tcW w:w="236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Target</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22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Level Achieved</w:t>
            </w:r>
          </w:p>
        </w:tc>
      </w:tr>
      <w:tr>
        <w:trPr>
          <w:trHeight w:val="190"/>
        </w:trPr>
        <w:tc>
          <w:tcPr>
            <w:tcW w:w="5140" w:type="dxa"/>
            <w:vAlign w:val="bottom"/>
            <w:gridSpan w:val="3"/>
            <w:shd w:val="clear" w:color="auto" w:fill="CCEEFF"/>
          </w:tcPr>
          <w:p>
            <w:pPr>
              <w:jc w:val="center"/>
              <w:ind w:right="220"/>
              <w:spacing w:after="0" w:line="190" w:lineRule="exact"/>
              <w:rPr>
                <w:sz w:val="20"/>
                <w:szCs w:val="20"/>
                <w:color w:val="auto"/>
              </w:rPr>
            </w:pPr>
            <w:r>
              <w:rPr>
                <w:rFonts w:ascii="Arial" w:cs="Arial" w:eastAsia="Arial" w:hAnsi="Arial"/>
                <w:sz w:val="14"/>
                <w:szCs w:val="14"/>
                <w:color w:val="auto"/>
              </w:rPr>
              <w:t>Achieve Service Revenue Target</w:t>
            </w:r>
            <w:r>
              <w:rPr>
                <w:rFonts w:ascii="Arial" w:cs="Arial" w:eastAsia="Arial" w:hAnsi="Arial"/>
                <w:sz w:val="22"/>
                <w:szCs w:val="22"/>
                <w:color w:val="auto"/>
                <w:vertAlign w:val="superscript"/>
              </w:rPr>
              <w:t>(1)</w:t>
            </w:r>
          </w:p>
        </w:tc>
        <w:tc>
          <w:tcPr>
            <w:tcW w:w="132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w w:val="93"/>
              </w:rPr>
              <w:t>Altisource</w:t>
            </w: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220"/>
              <w:spacing w:after="0" w:line="190" w:lineRule="exact"/>
              <w:rPr>
                <w:sz w:val="20"/>
                <w:szCs w:val="20"/>
                <w:color w:val="auto"/>
              </w:rPr>
            </w:pPr>
            <w:r>
              <w:rPr>
                <w:rFonts w:ascii="Arial" w:cs="Arial" w:eastAsia="Arial" w:hAnsi="Arial"/>
                <w:sz w:val="17"/>
                <w:szCs w:val="17"/>
                <w:color w:val="auto"/>
                <w:w w:val="93"/>
              </w:rPr>
              <w:t>Altisource</w:t>
            </w:r>
          </w:p>
        </w:tc>
        <w:tc>
          <w:tcPr>
            <w:tcW w:w="132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w w:val="93"/>
              </w:rPr>
              <w:t>Altisource</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w w:val="91"/>
              </w:rPr>
              <w:t>Altisource</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Consolidated:</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Consolidated:</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Consolidated:</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Consolidated:</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$686.6 million;</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3"/>
              </w:rPr>
              <w:t>$807.8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$929.0 million;</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$938.7 million -</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Mortgage</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1"/>
              </w:rPr>
              <w:t>Mortgage</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Mortgage</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Outstanding;</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8"/>
              </w:rPr>
              <w:t>Services: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Mortgage</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$519.7 million;</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3"/>
              </w:rPr>
              <w:t>$611.4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$703.1 million;</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Services:</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Technology</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8"/>
              </w:rPr>
              <w:t>Technology</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Technology</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$650.0 million -</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8"/>
              </w:rPr>
              <w:t>Services: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Target;</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$193.3 million;</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3"/>
              </w:rPr>
              <w:t>$227.5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$261.6 million;</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Technology</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Financial</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1"/>
              </w:rPr>
              <w:t>Financial</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Financial</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Services:</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8"/>
              </w:rPr>
              <w:t>Services: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$230.4 million -</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$102.2 million</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3"/>
              </w:rPr>
              <w:t>$120.2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$138.2 million</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Target</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Financial</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Services:</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$98.3 million - Below</w:t>
            </w:r>
          </w:p>
        </w:tc>
      </w:tr>
      <w:tr>
        <w:trPr>
          <w:trHeight w:val="215"/>
        </w:trPr>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Threshold</w:t>
            </w:r>
          </w:p>
        </w:tc>
      </w:tr>
    </w:tbl>
    <w:p>
      <w:pPr>
        <w:spacing w:after="0" w:line="1" w:lineRule="exact"/>
        <w:rPr>
          <w:sz w:val="20"/>
          <w:szCs w:val="20"/>
          <w:color w:val="auto"/>
        </w:rPr>
      </w:pPr>
    </w:p>
    <w:p>
      <w:pPr>
        <w:sectPr>
          <w:pgSz w:w="11900" w:h="16838" w:orient="portrait"/>
          <w:cols w:equalWidth="0" w:num="1">
            <w:col w:w="11420"/>
          </w:cols>
          <w:pgMar w:left="240" w:top="131" w:right="239" w:bottom="1440" w:gutter="0" w:footer="0" w:header="0"/>
        </w:sectPr>
      </w:pPr>
    </w:p>
    <w:p>
      <w:pPr>
        <w:jc w:val="center"/>
        <w:ind w:left="100"/>
        <w:spacing w:after="0" w:line="284" w:lineRule="auto"/>
        <w:rPr>
          <w:sz w:val="20"/>
          <w:szCs w:val="20"/>
          <w:color w:val="auto"/>
        </w:rPr>
      </w:pPr>
      <w:r>
        <w:rPr>
          <w:rFonts w:ascii="Arial" w:cs="Arial" w:eastAsia="Arial" w:hAnsi="Arial"/>
          <w:sz w:val="17"/>
          <w:szCs w:val="17"/>
          <w:color w:val="auto"/>
        </w:rPr>
        <w:t>Achieve Earnings Per Share ("EPS") Target; Achieve Segment Pre-tax Income attributable to Altisource</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93"/>
              </w:rPr>
              <w:t>Altisource</w:t>
            </w:r>
          </w:p>
        </w:tc>
        <w:tc>
          <w:tcPr>
            <w:tcW w:w="1540" w:type="dxa"/>
            <w:vAlign w:val="bottom"/>
          </w:tcPr>
          <w:p>
            <w:pPr>
              <w:jc w:val="center"/>
              <w:spacing w:after="0"/>
              <w:rPr>
                <w:sz w:val="20"/>
                <w:szCs w:val="20"/>
                <w:color w:val="auto"/>
              </w:rPr>
            </w:pPr>
            <w:r>
              <w:rPr>
                <w:rFonts w:ascii="Arial" w:cs="Arial" w:eastAsia="Arial" w:hAnsi="Arial"/>
                <w:sz w:val="17"/>
                <w:szCs w:val="17"/>
                <w:color w:val="auto"/>
                <w:w w:val="93"/>
              </w:rPr>
              <w:t>Altisource</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Altisource</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1"/>
              </w:rPr>
              <w:t>Altisource</w:t>
            </w:r>
          </w:p>
        </w:tc>
      </w:tr>
      <w:tr>
        <w:trPr>
          <w:trHeight w:val="206"/>
        </w:trPr>
        <w:tc>
          <w:tcPr>
            <w:tcW w:w="1300" w:type="dxa"/>
            <w:vAlign w:val="bottom"/>
          </w:tcPr>
          <w:p>
            <w:pPr>
              <w:jc w:val="center"/>
              <w:ind w:right="176"/>
              <w:spacing w:after="0"/>
              <w:rPr>
                <w:sz w:val="20"/>
                <w:szCs w:val="20"/>
                <w:color w:val="auto"/>
              </w:rPr>
            </w:pPr>
            <w:r>
              <w:rPr>
                <w:rFonts w:ascii="Arial" w:cs="Arial" w:eastAsia="Arial" w:hAnsi="Arial"/>
                <w:sz w:val="17"/>
                <w:szCs w:val="17"/>
                <w:color w:val="auto"/>
                <w:w w:val="88"/>
              </w:rPr>
              <w:t>Consolidated:</w:t>
            </w:r>
          </w:p>
        </w:tc>
        <w:tc>
          <w:tcPr>
            <w:tcW w:w="1540" w:type="dxa"/>
            <w:vAlign w:val="bottom"/>
          </w:tcPr>
          <w:p>
            <w:pPr>
              <w:jc w:val="center"/>
              <w:spacing w:after="0"/>
              <w:rPr>
                <w:sz w:val="20"/>
                <w:szCs w:val="20"/>
                <w:color w:val="auto"/>
              </w:rPr>
            </w:pPr>
            <w:r>
              <w:rPr>
                <w:rFonts w:ascii="Arial" w:cs="Arial" w:eastAsia="Arial" w:hAnsi="Arial"/>
                <w:sz w:val="17"/>
                <w:szCs w:val="17"/>
                <w:color w:val="auto"/>
                <w:w w:val="90"/>
              </w:rPr>
              <w:t>Consolidated:</w:t>
            </w:r>
          </w:p>
        </w:tc>
        <w:tc>
          <w:tcPr>
            <w:tcW w:w="1520" w:type="dxa"/>
            <w:vAlign w:val="bottom"/>
          </w:tcPr>
          <w:p>
            <w:pPr>
              <w:jc w:val="center"/>
              <w:spacing w:after="0"/>
              <w:rPr>
                <w:sz w:val="20"/>
                <w:szCs w:val="20"/>
                <w:color w:val="auto"/>
              </w:rPr>
            </w:pPr>
            <w:r>
              <w:rPr>
                <w:rFonts w:ascii="Arial" w:cs="Arial" w:eastAsia="Arial" w:hAnsi="Arial"/>
                <w:sz w:val="17"/>
                <w:szCs w:val="17"/>
                <w:color w:val="auto"/>
                <w:w w:val="90"/>
              </w:rPr>
              <w:t>Consolidated:</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8"/>
              </w:rPr>
              <w:t>Consolidated:</w:t>
            </w:r>
          </w:p>
        </w:tc>
      </w:tr>
      <w:tr>
        <w:trPr>
          <w:trHeight w:val="206"/>
        </w:trPr>
        <w:tc>
          <w:tcPr>
            <w:tcW w:w="1300" w:type="dxa"/>
            <w:vAlign w:val="bottom"/>
          </w:tcPr>
          <w:p>
            <w:pPr>
              <w:jc w:val="center"/>
              <w:ind w:right="176"/>
              <w:spacing w:after="0"/>
              <w:rPr>
                <w:sz w:val="20"/>
                <w:szCs w:val="20"/>
                <w:color w:val="auto"/>
              </w:rPr>
            </w:pPr>
            <w:r>
              <w:rPr>
                <w:rFonts w:ascii="Arial" w:cs="Arial" w:eastAsia="Arial" w:hAnsi="Arial"/>
                <w:sz w:val="17"/>
                <w:szCs w:val="17"/>
                <w:color w:val="auto"/>
                <w:w w:val="90"/>
              </w:rPr>
              <w:t>$5.41 diluted</w:t>
            </w:r>
          </w:p>
        </w:tc>
        <w:tc>
          <w:tcPr>
            <w:tcW w:w="1540" w:type="dxa"/>
            <w:vAlign w:val="bottom"/>
          </w:tcPr>
          <w:p>
            <w:pPr>
              <w:jc w:val="center"/>
              <w:spacing w:after="0"/>
              <w:rPr>
                <w:sz w:val="20"/>
                <w:szCs w:val="20"/>
                <w:color w:val="auto"/>
              </w:rPr>
            </w:pPr>
            <w:r>
              <w:rPr>
                <w:rFonts w:ascii="Arial" w:cs="Arial" w:eastAsia="Arial" w:hAnsi="Arial"/>
                <w:sz w:val="17"/>
                <w:szCs w:val="17"/>
                <w:color w:val="auto"/>
                <w:w w:val="92"/>
              </w:rPr>
              <w:t>$6.37 diluted</w:t>
            </w:r>
          </w:p>
        </w:tc>
        <w:tc>
          <w:tcPr>
            <w:tcW w:w="1520" w:type="dxa"/>
            <w:vAlign w:val="bottom"/>
          </w:tcPr>
          <w:p>
            <w:pPr>
              <w:jc w:val="center"/>
              <w:spacing w:after="0"/>
              <w:rPr>
                <w:sz w:val="20"/>
                <w:szCs w:val="20"/>
                <w:color w:val="auto"/>
              </w:rPr>
            </w:pPr>
            <w:r>
              <w:rPr>
                <w:rFonts w:ascii="Arial" w:cs="Arial" w:eastAsia="Arial" w:hAnsi="Arial"/>
                <w:sz w:val="17"/>
                <w:szCs w:val="17"/>
                <w:color w:val="auto"/>
                <w:w w:val="90"/>
              </w:rPr>
              <w:t>$7.32 diluted</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0"/>
              </w:rPr>
              <w:t>$5.69 diluted</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87"/>
              </w:rPr>
              <w:t>EPS;</w:t>
            </w:r>
          </w:p>
        </w:tc>
        <w:tc>
          <w:tcPr>
            <w:tcW w:w="1540" w:type="dxa"/>
            <w:vAlign w:val="bottom"/>
          </w:tcPr>
          <w:p>
            <w:pPr>
              <w:jc w:val="center"/>
              <w:spacing w:after="0"/>
              <w:rPr>
                <w:sz w:val="20"/>
                <w:szCs w:val="20"/>
                <w:color w:val="auto"/>
              </w:rPr>
            </w:pPr>
            <w:r>
              <w:rPr>
                <w:rFonts w:ascii="Arial" w:cs="Arial" w:eastAsia="Arial" w:hAnsi="Arial"/>
                <w:sz w:val="17"/>
                <w:szCs w:val="17"/>
                <w:color w:val="auto"/>
                <w:w w:val="87"/>
              </w:rPr>
              <w:t>EPS;</w:t>
            </w:r>
          </w:p>
        </w:tc>
        <w:tc>
          <w:tcPr>
            <w:tcW w:w="1520" w:type="dxa"/>
            <w:vAlign w:val="bottom"/>
          </w:tcPr>
          <w:p>
            <w:pPr>
              <w:jc w:val="center"/>
              <w:spacing w:after="0"/>
              <w:rPr>
                <w:sz w:val="20"/>
                <w:szCs w:val="20"/>
                <w:color w:val="auto"/>
              </w:rPr>
            </w:pPr>
            <w:r>
              <w:rPr>
                <w:rFonts w:ascii="Arial" w:cs="Arial" w:eastAsia="Arial" w:hAnsi="Arial"/>
                <w:sz w:val="17"/>
                <w:szCs w:val="17"/>
                <w:color w:val="auto"/>
                <w:w w:val="87"/>
              </w:rPr>
              <w:t>EPS;</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EPS -</w:t>
            </w:r>
          </w:p>
        </w:tc>
      </w:tr>
      <w:tr>
        <w:trPr>
          <w:trHeight w:val="206"/>
        </w:trPr>
        <w:tc>
          <w:tcPr>
            <w:tcW w:w="1300" w:type="dxa"/>
            <w:vAlign w:val="bottom"/>
          </w:tcPr>
          <w:p>
            <w:pPr>
              <w:jc w:val="center"/>
              <w:ind w:right="176"/>
              <w:spacing w:after="0"/>
              <w:rPr>
                <w:sz w:val="20"/>
                <w:szCs w:val="20"/>
                <w:color w:val="auto"/>
              </w:rPr>
            </w:pPr>
            <w:r>
              <w:rPr>
                <w:rFonts w:ascii="Arial" w:cs="Arial" w:eastAsia="Arial" w:hAnsi="Arial"/>
                <w:sz w:val="17"/>
                <w:szCs w:val="17"/>
                <w:color w:val="auto"/>
                <w:w w:val="89"/>
              </w:rPr>
              <w:t>Mortgage</w:t>
            </w:r>
          </w:p>
        </w:tc>
        <w:tc>
          <w:tcPr>
            <w:tcW w:w="1540" w:type="dxa"/>
            <w:vAlign w:val="bottom"/>
          </w:tcPr>
          <w:p>
            <w:pPr>
              <w:jc w:val="center"/>
              <w:spacing w:after="0"/>
              <w:rPr>
                <w:sz w:val="20"/>
                <w:szCs w:val="20"/>
                <w:color w:val="auto"/>
              </w:rPr>
            </w:pPr>
            <w:r>
              <w:rPr>
                <w:rFonts w:ascii="Arial" w:cs="Arial" w:eastAsia="Arial" w:hAnsi="Arial"/>
                <w:sz w:val="17"/>
                <w:szCs w:val="17"/>
                <w:color w:val="auto"/>
                <w:w w:val="91"/>
              </w:rPr>
              <w:t>Mortgage</w:t>
            </w: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Mortgage</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Threshold;</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88"/>
              </w:rPr>
              <w:t>Services:</w:t>
            </w:r>
          </w:p>
        </w:tc>
        <w:tc>
          <w:tcPr>
            <w:tcW w:w="154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Mortgage</w:t>
            </w:r>
          </w:p>
        </w:tc>
      </w:tr>
      <w:tr>
        <w:trPr>
          <w:trHeight w:val="206"/>
        </w:trPr>
        <w:tc>
          <w:tcPr>
            <w:tcW w:w="1300" w:type="dxa"/>
            <w:vAlign w:val="bottom"/>
          </w:tcPr>
          <w:p>
            <w:pPr>
              <w:jc w:val="center"/>
              <w:ind w:right="176"/>
              <w:spacing w:after="0"/>
              <w:rPr>
                <w:sz w:val="20"/>
                <w:szCs w:val="20"/>
                <w:color w:val="auto"/>
              </w:rPr>
            </w:pPr>
            <w:r>
              <w:rPr>
                <w:rFonts w:ascii="Arial" w:cs="Arial" w:eastAsia="Arial" w:hAnsi="Arial"/>
                <w:sz w:val="17"/>
                <w:szCs w:val="17"/>
                <w:color w:val="auto"/>
                <w:w w:val="94"/>
              </w:rPr>
              <w:t>$166.9 million;</w:t>
            </w:r>
          </w:p>
        </w:tc>
        <w:tc>
          <w:tcPr>
            <w:tcW w:w="1540" w:type="dxa"/>
            <w:vAlign w:val="bottom"/>
          </w:tcPr>
          <w:p>
            <w:pPr>
              <w:jc w:val="center"/>
              <w:spacing w:after="0"/>
              <w:rPr>
                <w:sz w:val="20"/>
                <w:szCs w:val="20"/>
                <w:color w:val="auto"/>
              </w:rPr>
            </w:pPr>
            <w:r>
              <w:rPr>
                <w:rFonts w:ascii="Arial" w:cs="Arial" w:eastAsia="Arial" w:hAnsi="Arial"/>
                <w:sz w:val="17"/>
                <w:szCs w:val="17"/>
                <w:color w:val="auto"/>
                <w:w w:val="93"/>
              </w:rPr>
              <w:t>$196.4 million;</w:t>
            </w: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$225.8 million;</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5"/>
              </w:rPr>
              <w:t>Services:</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88"/>
              </w:rPr>
              <w:t>Technology</w:t>
            </w:r>
          </w:p>
        </w:tc>
        <w:tc>
          <w:tcPr>
            <w:tcW w:w="1540" w:type="dxa"/>
            <w:vAlign w:val="bottom"/>
          </w:tcPr>
          <w:p>
            <w:pPr>
              <w:jc w:val="center"/>
              <w:spacing w:after="0"/>
              <w:rPr>
                <w:sz w:val="20"/>
                <w:szCs w:val="20"/>
                <w:color w:val="auto"/>
              </w:rPr>
            </w:pPr>
            <w:r>
              <w:rPr>
                <w:rFonts w:ascii="Arial" w:cs="Arial" w:eastAsia="Arial" w:hAnsi="Arial"/>
                <w:sz w:val="17"/>
                <w:szCs w:val="17"/>
                <w:color w:val="auto"/>
                <w:w w:val="88"/>
              </w:rPr>
              <w:t>Technology</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Technology</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3"/>
              </w:rPr>
              <w:t>$208.5 million -</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88"/>
              </w:rPr>
              <w:t>Services:</w:t>
            </w:r>
          </w:p>
        </w:tc>
        <w:tc>
          <w:tcPr>
            <w:tcW w:w="154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Target;</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93"/>
              </w:rPr>
              <w:t>$16.1 million;</w:t>
            </w:r>
          </w:p>
        </w:tc>
        <w:tc>
          <w:tcPr>
            <w:tcW w:w="1540" w:type="dxa"/>
            <w:vAlign w:val="bottom"/>
          </w:tcPr>
          <w:p>
            <w:pPr>
              <w:jc w:val="center"/>
              <w:spacing w:after="0"/>
              <w:rPr>
                <w:sz w:val="20"/>
                <w:szCs w:val="20"/>
                <w:color w:val="auto"/>
              </w:rPr>
            </w:pPr>
            <w:r>
              <w:rPr>
                <w:rFonts w:ascii="Arial" w:cs="Arial" w:eastAsia="Arial" w:hAnsi="Arial"/>
                <w:sz w:val="17"/>
                <w:szCs w:val="17"/>
                <w:color w:val="auto"/>
                <w:w w:val="93"/>
              </w:rPr>
              <w:t>$18.9 million;</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$21.8 million;</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0"/>
              </w:rPr>
              <w:t>Technology</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91"/>
              </w:rPr>
              <w:t>Financial</w:t>
            </w:r>
          </w:p>
        </w:tc>
        <w:tc>
          <w:tcPr>
            <w:tcW w:w="1540" w:type="dxa"/>
            <w:vAlign w:val="bottom"/>
          </w:tcPr>
          <w:p>
            <w:pPr>
              <w:jc w:val="center"/>
              <w:spacing w:after="0"/>
              <w:rPr>
                <w:sz w:val="20"/>
                <w:szCs w:val="20"/>
                <w:color w:val="auto"/>
              </w:rPr>
            </w:pPr>
            <w:r>
              <w:rPr>
                <w:rFonts w:ascii="Arial" w:cs="Arial" w:eastAsia="Arial" w:hAnsi="Arial"/>
                <w:sz w:val="17"/>
                <w:szCs w:val="17"/>
                <w:color w:val="auto"/>
                <w:w w:val="91"/>
              </w:rPr>
              <w:t>Financial</w:t>
            </w: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Financial</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5"/>
              </w:rPr>
              <w:t>Services:</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88"/>
              </w:rPr>
              <w:t>Services:</w:t>
            </w:r>
          </w:p>
        </w:tc>
        <w:tc>
          <w:tcPr>
            <w:tcW w:w="154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4"/>
              </w:rPr>
              <w:t>$4.1 million - Below</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94"/>
              </w:rPr>
              <w:t>$29.3 million</w:t>
            </w:r>
          </w:p>
        </w:tc>
        <w:tc>
          <w:tcPr>
            <w:tcW w:w="1540" w:type="dxa"/>
            <w:vAlign w:val="bottom"/>
          </w:tcPr>
          <w:p>
            <w:pPr>
              <w:jc w:val="center"/>
              <w:spacing w:after="0"/>
              <w:rPr>
                <w:sz w:val="20"/>
                <w:szCs w:val="20"/>
                <w:color w:val="auto"/>
              </w:rPr>
            </w:pPr>
            <w:r>
              <w:rPr>
                <w:rFonts w:ascii="Arial" w:cs="Arial" w:eastAsia="Arial" w:hAnsi="Arial"/>
                <w:sz w:val="17"/>
                <w:szCs w:val="17"/>
                <w:color w:val="auto"/>
                <w:w w:val="94"/>
              </w:rPr>
              <w:t>$34.5 million</w:t>
            </w: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$39.7 million</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Threshold</w:t>
            </w:r>
          </w:p>
        </w:tc>
      </w:tr>
      <w:tr>
        <w:trPr>
          <w:trHeight w:val="206"/>
        </w:trPr>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4"/>
              </w:rPr>
              <w:t>Financial</w:t>
            </w:r>
          </w:p>
        </w:tc>
      </w:tr>
      <w:tr>
        <w:trPr>
          <w:trHeight w:val="206"/>
        </w:trPr>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5"/>
              </w:rPr>
              <w:t>Services:</w:t>
            </w:r>
          </w:p>
        </w:tc>
      </w:tr>
      <w:tr>
        <w:trPr>
          <w:trHeight w:val="206"/>
        </w:trPr>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4"/>
              </w:rPr>
              <w:t>$15.4 million - Below</w:t>
            </w:r>
          </w:p>
        </w:tc>
      </w:tr>
      <w:tr>
        <w:trPr>
          <w:trHeight w:val="213"/>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Threshold</w:t>
            </w:r>
          </w:p>
        </w:tc>
      </w:tr>
    </w:tbl>
    <w:p>
      <w:pPr>
        <w:spacing w:after="0" w:line="4" w:lineRule="exact"/>
        <w:rPr>
          <w:sz w:val="20"/>
          <w:szCs w:val="20"/>
          <w:color w:val="auto"/>
        </w:rPr>
      </w:pPr>
    </w:p>
    <w:p>
      <w:pPr>
        <w:sectPr>
          <w:pgSz w:w="11900" w:h="16838" w:orient="portrait"/>
          <w:cols w:equalWidth="0" w:num="2">
            <w:col w:w="4820" w:space="460"/>
            <w:col w:w="614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9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Successfully complete the key Strategic Initiatives of the Company</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See Strategic</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See Strategic</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See Strategic</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See Strategic</w:t>
            </w:r>
          </w:p>
        </w:tc>
      </w:tr>
      <w:tr>
        <w:trPr>
          <w:trHeight w:val="215"/>
        </w:trPr>
        <w:tc>
          <w:tcPr>
            <w:tcW w:w="49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Initiatives below</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Initiatives below</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Initiatives below</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Initiatives below</w:t>
            </w:r>
          </w:p>
        </w:tc>
      </w:tr>
    </w:tbl>
    <w:p>
      <w:pPr>
        <w:spacing w:after="0" w:line="197" w:lineRule="exact"/>
        <w:rPr>
          <w:sz w:val="20"/>
          <w:szCs w:val="20"/>
          <w:color w:val="auto"/>
        </w:rPr>
      </w:pPr>
    </w:p>
    <w:p>
      <w:pPr>
        <w:ind w:left="520" w:right="60" w:hanging="517"/>
        <w:spacing w:after="0" w:line="194" w:lineRule="auto"/>
        <w:tabs>
          <w:tab w:leader="none" w:pos="520" w:val="left"/>
        </w:tabs>
        <w:numPr>
          <w:ilvl w:val="0"/>
          <w:numId w:val="29"/>
        </w:numPr>
        <w:rPr>
          <w:rFonts w:ascii="Arial" w:cs="Arial" w:eastAsia="Arial" w:hAnsi="Arial"/>
          <w:sz w:val="28"/>
          <w:szCs w:val="28"/>
          <w:color w:val="auto"/>
          <w:vertAlign w:val="superscript"/>
        </w:rPr>
      </w:pPr>
      <w:r>
        <w:rPr>
          <w:rFonts w:ascii="Arial" w:cs="Arial" w:eastAsia="Arial" w:hAnsi="Arial"/>
          <w:sz w:val="17"/>
          <w:szCs w:val="17"/>
          <w:color w:val="auto"/>
        </w:rPr>
        <w:t>The business segment goals for service revenue and pre-tax income are established such that the sum of all segment goals is higher than the corresponding goal at the Altisource consolidated level.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Strategic Initiatives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2"/>
          </w:tcPr>
          <w:p>
            <w:pPr>
              <w:jc w:val="center"/>
              <w:ind w:right="440"/>
              <w:spacing w:after="0"/>
              <w:rPr>
                <w:sz w:val="20"/>
                <w:szCs w:val="20"/>
                <w:color w:val="auto"/>
              </w:rPr>
            </w:pPr>
            <w:r>
              <w:rPr>
                <w:rFonts w:ascii="Arial" w:cs="Arial" w:eastAsia="Arial" w:hAnsi="Arial"/>
                <w:sz w:val="17"/>
                <w:szCs w:val="17"/>
                <w:b w:val="1"/>
                <w:bCs w:val="1"/>
                <w:color w:val="auto"/>
                <w:w w:val="86"/>
              </w:rPr>
              <w:t>Levels of Achievement</w:t>
            </w: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199"/>
        </w:trPr>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Element</w:t>
            </w:r>
          </w:p>
        </w:tc>
        <w:tc>
          <w:tcPr>
            <w:tcW w:w="176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Target</w:t>
            </w:r>
          </w:p>
        </w:tc>
        <w:tc>
          <w:tcPr>
            <w:tcW w:w="4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Level Achieved</w:t>
            </w:r>
          </w:p>
        </w:tc>
      </w:tr>
      <w:tr>
        <w:trPr>
          <w:trHeight w:val="190"/>
        </w:trPr>
        <w:tc>
          <w:tcPr>
            <w:tcW w:w="140" w:type="dxa"/>
            <w:vAlign w:val="bottom"/>
            <w:shd w:val="clear" w:color="auto" w:fill="CCEEFF"/>
          </w:tcPr>
          <w:p>
            <w:pPr>
              <w:spacing w:after="0" w:line="190" w:lineRule="exact"/>
              <w:rPr>
                <w:sz w:val="20"/>
                <w:szCs w:val="20"/>
                <w:color w:val="auto"/>
              </w:rPr>
            </w:pPr>
            <w:r>
              <w:rPr>
                <w:rFonts w:ascii="Arial" w:cs="Arial" w:eastAsia="Arial" w:hAnsi="Arial"/>
                <w:sz w:val="17"/>
                <w:szCs w:val="17"/>
                <w:i w:val="1"/>
                <w:iCs w:val="1"/>
                <w:color w:val="auto"/>
                <w:w w:val="84"/>
              </w:rPr>
              <w:t>1.</w:t>
            </w:r>
          </w:p>
        </w:tc>
        <w:tc>
          <w:tcPr>
            <w:tcW w:w="3600" w:type="dxa"/>
            <w:vAlign w:val="bottom"/>
            <w:gridSpan w:val="3"/>
            <w:shd w:val="clear" w:color="auto" w:fill="CCEEFF"/>
          </w:tcPr>
          <w:p>
            <w:pPr>
              <w:ind w:left="40"/>
              <w:spacing w:after="0" w:line="190" w:lineRule="exact"/>
              <w:rPr>
                <w:sz w:val="20"/>
                <w:szCs w:val="20"/>
                <w:color w:val="auto"/>
              </w:rPr>
            </w:pPr>
            <w:r>
              <w:rPr>
                <w:rFonts w:ascii="Arial" w:cs="Arial" w:eastAsia="Arial" w:hAnsi="Arial"/>
                <w:sz w:val="17"/>
                <w:szCs w:val="17"/>
                <w:i w:val="1"/>
                <w:iCs w:val="1"/>
                <w:color w:val="auto"/>
              </w:rPr>
              <w:t>Achieve Hubzu target sales mix</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460"/>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40"/>
        </w:trPr>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403"/>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2.</w:t>
            </w: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Launch Hubzu Direct-to-Broker sale business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Below</w:t>
            </w:r>
          </w:p>
        </w:tc>
      </w:tr>
      <w:tr>
        <w:trPr>
          <w:trHeight w:val="214"/>
        </w:trPr>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Threshold</w:t>
            </w:r>
          </w:p>
        </w:tc>
      </w:tr>
      <w:tr>
        <w:trPr>
          <w:trHeight w:val="404"/>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3.</w:t>
            </w: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7"/>
                <w:szCs w:val="17"/>
                <w:i w:val="1"/>
                <w:iCs w:val="1"/>
                <w:color w:val="auto"/>
              </w:rPr>
              <w:t>Implement assisted short-sale program</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As determined by the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As determined by the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15"/>
        </w:trPr>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91"/>
              </w:rPr>
              <w:t>Board of Directors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403"/>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4.</w:t>
            </w: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Develop rental property management business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404"/>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5.</w:t>
            </w: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7"/>
                <w:szCs w:val="17"/>
                <w:i w:val="1"/>
                <w:iCs w:val="1"/>
                <w:color w:val="auto"/>
              </w:rPr>
              <w:t>Expand origination services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07"/>
        </w:trPr>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0"/>
              </w:rPr>
              <w:t>Below</w:t>
            </w:r>
          </w:p>
        </w:tc>
      </w:tr>
      <w:tr>
        <w:trPr>
          <w:trHeight w:val="252"/>
        </w:trPr>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line="251" w:lineRule="exact"/>
              <w:rPr>
                <w:sz w:val="20"/>
                <w:szCs w:val="20"/>
                <w:color w:val="auto"/>
              </w:rPr>
            </w:pPr>
            <w:r>
              <w:rPr>
                <w:rFonts w:ascii="Arial" w:cs="Arial" w:eastAsia="Arial" w:hAnsi="Arial"/>
                <w:sz w:val="17"/>
                <w:szCs w:val="17"/>
                <w:i w:val="1"/>
                <w:iCs w:val="1"/>
                <w:color w:val="auto"/>
                <w:w w:val="86"/>
              </w:rPr>
              <w:t>Threshold</w:t>
            </w:r>
            <w:r>
              <w:rPr>
                <w:rFonts w:ascii="Arial" w:cs="Arial" w:eastAsia="Arial" w:hAnsi="Arial"/>
                <w:sz w:val="27"/>
                <w:szCs w:val="27"/>
                <w:i w:val="1"/>
                <w:iCs w:val="1"/>
                <w:color w:val="auto"/>
                <w:w w:val="86"/>
                <w:vertAlign w:val="superscript"/>
              </w:rPr>
              <w:t>(1)</w:t>
            </w:r>
          </w:p>
        </w:tc>
      </w:tr>
      <w:tr>
        <w:trPr>
          <w:trHeight w:val="403"/>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6.</w:t>
            </w: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Establish mortgage broker and rental property</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cooperatives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404"/>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7.</w:t>
            </w: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7"/>
                <w:szCs w:val="17"/>
                <w:i w:val="1"/>
                <w:iCs w:val="1"/>
                <w:color w:val="auto"/>
              </w:rPr>
              <w:t>Implement insurance services strategy</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As determined by the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As determined by the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15"/>
        </w:trPr>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91"/>
              </w:rPr>
              <w:t>Board of Directors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403"/>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8.</w:t>
            </w: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Expand charged-off mortgage recovery</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140" w:type="dxa"/>
            <w:vAlign w:val="bottom"/>
          </w:tcPr>
          <w:p>
            <w:pPr>
              <w:spacing w:after="0"/>
              <w:rPr>
                <w:sz w:val="17"/>
                <w:szCs w:val="17"/>
                <w:color w:val="auto"/>
              </w:rPr>
            </w:pP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business and improve profitability of accounts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Below</w:t>
            </w:r>
          </w:p>
        </w:tc>
      </w:tr>
      <w:tr>
        <w:trPr>
          <w:trHeight w:val="214"/>
        </w:trPr>
        <w:tc>
          <w:tcPr>
            <w:tcW w:w="140" w:type="dxa"/>
            <w:vAlign w:val="bottom"/>
          </w:tcPr>
          <w:p>
            <w:pPr>
              <w:spacing w:after="0"/>
              <w:rPr>
                <w:sz w:val="18"/>
                <w:szCs w:val="18"/>
                <w:color w:val="auto"/>
              </w:rPr>
            </w:pP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receivable management business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Threshold</w:t>
            </w:r>
          </w:p>
        </w:tc>
      </w:tr>
      <w:tr>
        <w:trPr>
          <w:trHeight w:val="404"/>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9.</w:t>
            </w: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7"/>
                <w:szCs w:val="17"/>
                <w:i w:val="1"/>
                <w:iCs w:val="1"/>
                <w:color w:val="auto"/>
              </w:rPr>
              <w:t>Deliver REALServicing® NextGen</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3"/>
        </w:trPr>
        <w:tc>
          <w:tcPr>
            <w:tcW w:w="140" w:type="dxa"/>
            <w:vAlign w:val="bottom"/>
            <w:shd w:val="clear" w:color="auto" w:fill="CCEEFF"/>
          </w:tcPr>
          <w:p>
            <w:pPr>
              <w:spacing w:after="0"/>
              <w:rPr>
                <w:sz w:val="22"/>
                <w:szCs w:val="22"/>
                <w:color w:val="auto"/>
              </w:rPr>
            </w:pP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7"/>
                <w:szCs w:val="17"/>
                <w:i w:val="1"/>
                <w:iCs w:val="1"/>
                <w:color w:val="auto"/>
              </w:rPr>
              <w:t>development plan</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line="253" w:lineRule="exact"/>
              <w:rPr>
                <w:sz w:val="20"/>
                <w:szCs w:val="20"/>
                <w:color w:val="auto"/>
              </w:rPr>
            </w:pPr>
            <w:r>
              <w:rPr>
                <w:rFonts w:ascii="Arial" w:cs="Arial" w:eastAsia="Arial" w:hAnsi="Arial"/>
                <w:sz w:val="17"/>
                <w:szCs w:val="17"/>
                <w:i w:val="1"/>
                <w:iCs w:val="1"/>
                <w:color w:val="auto"/>
                <w:w w:val="81"/>
              </w:rPr>
              <w:t>Target</w:t>
            </w:r>
            <w:r>
              <w:rPr>
                <w:rFonts w:ascii="Arial" w:cs="Arial" w:eastAsia="Arial" w:hAnsi="Arial"/>
                <w:sz w:val="27"/>
                <w:szCs w:val="27"/>
                <w:i w:val="1"/>
                <w:iCs w:val="1"/>
                <w:color w:val="auto"/>
                <w:w w:val="81"/>
                <w:vertAlign w:val="superscript"/>
              </w:rPr>
              <w:t>(2)</w:t>
            </w:r>
          </w:p>
        </w:tc>
      </w:tr>
      <w:tr>
        <w:trPr>
          <w:trHeight w:val="403"/>
        </w:trPr>
        <w:tc>
          <w:tcPr>
            <w:tcW w:w="3740" w:type="dxa"/>
            <w:vAlign w:val="bottom"/>
            <w:gridSpan w:val="4"/>
          </w:tcPr>
          <w:p>
            <w:pPr>
              <w:spacing w:after="0"/>
              <w:rPr>
                <w:sz w:val="20"/>
                <w:szCs w:val="20"/>
                <w:color w:val="auto"/>
              </w:rPr>
            </w:pPr>
            <w:r>
              <w:rPr>
                <w:rFonts w:ascii="Arial" w:cs="Arial" w:eastAsia="Arial" w:hAnsi="Arial"/>
                <w:sz w:val="17"/>
                <w:szCs w:val="17"/>
                <w:i w:val="1"/>
                <w:iCs w:val="1"/>
                <w:color w:val="auto"/>
              </w:rPr>
              <w:t>10. Deliver NextGen</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140" w:type="dxa"/>
            <w:vAlign w:val="bottom"/>
          </w:tcPr>
          <w:p>
            <w:pPr>
              <w:spacing w:after="0"/>
              <w:rPr>
                <w:sz w:val="17"/>
                <w:szCs w:val="17"/>
                <w:color w:val="auto"/>
              </w:rPr>
            </w:pPr>
          </w:p>
        </w:tc>
        <w:tc>
          <w:tcPr>
            <w:tcW w:w="3600" w:type="dxa"/>
            <w:vAlign w:val="bottom"/>
            <w:gridSpan w:val="3"/>
          </w:tcPr>
          <w:p>
            <w:pPr>
              <w:ind w:left="120"/>
              <w:spacing w:after="0"/>
              <w:rPr>
                <w:sz w:val="20"/>
                <w:szCs w:val="20"/>
                <w:color w:val="auto"/>
              </w:rPr>
            </w:pPr>
            <w:r>
              <w:rPr>
                <w:rFonts w:ascii="Arial" w:cs="Arial" w:eastAsia="Arial" w:hAnsi="Arial"/>
                <w:sz w:val="17"/>
                <w:szCs w:val="17"/>
                <w:i w:val="1"/>
                <w:iCs w:val="1"/>
                <w:color w:val="auto"/>
              </w:rPr>
              <w:t>Underwriting and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7"/>
                <w:szCs w:val="17"/>
                <w:color w:val="auto"/>
              </w:rPr>
            </w:pPr>
          </w:p>
        </w:tc>
        <w:tc>
          <w:tcPr>
            <w:tcW w:w="1600" w:type="dxa"/>
            <w:vAlign w:val="bottom"/>
          </w:tcPr>
          <w:p>
            <w:pPr>
              <w:jc w:val="center"/>
              <w:spacing w:after="0" w:line="205" w:lineRule="exact"/>
              <w:rPr>
                <w:sz w:val="20"/>
                <w:szCs w:val="20"/>
                <w:color w:val="auto"/>
              </w:rPr>
            </w:pPr>
            <w:r>
              <w:rPr>
                <w:rFonts w:ascii="Arial" w:cs="Arial" w:eastAsia="Arial" w:hAnsi="Arial"/>
                <w:sz w:val="15"/>
                <w:szCs w:val="15"/>
                <w:i w:val="1"/>
                <w:iCs w:val="1"/>
                <w:color w:val="auto"/>
                <w:w w:val="93"/>
              </w:rPr>
              <w:t>Target</w:t>
            </w:r>
            <w:r>
              <w:rPr>
                <w:rFonts w:ascii="Arial" w:cs="Arial" w:eastAsia="Arial" w:hAnsi="Arial"/>
                <w:sz w:val="23"/>
                <w:szCs w:val="23"/>
                <w:i w:val="1"/>
                <w:iCs w:val="1"/>
                <w:color w:val="auto"/>
                <w:w w:val="93"/>
                <w:vertAlign w:val="superscript"/>
              </w:rPr>
              <w:t>(3)</w:t>
            </w:r>
          </w:p>
        </w:tc>
      </w:tr>
      <w:tr>
        <w:trPr>
          <w:trHeight w:val="213"/>
        </w:trPr>
        <w:tc>
          <w:tcPr>
            <w:tcW w:w="140" w:type="dxa"/>
            <w:vAlign w:val="bottom"/>
          </w:tcPr>
          <w:p>
            <w:pPr>
              <w:spacing w:after="0"/>
              <w:rPr>
                <w:sz w:val="18"/>
                <w:szCs w:val="18"/>
                <w:color w:val="auto"/>
              </w:rPr>
            </w:pPr>
          </w:p>
        </w:tc>
        <w:tc>
          <w:tcPr>
            <w:tcW w:w="3600" w:type="dxa"/>
            <w:vAlign w:val="bottom"/>
            <w:gridSpan w:val="3"/>
          </w:tcPr>
          <w:p>
            <w:pPr>
              <w:ind w:left="120"/>
              <w:spacing w:after="0"/>
              <w:rPr>
                <w:sz w:val="20"/>
                <w:szCs w:val="20"/>
                <w:color w:val="auto"/>
              </w:rPr>
            </w:pPr>
            <w:r>
              <w:rPr>
                <w:rFonts w:ascii="Arial" w:cs="Arial" w:eastAsia="Arial" w:hAnsi="Arial"/>
                <w:sz w:val="17"/>
                <w:szCs w:val="17"/>
                <w:i w:val="1"/>
                <w:iCs w:val="1"/>
                <w:color w:val="auto"/>
              </w:rPr>
              <w:t>Analytics platforms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12"/>
        </w:trPr>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gridSpan w:val="2"/>
          </w:tcPr>
          <w:p>
            <w:pPr>
              <w:jc w:val="right"/>
              <w:ind w:right="1476"/>
              <w:spacing w:after="0"/>
              <w:rPr>
                <w:sz w:val="20"/>
                <w:szCs w:val="20"/>
                <w:color w:val="auto"/>
              </w:rPr>
            </w:pPr>
            <w:r>
              <w:rPr>
                <w:rFonts w:ascii="Arial" w:cs="Arial" w:eastAsia="Arial" w:hAnsi="Arial"/>
                <w:sz w:val="17"/>
                <w:szCs w:val="17"/>
                <w:color w:val="auto"/>
              </w:rPr>
              <w:t>29</w:t>
            </w: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7"/>
        </w:trPr>
        <w:tc>
          <w:tcPr>
            <w:tcW w:w="14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Strategic Initiatives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2"/>
          </w:tcPr>
          <w:p>
            <w:pPr>
              <w:jc w:val="center"/>
              <w:ind w:right="440"/>
              <w:spacing w:after="0"/>
              <w:rPr>
                <w:sz w:val="20"/>
                <w:szCs w:val="20"/>
                <w:color w:val="auto"/>
              </w:rPr>
            </w:pPr>
            <w:r>
              <w:rPr>
                <w:rFonts w:ascii="Arial" w:cs="Arial" w:eastAsia="Arial" w:hAnsi="Arial"/>
                <w:sz w:val="17"/>
                <w:szCs w:val="17"/>
                <w:b w:val="1"/>
                <w:bCs w:val="1"/>
                <w:color w:val="auto"/>
                <w:w w:val="86"/>
              </w:rPr>
              <w:t>Levels of Achievement</w:t>
            </w: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199"/>
        </w:trPr>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Element</w:t>
            </w:r>
          </w:p>
        </w:tc>
        <w:tc>
          <w:tcPr>
            <w:tcW w:w="176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Target</w:t>
            </w:r>
          </w:p>
        </w:tc>
        <w:tc>
          <w:tcPr>
            <w:tcW w:w="4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Level Achieved</w:t>
            </w:r>
          </w:p>
        </w:tc>
      </w:tr>
      <w:tr>
        <w:trPr>
          <w:trHeight w:val="190"/>
        </w:trPr>
        <w:tc>
          <w:tcPr>
            <w:tcW w:w="3740" w:type="dxa"/>
            <w:vAlign w:val="bottom"/>
            <w:gridSpan w:val="4"/>
            <w:shd w:val="clear" w:color="auto" w:fill="CCEEFF"/>
          </w:tcPr>
          <w:p>
            <w:pPr>
              <w:spacing w:after="0" w:line="190" w:lineRule="exact"/>
              <w:rPr>
                <w:sz w:val="20"/>
                <w:szCs w:val="20"/>
                <w:color w:val="auto"/>
              </w:rPr>
            </w:pPr>
            <w:r>
              <w:rPr>
                <w:rFonts w:ascii="Arial" w:cs="Arial" w:eastAsia="Arial" w:hAnsi="Arial"/>
                <w:sz w:val="17"/>
                <w:szCs w:val="17"/>
                <w:i w:val="1"/>
                <w:iCs w:val="1"/>
                <w:color w:val="auto"/>
              </w:rPr>
              <w:t>11. Deliver technology</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460"/>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5"/>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infrastructure initiatives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403"/>
        </w:trPr>
        <w:tc>
          <w:tcPr>
            <w:tcW w:w="240" w:type="dxa"/>
            <w:vAlign w:val="bottom"/>
          </w:tcPr>
          <w:p>
            <w:pPr>
              <w:spacing w:after="0"/>
              <w:rPr>
                <w:sz w:val="20"/>
                <w:szCs w:val="20"/>
                <w:color w:val="auto"/>
              </w:rPr>
            </w:pPr>
            <w:r>
              <w:rPr>
                <w:rFonts w:ascii="Arial" w:cs="Arial" w:eastAsia="Arial" w:hAnsi="Arial"/>
                <w:sz w:val="17"/>
                <w:szCs w:val="17"/>
                <w:i w:val="1"/>
                <w:iCs w:val="1"/>
                <w:color w:val="auto"/>
                <w:w w:val="92"/>
              </w:rPr>
              <w:t>12.</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Achieve REALSuite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240" w:type="dxa"/>
            <w:vAlign w:val="bottom"/>
          </w:tcPr>
          <w:p>
            <w:pPr>
              <w:spacing w:after="0"/>
              <w:rPr>
                <w:sz w:val="17"/>
                <w:szCs w:val="17"/>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initiatives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20" w:type="dxa"/>
            <w:vAlign w:val="bottom"/>
          </w:tcPr>
          <w:p>
            <w:pPr>
              <w:spacing w:after="0"/>
              <w:rPr>
                <w:sz w:val="17"/>
                <w:szCs w:val="17"/>
                <w:color w:val="auto"/>
              </w:rPr>
            </w:pPr>
          </w:p>
        </w:tc>
        <w:tc>
          <w:tcPr>
            <w:tcW w:w="1600" w:type="dxa"/>
            <w:vAlign w:val="bottom"/>
          </w:tcPr>
          <w:p>
            <w:pPr>
              <w:jc w:val="center"/>
              <w:spacing w:after="0" w:line="205" w:lineRule="exact"/>
              <w:rPr>
                <w:sz w:val="20"/>
                <w:szCs w:val="20"/>
                <w:color w:val="auto"/>
              </w:rPr>
            </w:pPr>
            <w:r>
              <w:rPr>
                <w:rFonts w:ascii="Arial" w:cs="Arial" w:eastAsia="Arial" w:hAnsi="Arial"/>
                <w:sz w:val="15"/>
                <w:szCs w:val="15"/>
                <w:i w:val="1"/>
                <w:iCs w:val="1"/>
                <w:color w:val="auto"/>
                <w:w w:val="93"/>
              </w:rPr>
              <w:t>Target</w:t>
            </w:r>
            <w:r>
              <w:rPr>
                <w:rFonts w:ascii="Arial" w:cs="Arial" w:eastAsia="Arial" w:hAnsi="Arial"/>
                <w:sz w:val="23"/>
                <w:szCs w:val="23"/>
                <w:i w:val="1"/>
                <w:iCs w:val="1"/>
                <w:color w:val="auto"/>
                <w:w w:val="93"/>
                <w:vertAlign w:val="superscript"/>
              </w:rPr>
              <w:t>(4)</w:t>
            </w:r>
          </w:p>
        </w:tc>
      </w:tr>
      <w:tr>
        <w:trPr>
          <w:trHeight w:val="214"/>
        </w:trPr>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04"/>
        </w:trPr>
        <w:tc>
          <w:tcPr>
            <w:tcW w:w="2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2"/>
              </w:rPr>
              <w:t>13.</w:t>
            </w: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Complete strategic hiring</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3"/>
        </w:trPr>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line="253" w:lineRule="exact"/>
              <w:rPr>
                <w:sz w:val="20"/>
                <w:szCs w:val="20"/>
                <w:color w:val="auto"/>
              </w:rPr>
            </w:pPr>
            <w:r>
              <w:rPr>
                <w:rFonts w:ascii="Arial" w:cs="Arial" w:eastAsia="Arial" w:hAnsi="Arial"/>
                <w:sz w:val="17"/>
                <w:szCs w:val="17"/>
                <w:i w:val="1"/>
                <w:iCs w:val="1"/>
                <w:color w:val="auto"/>
                <w:w w:val="81"/>
              </w:rPr>
              <w:t>Target</w:t>
            </w:r>
            <w:r>
              <w:rPr>
                <w:rFonts w:ascii="Arial" w:cs="Arial" w:eastAsia="Arial" w:hAnsi="Arial"/>
                <w:sz w:val="27"/>
                <w:szCs w:val="27"/>
                <w:i w:val="1"/>
                <w:iCs w:val="1"/>
                <w:color w:val="auto"/>
                <w:w w:val="81"/>
                <w:vertAlign w:val="superscript"/>
              </w:rPr>
              <w:t>(5)</w:t>
            </w:r>
          </w:p>
        </w:tc>
      </w:tr>
      <w:tr>
        <w:trPr>
          <w:trHeight w:val="403"/>
        </w:trPr>
        <w:tc>
          <w:tcPr>
            <w:tcW w:w="240" w:type="dxa"/>
            <w:vAlign w:val="bottom"/>
          </w:tcPr>
          <w:p>
            <w:pPr>
              <w:spacing w:after="0"/>
              <w:rPr>
                <w:sz w:val="20"/>
                <w:szCs w:val="20"/>
                <w:color w:val="auto"/>
              </w:rPr>
            </w:pPr>
            <w:r>
              <w:rPr>
                <w:rFonts w:ascii="Arial" w:cs="Arial" w:eastAsia="Arial" w:hAnsi="Arial"/>
                <w:sz w:val="17"/>
                <w:szCs w:val="17"/>
                <w:i w:val="1"/>
                <w:iCs w:val="1"/>
                <w:color w:val="auto"/>
                <w:w w:val="92"/>
              </w:rPr>
              <w:t>14.</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Maintain compliance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240" w:type="dxa"/>
            <w:vAlign w:val="bottom"/>
          </w:tcPr>
          <w:p>
            <w:pPr>
              <w:spacing w:after="0"/>
              <w:rPr>
                <w:sz w:val="17"/>
                <w:szCs w:val="17"/>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with regulatory</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7"/>
                <w:szCs w:val="17"/>
                <w:color w:val="auto"/>
              </w:rPr>
            </w:pPr>
          </w:p>
        </w:tc>
        <w:tc>
          <w:tcPr>
            <w:tcW w:w="1600" w:type="dxa"/>
            <w:vAlign w:val="bottom"/>
          </w:tcPr>
          <w:p>
            <w:pPr>
              <w:jc w:val="center"/>
              <w:spacing w:after="0" w:line="205" w:lineRule="exact"/>
              <w:rPr>
                <w:sz w:val="20"/>
                <w:szCs w:val="20"/>
                <w:color w:val="auto"/>
              </w:rPr>
            </w:pPr>
            <w:r>
              <w:rPr>
                <w:rFonts w:ascii="Arial" w:cs="Arial" w:eastAsia="Arial" w:hAnsi="Arial"/>
                <w:sz w:val="15"/>
                <w:szCs w:val="15"/>
                <w:i w:val="1"/>
                <w:iCs w:val="1"/>
                <w:color w:val="auto"/>
                <w:w w:val="98"/>
              </w:rPr>
              <w:t>Outstanding</w:t>
            </w:r>
            <w:r>
              <w:rPr>
                <w:rFonts w:ascii="Arial" w:cs="Arial" w:eastAsia="Arial" w:hAnsi="Arial"/>
                <w:sz w:val="23"/>
                <w:szCs w:val="23"/>
                <w:i w:val="1"/>
                <w:iCs w:val="1"/>
                <w:color w:val="auto"/>
                <w:w w:val="98"/>
                <w:vertAlign w:val="superscript"/>
              </w:rPr>
              <w:t>(6)</w:t>
            </w:r>
          </w:p>
        </w:tc>
      </w:tr>
      <w:tr>
        <w:trPr>
          <w:trHeight w:val="214"/>
        </w:trPr>
        <w:tc>
          <w:tcPr>
            <w:tcW w:w="240" w:type="dxa"/>
            <w:vAlign w:val="bottom"/>
          </w:tcPr>
          <w:p>
            <w:pPr>
              <w:spacing w:after="0"/>
              <w:rPr>
                <w:sz w:val="18"/>
                <w:szCs w:val="18"/>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requirements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04"/>
        </w:trPr>
        <w:tc>
          <w:tcPr>
            <w:tcW w:w="2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2"/>
              </w:rPr>
              <w:t>15.</w:t>
            </w: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Implementation of corporate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As determined by the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As determined by the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15"/>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strategic projects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91"/>
              </w:rPr>
              <w:t>Board of Directors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403"/>
        </w:trPr>
        <w:tc>
          <w:tcPr>
            <w:tcW w:w="240" w:type="dxa"/>
            <w:vAlign w:val="bottom"/>
          </w:tcPr>
          <w:p>
            <w:pPr>
              <w:spacing w:after="0"/>
              <w:rPr>
                <w:sz w:val="20"/>
                <w:szCs w:val="20"/>
                <w:color w:val="auto"/>
              </w:rPr>
            </w:pPr>
            <w:r>
              <w:rPr>
                <w:rFonts w:ascii="Arial" w:cs="Arial" w:eastAsia="Arial" w:hAnsi="Arial"/>
                <w:sz w:val="17"/>
                <w:szCs w:val="17"/>
                <w:i w:val="1"/>
                <w:iCs w:val="1"/>
                <w:color w:val="auto"/>
                <w:w w:val="92"/>
              </w:rPr>
              <w:t>16.</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Achieve Investor</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4"/>
        </w:trPr>
        <w:tc>
          <w:tcPr>
            <w:tcW w:w="240" w:type="dxa"/>
            <w:vAlign w:val="bottom"/>
          </w:tcPr>
          <w:p>
            <w:pPr>
              <w:spacing w:after="0"/>
              <w:rPr>
                <w:sz w:val="18"/>
                <w:szCs w:val="18"/>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Relations goal</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404"/>
        </w:trPr>
        <w:tc>
          <w:tcPr>
            <w:tcW w:w="2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2"/>
              </w:rPr>
              <w:t>17.</w:t>
            </w: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Improve communications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As determined by the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As determined by the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06"/>
        </w:trPr>
        <w:tc>
          <w:tcPr>
            <w:tcW w:w="240" w:type="dxa"/>
            <w:vAlign w:val="bottom"/>
            <w:shd w:val="clear" w:color="auto" w:fill="CCEEFF"/>
          </w:tcPr>
          <w:p>
            <w:pPr>
              <w:spacing w:after="0"/>
              <w:rPr>
                <w:sz w:val="17"/>
                <w:szCs w:val="17"/>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to the investment</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91"/>
              </w:rPr>
              <w:t>Board of Directors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215"/>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community</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403"/>
        </w:trPr>
        <w:tc>
          <w:tcPr>
            <w:tcW w:w="240" w:type="dxa"/>
            <w:vAlign w:val="bottom"/>
          </w:tcPr>
          <w:p>
            <w:pPr>
              <w:spacing w:after="0"/>
              <w:rPr>
                <w:sz w:val="20"/>
                <w:szCs w:val="20"/>
                <w:color w:val="auto"/>
              </w:rPr>
            </w:pPr>
            <w:r>
              <w:rPr>
                <w:rFonts w:ascii="Arial" w:cs="Arial" w:eastAsia="Arial" w:hAnsi="Arial"/>
                <w:sz w:val="17"/>
                <w:szCs w:val="17"/>
                <w:i w:val="1"/>
                <w:iCs w:val="1"/>
                <w:color w:val="auto"/>
                <w:w w:val="92"/>
              </w:rPr>
              <w:t>18.</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Improve support group</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240" w:type="dxa"/>
            <w:vAlign w:val="bottom"/>
          </w:tcPr>
          <w:p>
            <w:pPr>
              <w:spacing w:after="0"/>
              <w:rPr>
                <w:sz w:val="18"/>
                <w:szCs w:val="18"/>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process efficiency</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5"/>
              </w:rPr>
              <w:t>Target</w:t>
            </w:r>
          </w:p>
        </w:tc>
      </w:tr>
    </w:tbl>
    <w:p>
      <w:pPr>
        <w:spacing w:after="0" w:line="90" w:lineRule="exact"/>
        <w:rPr>
          <w:sz w:val="20"/>
          <w:szCs w:val="20"/>
          <w:color w:val="auto"/>
        </w:rPr>
      </w:pPr>
    </w:p>
    <w:p>
      <w:pPr>
        <w:ind w:left="520" w:hanging="517"/>
        <w:spacing w:after="0"/>
        <w:tabs>
          <w:tab w:leader="none" w:pos="52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One out of two metrics of this initiative was achieved at threshold, and one was achieved at below threshold, for an achievement level at 37.50%</w:t>
      </w:r>
    </w:p>
    <w:p>
      <w:pPr>
        <w:spacing w:after="0" w:line="152" w:lineRule="exact"/>
        <w:rPr>
          <w:rFonts w:ascii="Arial" w:cs="Arial" w:eastAsia="Arial" w:hAnsi="Arial"/>
          <w:sz w:val="28"/>
          <w:szCs w:val="28"/>
          <w:color w:val="auto"/>
          <w:vertAlign w:val="superscript"/>
        </w:rPr>
      </w:pPr>
    </w:p>
    <w:p>
      <w:pPr>
        <w:ind w:left="520" w:hanging="517"/>
        <w:spacing w:after="0" w:line="202" w:lineRule="auto"/>
        <w:tabs>
          <w:tab w:leader="none" w:pos="52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One out of three metrics of this initiative was achieved at 125% and two were achieved at outstanding, for an achievement level at 141.70%</w:t>
      </w:r>
    </w:p>
    <w:p>
      <w:pPr>
        <w:spacing w:after="0" w:line="141" w:lineRule="exact"/>
        <w:rPr>
          <w:rFonts w:ascii="Arial" w:cs="Arial" w:eastAsia="Arial" w:hAnsi="Arial"/>
          <w:sz w:val="28"/>
          <w:szCs w:val="28"/>
          <w:color w:val="auto"/>
          <w:vertAlign w:val="superscript"/>
        </w:rPr>
      </w:pPr>
    </w:p>
    <w:p>
      <w:pPr>
        <w:ind w:left="520" w:hanging="517"/>
        <w:spacing w:after="0" w:line="202" w:lineRule="auto"/>
        <w:tabs>
          <w:tab w:leader="none" w:pos="52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One out of two metrics of this initiative was achieved at target and one was achieved at outstanding, for an achievement level at 125.00%</w:t>
      </w:r>
    </w:p>
    <w:p>
      <w:pPr>
        <w:spacing w:after="0" w:line="200" w:lineRule="exact"/>
        <w:rPr>
          <w:rFonts w:ascii="Arial" w:cs="Arial" w:eastAsia="Arial" w:hAnsi="Arial"/>
          <w:sz w:val="28"/>
          <w:szCs w:val="28"/>
          <w:color w:val="auto"/>
          <w:vertAlign w:val="superscript"/>
        </w:rPr>
      </w:pPr>
    </w:p>
    <w:p>
      <w:pPr>
        <w:ind w:left="520" w:right="180" w:hanging="517"/>
        <w:spacing w:after="0" w:line="194" w:lineRule="auto"/>
        <w:tabs>
          <w:tab w:leader="none" w:pos="52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One out of three metrics of this initiative was achieved at threshold, one was achieved at target and one was achieved at outstanding, for an achievement level at 100.00%</w:t>
      </w:r>
    </w:p>
    <w:p>
      <w:pPr>
        <w:spacing w:after="0" w:line="212" w:lineRule="exact"/>
        <w:rPr>
          <w:rFonts w:ascii="Arial" w:cs="Arial" w:eastAsia="Arial" w:hAnsi="Arial"/>
          <w:sz w:val="28"/>
          <w:szCs w:val="28"/>
          <w:color w:val="auto"/>
          <w:vertAlign w:val="superscript"/>
        </w:rPr>
      </w:pPr>
    </w:p>
    <w:p>
      <w:pPr>
        <w:ind w:left="520" w:right="180" w:hanging="517"/>
        <w:spacing w:after="0" w:line="221" w:lineRule="auto"/>
        <w:tabs>
          <w:tab w:leader="none" w:pos="520" w:val="left"/>
        </w:tabs>
        <w:numPr>
          <w:ilvl w:val="0"/>
          <w:numId w:val="30"/>
        </w:numPr>
        <w:rPr>
          <w:rFonts w:ascii="Arial" w:cs="Arial" w:eastAsia="Arial" w:hAnsi="Arial"/>
          <w:sz w:val="27"/>
          <w:szCs w:val="27"/>
          <w:color w:val="auto"/>
          <w:vertAlign w:val="superscript"/>
        </w:rPr>
      </w:pPr>
      <w:r>
        <w:rPr>
          <w:rFonts w:ascii="Arial" w:cs="Arial" w:eastAsia="Arial" w:hAnsi="Arial"/>
          <w:sz w:val="16"/>
          <w:szCs w:val="16"/>
          <w:color w:val="auto"/>
        </w:rPr>
        <w:t>For the Chief Executive Officer and Chief Administration Officer, one out of two metrics of this initiative was achieved at target and one was achieved at outstanding, for an achievement level at 125.00%. For the Chief Financial Officer, President, Mortgage Services and President, Technology Services, one out of two metrics of this initiative was achieved at 112.50% and one was achieved at outstanding, for an achievement level at 131.25%</w:t>
      </w:r>
    </w:p>
    <w:p>
      <w:pPr>
        <w:spacing w:after="0" w:line="90" w:lineRule="exact"/>
        <w:rPr>
          <w:rFonts w:ascii="Arial" w:cs="Arial" w:eastAsia="Arial" w:hAnsi="Arial"/>
          <w:sz w:val="27"/>
          <w:szCs w:val="27"/>
          <w:color w:val="auto"/>
          <w:vertAlign w:val="superscript"/>
        </w:rPr>
      </w:pPr>
    </w:p>
    <w:p>
      <w:pPr>
        <w:ind w:left="520" w:hanging="517"/>
        <w:spacing w:after="0"/>
        <w:tabs>
          <w:tab w:leader="none" w:pos="52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For the President, Technology Services, this initiative was achieved at target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line="281" w:lineRule="auto"/>
        <w:rPr>
          <w:sz w:val="20"/>
          <w:szCs w:val="20"/>
          <w:color w:val="auto"/>
        </w:rPr>
      </w:pPr>
      <w:r>
        <w:rPr>
          <w:rFonts w:ascii="Arial" w:cs="Arial" w:eastAsia="Arial" w:hAnsi="Arial"/>
          <w:sz w:val="16"/>
          <w:szCs w:val="16"/>
          <w:color w:val="auto"/>
        </w:rPr>
        <w:t>The incentive award for our Chief Executive Officer is structured so that compensation opportunities are related to: (i) the Company's performance versus the objectives established in the corporate scorecard (80%) and (ii) a performance appraisal (20%). The incentive awards of our other named executive officers are structured so that compensation opportunities are related to (i) performance within the corporate, business unit or support unit scorecard, as expressly assigned in each executive's scorecard (80%) (of which 50% or more is weighted on corporate financial objectives) and (ii) a performance appraisal (20%).</w:t>
      </w:r>
    </w:p>
    <w:p>
      <w:pPr>
        <w:spacing w:after="0" w:line="16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Generally,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generally not entitle the executive to compensation for the associated goal.</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generally reviewed with senior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2014 personal scorecards for our Chief Executive Officer and other named executive officers and their corresponding levels of achievement are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2014 Scorecard</w:t>
            </w:r>
          </w:p>
        </w:tc>
        <w:tc>
          <w:tcPr>
            <w:tcW w:w="2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Levels of Achievement</w:t>
            </w: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Level</w:t>
            </w:r>
          </w:p>
        </w:tc>
        <w:tc>
          <w:tcPr>
            <w:tcW w:w="0" w:type="dxa"/>
            <w:vAlign w:val="bottom"/>
          </w:tcPr>
          <w:p>
            <w:pPr>
              <w:spacing w:after="0"/>
              <w:rPr>
                <w:sz w:val="1"/>
                <w:szCs w:val="1"/>
                <w:color w:val="auto"/>
              </w:rPr>
            </w:pPr>
          </w:p>
        </w:tc>
      </w:tr>
      <w:tr>
        <w:trPr>
          <w:trHeight w:val="122"/>
        </w:trPr>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00" w:type="dxa"/>
            <w:vAlign w:val="bottom"/>
            <w:gridSpan w:val="3"/>
          </w:tcPr>
          <w:p>
            <w:pPr>
              <w:ind w:left="400"/>
              <w:spacing w:after="0"/>
              <w:rPr>
                <w:sz w:val="20"/>
                <w:szCs w:val="20"/>
                <w:color w:val="auto"/>
              </w:rPr>
            </w:pPr>
            <w:r>
              <w:rPr>
                <w:rFonts w:ascii="Arial" w:cs="Arial" w:eastAsia="Arial" w:hAnsi="Arial"/>
                <w:sz w:val="13"/>
                <w:szCs w:val="13"/>
                <w:b w:val="1"/>
                <w:bCs w:val="1"/>
                <w:color w:val="auto"/>
              </w:rPr>
              <w:t>Name</w:t>
            </w:r>
          </w:p>
        </w:tc>
        <w:tc>
          <w:tcPr>
            <w:tcW w:w="48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860" w:type="dxa"/>
            <w:vAlign w:val="bottom"/>
            <w:gridSpan w:val="2"/>
          </w:tcPr>
          <w:p>
            <w:pPr>
              <w:ind w:left="600"/>
              <w:spacing w:after="0"/>
              <w:rPr>
                <w:sz w:val="20"/>
                <w:szCs w:val="20"/>
                <w:color w:val="auto"/>
              </w:rPr>
            </w:pPr>
            <w:r>
              <w:rPr>
                <w:rFonts w:ascii="Arial" w:cs="Arial" w:eastAsia="Arial" w:hAnsi="Arial"/>
                <w:sz w:val="13"/>
                <w:szCs w:val="13"/>
                <w:b w:val="1"/>
                <w:bCs w:val="1"/>
                <w:color w:val="auto"/>
              </w:rPr>
              <w:t>Elements</w:t>
            </w:r>
          </w:p>
        </w:tc>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89"/>
              </w:rPr>
              <w:t>Threshold</w:t>
            </w:r>
          </w:p>
        </w:tc>
        <w:tc>
          <w:tcPr>
            <w:tcW w:w="16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90"/>
              </w:rPr>
              <w:t>Target</w:t>
            </w:r>
          </w:p>
        </w:tc>
        <w:tc>
          <w:tcPr>
            <w:tcW w:w="16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8"/>
              </w:rPr>
              <w:t>Outstanding</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Achieved</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10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William B. Shepro</w:t>
            </w:r>
          </w:p>
        </w:tc>
        <w:tc>
          <w:tcPr>
            <w:tcW w:w="480" w:type="dxa"/>
            <w:vAlign w:val="bottom"/>
            <w:gridSpan w:val="2"/>
            <w:shd w:val="clear" w:color="auto" w:fill="CCEEFF"/>
          </w:tcPr>
          <w:p>
            <w:pPr>
              <w:jc w:val="center"/>
              <w:ind w:left="96"/>
              <w:spacing w:after="0" w:line="126" w:lineRule="exact"/>
              <w:rPr>
                <w:sz w:val="20"/>
                <w:szCs w:val="20"/>
                <w:color w:val="auto"/>
              </w:rPr>
            </w:pPr>
            <w:r>
              <w:rPr>
                <w:rFonts w:ascii="Arial" w:cs="Arial" w:eastAsia="Arial" w:hAnsi="Arial"/>
                <w:sz w:val="13"/>
                <w:szCs w:val="13"/>
                <w:color w:val="auto"/>
                <w:w w:val="92"/>
              </w:rPr>
              <w:t>20%</w:t>
            </w:r>
          </w:p>
        </w:tc>
        <w:tc>
          <w:tcPr>
            <w:tcW w:w="16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60"/>
              <w:spacing w:after="0" w:line="126" w:lineRule="exact"/>
              <w:rPr>
                <w:sz w:val="20"/>
                <w:szCs w:val="20"/>
                <w:color w:val="auto"/>
              </w:rPr>
            </w:pPr>
            <w:r>
              <w:rPr>
                <w:rFonts w:ascii="Arial" w:cs="Arial" w:eastAsia="Arial" w:hAnsi="Arial"/>
                <w:sz w:val="13"/>
                <w:szCs w:val="13"/>
                <w:color w:val="auto"/>
              </w:rPr>
              <w:t>Achieve Altisource</w:t>
            </w:r>
          </w:p>
        </w:tc>
        <w:tc>
          <w:tcPr>
            <w:tcW w:w="218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$686.6 million</w:t>
            </w:r>
          </w:p>
        </w:tc>
        <w:tc>
          <w:tcPr>
            <w:tcW w:w="160" w:type="dxa"/>
            <w:vAlign w:val="bottom"/>
            <w:shd w:val="clear" w:color="auto" w:fill="CCEEFF"/>
          </w:tcPr>
          <w:p>
            <w:pPr>
              <w:spacing w:after="0"/>
              <w:rPr>
                <w:sz w:val="10"/>
                <w:szCs w:val="10"/>
                <w:color w:val="auto"/>
              </w:rPr>
            </w:pPr>
          </w:p>
        </w:tc>
        <w:tc>
          <w:tcPr>
            <w:tcW w:w="218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$807.8 million</w:t>
            </w:r>
          </w:p>
        </w:tc>
        <w:tc>
          <w:tcPr>
            <w:tcW w:w="16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$929.0 million</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$938.7 million</w:t>
            </w:r>
          </w:p>
        </w:tc>
        <w:tc>
          <w:tcPr>
            <w:tcW w:w="0" w:type="dxa"/>
            <w:vAlign w:val="bottom"/>
          </w:tcPr>
          <w:p>
            <w:pPr>
              <w:spacing w:after="0"/>
              <w:rPr>
                <w:sz w:val="1"/>
                <w:szCs w:val="1"/>
                <w:color w:val="auto"/>
              </w:rPr>
            </w:pPr>
          </w:p>
        </w:tc>
      </w:tr>
      <w:tr>
        <w:trPr>
          <w:trHeight w:val="142"/>
        </w:trPr>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3"/>
                <w:szCs w:val="13"/>
                <w:color w:val="auto"/>
                <w:w w:val="99"/>
              </w:rPr>
              <w:t>Consolidated Service Revenue</w:t>
            </w:r>
          </w:p>
        </w:tc>
        <w:tc>
          <w:tcPr>
            <w:tcW w:w="2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Target</w:t>
            </w:r>
          </w:p>
        </w:tc>
        <w:tc>
          <w:tcPr>
            <w:tcW w:w="2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w:t>
            </w:r>
          </w:p>
        </w:tc>
        <w:tc>
          <w:tcPr>
            <w:tcW w:w="16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Achieve EPS Target</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$5.41 diluted EPS</w:t>
            </w:r>
          </w:p>
        </w:tc>
        <w:tc>
          <w:tcPr>
            <w:tcW w:w="160" w:type="dxa"/>
            <w:vAlign w:val="bottom"/>
            <w:shd w:val="clear" w:color="auto" w:fill="CCEEFF"/>
          </w:tcPr>
          <w:p>
            <w:pPr>
              <w:spacing w:after="0"/>
              <w:rPr>
                <w:sz w:val="24"/>
                <w:szCs w:val="24"/>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$6.37 diluted EPS</w:t>
            </w:r>
          </w:p>
        </w:tc>
        <w:tc>
          <w:tcPr>
            <w:tcW w:w="160" w:type="dxa"/>
            <w:vAlign w:val="bottom"/>
            <w:shd w:val="clear" w:color="auto" w:fill="CCEEFF"/>
          </w:tcPr>
          <w:p>
            <w:pPr>
              <w:spacing w:after="0"/>
              <w:rPr>
                <w:sz w:val="24"/>
                <w:szCs w:val="24"/>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$7.32 diluted EPS</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$5.69 diluted</w:t>
            </w:r>
          </w:p>
        </w:tc>
        <w:tc>
          <w:tcPr>
            <w:tcW w:w="0" w:type="dxa"/>
            <w:vAlign w:val="bottom"/>
          </w:tcPr>
          <w:p>
            <w:pPr>
              <w:spacing w:after="0"/>
              <w:rPr>
                <w:sz w:val="1"/>
                <w:szCs w:val="1"/>
                <w:color w:val="auto"/>
              </w:rPr>
            </w:pPr>
          </w:p>
        </w:tc>
      </w:tr>
      <w:tr>
        <w:trPr>
          <w:trHeight w:val="150"/>
        </w:trPr>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EPS</w:t>
            </w:r>
          </w:p>
        </w:tc>
        <w:tc>
          <w:tcPr>
            <w:tcW w:w="0" w:type="dxa"/>
            <w:vAlign w:val="bottom"/>
          </w:tcPr>
          <w:p>
            <w:pPr>
              <w:spacing w:after="0"/>
              <w:rPr>
                <w:sz w:val="1"/>
                <w:szCs w:val="1"/>
                <w:color w:val="auto"/>
              </w:rPr>
            </w:pPr>
          </w:p>
        </w:tc>
      </w:tr>
      <w:tr>
        <w:trPr>
          <w:trHeight w:val="287"/>
        </w:trPr>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w:t>
            </w:r>
          </w:p>
        </w:tc>
        <w:tc>
          <w:tcPr>
            <w:tcW w:w="16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Successfully complete the key</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Weighted Average of 60% for Strategic</w:t>
            </w:r>
          </w:p>
        </w:tc>
        <w:tc>
          <w:tcPr>
            <w:tcW w:w="160" w:type="dxa"/>
            <w:vAlign w:val="bottom"/>
            <w:shd w:val="clear" w:color="auto" w:fill="CCEEFF"/>
          </w:tcPr>
          <w:p>
            <w:pPr>
              <w:spacing w:after="0"/>
              <w:rPr>
                <w:sz w:val="24"/>
                <w:szCs w:val="24"/>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Weighted Average of 80% for Strategic</w:t>
            </w:r>
          </w:p>
        </w:tc>
        <w:tc>
          <w:tcPr>
            <w:tcW w:w="160" w:type="dxa"/>
            <w:vAlign w:val="bottom"/>
            <w:shd w:val="clear" w:color="auto" w:fill="CCEEFF"/>
          </w:tcPr>
          <w:p>
            <w:pPr>
              <w:spacing w:after="0"/>
              <w:rPr>
                <w:sz w:val="24"/>
                <w:szCs w:val="24"/>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Weighted Average of 100% for Strategic</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Achievement</w:t>
            </w:r>
          </w:p>
        </w:tc>
        <w:tc>
          <w:tcPr>
            <w:tcW w:w="0" w:type="dxa"/>
            <w:vAlign w:val="bottom"/>
          </w:tcPr>
          <w:p>
            <w:pPr>
              <w:spacing w:after="0"/>
              <w:rPr>
                <w:sz w:val="1"/>
                <w:szCs w:val="1"/>
                <w:color w:val="auto"/>
              </w:rPr>
            </w:pPr>
          </w:p>
        </w:tc>
      </w:tr>
      <w:tr>
        <w:trPr>
          <w:trHeight w:val="142"/>
        </w:trPr>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3"/>
                <w:szCs w:val="13"/>
                <w:color w:val="auto"/>
              </w:rPr>
              <w:t>strategic initiatives of the</w:t>
            </w:r>
          </w:p>
        </w:tc>
        <w:tc>
          <w:tcPr>
            <w:tcW w:w="21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Initiatives 1,2, 3,4,5,6,7,8,9,10,</w:t>
            </w:r>
          </w:p>
        </w:tc>
        <w:tc>
          <w:tcPr>
            <w:tcW w:w="160" w:type="dxa"/>
            <w:vAlign w:val="bottom"/>
            <w:shd w:val="clear" w:color="auto" w:fill="CCEEFF"/>
          </w:tcPr>
          <w:p>
            <w:pPr>
              <w:spacing w:after="0"/>
              <w:rPr>
                <w:sz w:val="12"/>
                <w:szCs w:val="12"/>
                <w:color w:val="auto"/>
              </w:rPr>
            </w:pPr>
          </w:p>
        </w:tc>
        <w:tc>
          <w:tcPr>
            <w:tcW w:w="21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1"/>
              </w:rPr>
              <w:t>Initiatives 1,2, 3,4,5,6,7,8,9,10,</w:t>
            </w:r>
          </w:p>
        </w:tc>
        <w:tc>
          <w:tcPr>
            <w:tcW w:w="160" w:type="dxa"/>
            <w:vAlign w:val="bottom"/>
            <w:shd w:val="clear" w:color="auto" w:fill="CCEEFF"/>
          </w:tcPr>
          <w:p>
            <w:pPr>
              <w:spacing w:after="0"/>
              <w:rPr>
                <w:sz w:val="12"/>
                <w:szCs w:val="12"/>
                <w:color w:val="auto"/>
              </w:rPr>
            </w:pPr>
          </w:p>
        </w:tc>
        <w:tc>
          <w:tcPr>
            <w:tcW w:w="224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Initiatives 1,2, 3,4,5,6,7,8,9,10,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1"/>
              </w:rPr>
              <w:t>of 100.00%</w:t>
            </w:r>
          </w:p>
        </w:tc>
        <w:tc>
          <w:tcPr>
            <w:tcW w:w="0" w:type="dxa"/>
            <w:vAlign w:val="bottom"/>
          </w:tcPr>
          <w:p>
            <w:pPr>
              <w:spacing w:after="0"/>
              <w:rPr>
                <w:sz w:val="1"/>
                <w:szCs w:val="1"/>
                <w:color w:val="auto"/>
              </w:rPr>
            </w:pPr>
          </w:p>
        </w:tc>
      </w:tr>
      <w:tr>
        <w:trPr>
          <w:trHeight w:val="150"/>
        </w:trPr>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Company</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11,12,13,14,15</w:t>
            </w:r>
          </w:p>
        </w:tc>
        <w:tc>
          <w:tcPr>
            <w:tcW w:w="2340" w:type="dxa"/>
            <w:vAlign w:val="bottom"/>
            <w:gridSpan w:val="2"/>
            <w:shd w:val="clear" w:color="auto" w:fill="CCEEFF"/>
          </w:tcPr>
          <w:p>
            <w:pPr>
              <w:jc w:val="center"/>
              <w:ind w:left="116"/>
              <w:spacing w:after="0"/>
              <w:rPr>
                <w:sz w:val="20"/>
                <w:szCs w:val="20"/>
                <w:color w:val="auto"/>
              </w:rPr>
            </w:pPr>
            <w:r>
              <w:rPr>
                <w:rFonts w:ascii="Arial" w:cs="Arial" w:eastAsia="Arial" w:hAnsi="Arial"/>
                <w:sz w:val="13"/>
                <w:szCs w:val="13"/>
                <w:color w:val="auto"/>
                <w:w w:val="87"/>
              </w:rPr>
              <w:t>11,12,13,14,15</w:t>
            </w:r>
          </w:p>
        </w:tc>
        <w:tc>
          <w:tcPr>
            <w:tcW w:w="240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87"/>
              </w:rPr>
              <w:t>11,12,13,14,15</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54"/>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gridSpan w:val="2"/>
          </w:tcPr>
          <w:p>
            <w:pPr>
              <w:ind w:left="920"/>
              <w:spacing w:after="0"/>
              <w:rPr>
                <w:sz w:val="20"/>
                <w:szCs w:val="20"/>
                <w:color w:val="auto"/>
              </w:rPr>
            </w:pPr>
            <w:r>
              <w:rPr>
                <w:rFonts w:ascii="Arial" w:cs="Arial" w:eastAsia="Arial" w:hAnsi="Arial"/>
                <w:sz w:val="13"/>
                <w:szCs w:val="13"/>
                <w:b w:val="1"/>
                <w:bCs w:val="1"/>
                <w:color w:val="auto"/>
              </w:rPr>
              <w:t>2014 Scorecard</w:t>
            </w:r>
          </w:p>
        </w:tc>
        <w:tc>
          <w:tcPr>
            <w:tcW w:w="1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Levels of Achievement</w:t>
            </w: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 w:type="dxa"/>
            <w:vAlign w:val="bottom"/>
            <w:gridSpan w:val="3"/>
          </w:tcPr>
          <w:p>
            <w:pPr>
              <w:ind w:left="260"/>
              <w:spacing w:after="0" w:line="134" w:lineRule="exact"/>
              <w:rPr>
                <w:sz w:val="20"/>
                <w:szCs w:val="20"/>
                <w:color w:val="auto"/>
              </w:rPr>
            </w:pPr>
            <w:r>
              <w:rPr>
                <w:rFonts w:ascii="Arial" w:cs="Arial" w:eastAsia="Arial" w:hAnsi="Arial"/>
                <w:sz w:val="13"/>
                <w:szCs w:val="13"/>
                <w:b w:val="1"/>
                <w:bCs w:val="1"/>
                <w:color w:val="auto"/>
              </w:rPr>
              <w:t>Name</w:t>
            </w:r>
          </w:p>
        </w:tc>
        <w:tc>
          <w:tcPr>
            <w:tcW w:w="480" w:type="dxa"/>
            <w:vAlign w:val="bottom"/>
            <w:gridSpan w:val="2"/>
          </w:tcPr>
          <w:p>
            <w:pPr>
              <w:jc w:val="center"/>
              <w:ind w:left="96"/>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2840" w:type="dxa"/>
            <w:vAlign w:val="bottom"/>
            <w:gridSpan w:val="2"/>
          </w:tcPr>
          <w:p>
            <w:pPr>
              <w:ind w:left="1100"/>
              <w:spacing w:after="0" w:line="134" w:lineRule="exact"/>
              <w:rPr>
                <w:sz w:val="20"/>
                <w:szCs w:val="20"/>
                <w:color w:val="auto"/>
              </w:rPr>
            </w:pPr>
            <w:r>
              <w:rPr>
                <w:rFonts w:ascii="Arial" w:cs="Arial" w:eastAsia="Arial" w:hAnsi="Arial"/>
                <w:sz w:val="13"/>
                <w:szCs w:val="13"/>
                <w:b w:val="1"/>
                <w:bCs w:val="1"/>
                <w:color w:val="auto"/>
              </w:rPr>
              <w:t>Elements</w:t>
            </w:r>
          </w:p>
        </w:tc>
        <w:tc>
          <w:tcPr>
            <w:tcW w:w="16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Threshold</w:t>
            </w:r>
          </w:p>
        </w:tc>
        <w:tc>
          <w:tcPr>
            <w:tcW w:w="160" w:type="dxa"/>
            <w:vAlign w:val="bottom"/>
          </w:tcPr>
          <w:p>
            <w:pPr>
              <w:spacing w:after="0"/>
              <w:rPr>
                <w:sz w:val="11"/>
                <w:szCs w:val="11"/>
                <w:color w:val="auto"/>
              </w:rPr>
            </w:pPr>
          </w:p>
        </w:tc>
        <w:tc>
          <w:tcPr>
            <w:tcW w:w="16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Target</w:t>
            </w:r>
          </w:p>
        </w:tc>
        <w:tc>
          <w:tcPr>
            <w:tcW w:w="140" w:type="dxa"/>
            <w:vAlign w:val="bottom"/>
          </w:tcPr>
          <w:p>
            <w:pPr>
              <w:spacing w:after="0"/>
              <w:rPr>
                <w:sz w:val="11"/>
                <w:szCs w:val="11"/>
                <w:color w:val="auto"/>
              </w:rPr>
            </w:pPr>
          </w:p>
        </w:tc>
        <w:tc>
          <w:tcPr>
            <w:tcW w:w="16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60" w:type="dxa"/>
            <w:vAlign w:val="bottom"/>
          </w:tcPr>
          <w:p>
            <w:pPr>
              <w:spacing w:after="0"/>
              <w:rPr>
                <w:sz w:val="11"/>
                <w:szCs w:val="11"/>
                <w:color w:val="auto"/>
              </w:rPr>
            </w:pPr>
          </w:p>
        </w:tc>
        <w:tc>
          <w:tcPr>
            <w:tcW w:w="17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Level Achieved</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146" w:lineRule="exact"/>
              <w:rPr>
                <w:sz w:val="20"/>
                <w:szCs w:val="20"/>
                <w:color w:val="auto"/>
              </w:rPr>
            </w:pPr>
            <w:r>
              <w:rPr>
                <w:rFonts w:ascii="Arial" w:cs="Arial" w:eastAsia="Arial" w:hAnsi="Arial"/>
                <w:sz w:val="13"/>
                <w:szCs w:val="13"/>
                <w:color w:val="auto"/>
                <w:w w:val="79"/>
              </w:rPr>
              <w:t>Kevin</w:t>
            </w: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80" w:type="dxa"/>
            <w:vAlign w:val="bottom"/>
            <w:vMerge w:val="continue"/>
          </w:tcPr>
          <w:p>
            <w:pPr>
              <w:spacing w:after="0"/>
              <w:rPr>
                <w:sz w:val="10"/>
                <w:szCs w:val="10"/>
                <w:color w:val="auto"/>
              </w:rPr>
            </w:pPr>
          </w:p>
        </w:tc>
        <w:tc>
          <w:tcPr>
            <w:tcW w:w="560" w:type="dxa"/>
            <w:vAlign w:val="bottom"/>
            <w:gridSpan w:val="2"/>
          </w:tcPr>
          <w:p>
            <w:pPr>
              <w:ind w:left="80"/>
              <w:spacing w:after="0" w:line="126" w:lineRule="exact"/>
              <w:rPr>
                <w:sz w:val="20"/>
                <w:szCs w:val="20"/>
                <w:color w:val="auto"/>
              </w:rPr>
            </w:pPr>
            <w:r>
              <w:rPr>
                <w:rFonts w:ascii="Arial" w:cs="Arial" w:eastAsia="Arial" w:hAnsi="Arial"/>
                <w:sz w:val="13"/>
                <w:szCs w:val="13"/>
                <w:color w:val="auto"/>
                <w:w w:val="88"/>
              </w:rPr>
              <w:t>J. Wilcox</w:t>
            </w:r>
          </w:p>
        </w:tc>
        <w:tc>
          <w:tcPr>
            <w:tcW w:w="160" w:type="dxa"/>
            <w:vAlign w:val="bottom"/>
            <w:vMerge w:val="continue"/>
          </w:tcPr>
          <w:p>
            <w:pPr>
              <w:spacing w:after="0"/>
              <w:rPr>
                <w:sz w:val="10"/>
                <w:szCs w:val="10"/>
                <w:color w:val="auto"/>
              </w:rPr>
            </w:pPr>
          </w:p>
        </w:tc>
        <w:tc>
          <w:tcPr>
            <w:tcW w:w="320" w:type="dxa"/>
            <w:vAlign w:val="bottom"/>
          </w:tcPr>
          <w:p>
            <w:pPr>
              <w:jc w:val="center"/>
              <w:spacing w:after="0" w:line="126" w:lineRule="exact"/>
              <w:rPr>
                <w:sz w:val="20"/>
                <w:szCs w:val="20"/>
                <w:color w:val="auto"/>
              </w:rPr>
            </w:pPr>
            <w:r>
              <w:rPr>
                <w:rFonts w:ascii="Arial" w:cs="Arial" w:eastAsia="Arial" w:hAnsi="Arial"/>
                <w:sz w:val="13"/>
                <w:szCs w:val="13"/>
                <w:color w:val="auto"/>
                <w:w w:val="92"/>
              </w:rPr>
              <w:t>20%</w:t>
            </w:r>
          </w:p>
        </w:tc>
        <w:tc>
          <w:tcPr>
            <w:tcW w:w="160" w:type="dxa"/>
            <w:vAlign w:val="bottom"/>
            <w:vMerge w:val="continue"/>
          </w:tcPr>
          <w:p>
            <w:pPr>
              <w:spacing w:after="0"/>
              <w:rPr>
                <w:sz w:val="10"/>
                <w:szCs w:val="10"/>
                <w:color w:val="auto"/>
              </w:rPr>
            </w:pPr>
          </w:p>
        </w:tc>
        <w:tc>
          <w:tcPr>
            <w:tcW w:w="2700" w:type="dxa"/>
            <w:vAlign w:val="bottom"/>
          </w:tcPr>
          <w:p>
            <w:pPr>
              <w:ind w:left="60"/>
              <w:spacing w:after="0" w:line="126" w:lineRule="exact"/>
              <w:rPr>
                <w:sz w:val="20"/>
                <w:szCs w:val="20"/>
                <w:color w:val="auto"/>
              </w:rPr>
            </w:pPr>
            <w:r>
              <w:rPr>
                <w:rFonts w:ascii="Arial" w:cs="Arial" w:eastAsia="Arial" w:hAnsi="Arial"/>
                <w:sz w:val="13"/>
                <w:szCs w:val="13"/>
                <w:color w:val="auto"/>
                <w:w w:val="90"/>
              </w:rPr>
              <w:t>Achieve Altisource Consolidated Service Revenue</w:t>
            </w:r>
          </w:p>
        </w:tc>
        <w:tc>
          <w:tcPr>
            <w:tcW w:w="140" w:type="dxa"/>
            <w:vAlign w:val="bottom"/>
            <w:vMerge w:val="continue"/>
          </w:tcPr>
          <w:p>
            <w:pPr>
              <w:spacing w:after="0"/>
              <w:rPr>
                <w:sz w:val="10"/>
                <w:szCs w:val="10"/>
                <w:color w:val="auto"/>
              </w:rPr>
            </w:pPr>
          </w:p>
        </w:tc>
        <w:tc>
          <w:tcPr>
            <w:tcW w:w="1640" w:type="dxa"/>
            <w:vAlign w:val="bottom"/>
          </w:tcPr>
          <w:p>
            <w:pPr>
              <w:jc w:val="center"/>
              <w:spacing w:after="0" w:line="126" w:lineRule="exact"/>
              <w:rPr>
                <w:sz w:val="20"/>
                <w:szCs w:val="20"/>
                <w:color w:val="auto"/>
              </w:rPr>
            </w:pPr>
            <w:r>
              <w:rPr>
                <w:rFonts w:ascii="Arial" w:cs="Arial" w:eastAsia="Arial" w:hAnsi="Arial"/>
                <w:sz w:val="13"/>
                <w:szCs w:val="13"/>
                <w:color w:val="auto"/>
                <w:w w:val="94"/>
              </w:rPr>
              <w:t>$686.6 million</w:t>
            </w:r>
          </w:p>
        </w:tc>
        <w:tc>
          <w:tcPr>
            <w:tcW w:w="160" w:type="dxa"/>
            <w:vAlign w:val="bottom"/>
            <w:vMerge w:val="continue"/>
          </w:tcPr>
          <w:p>
            <w:pPr>
              <w:spacing w:after="0"/>
              <w:rPr>
                <w:sz w:val="10"/>
                <w:szCs w:val="10"/>
                <w:color w:val="auto"/>
              </w:rPr>
            </w:pPr>
          </w:p>
        </w:tc>
        <w:tc>
          <w:tcPr>
            <w:tcW w:w="1640" w:type="dxa"/>
            <w:vAlign w:val="bottom"/>
          </w:tcPr>
          <w:p>
            <w:pPr>
              <w:jc w:val="center"/>
              <w:spacing w:after="0" w:line="126" w:lineRule="exact"/>
              <w:rPr>
                <w:sz w:val="20"/>
                <w:szCs w:val="20"/>
                <w:color w:val="auto"/>
              </w:rPr>
            </w:pPr>
            <w:r>
              <w:rPr>
                <w:rFonts w:ascii="Arial" w:cs="Arial" w:eastAsia="Arial" w:hAnsi="Arial"/>
                <w:sz w:val="13"/>
                <w:szCs w:val="13"/>
                <w:color w:val="auto"/>
                <w:w w:val="94"/>
              </w:rPr>
              <w:t>$807.8 million</w:t>
            </w:r>
          </w:p>
        </w:tc>
        <w:tc>
          <w:tcPr>
            <w:tcW w:w="140" w:type="dxa"/>
            <w:vAlign w:val="bottom"/>
            <w:vMerge w:val="continue"/>
          </w:tcPr>
          <w:p>
            <w:pPr>
              <w:spacing w:after="0"/>
              <w:rPr>
                <w:sz w:val="10"/>
                <w:szCs w:val="10"/>
                <w:color w:val="auto"/>
              </w:rPr>
            </w:pPr>
          </w:p>
        </w:tc>
        <w:tc>
          <w:tcPr>
            <w:tcW w:w="1660" w:type="dxa"/>
            <w:vAlign w:val="bottom"/>
          </w:tcPr>
          <w:p>
            <w:pPr>
              <w:jc w:val="center"/>
              <w:spacing w:after="0" w:line="126" w:lineRule="exact"/>
              <w:rPr>
                <w:sz w:val="20"/>
                <w:szCs w:val="20"/>
                <w:color w:val="auto"/>
              </w:rPr>
            </w:pPr>
            <w:r>
              <w:rPr>
                <w:rFonts w:ascii="Arial" w:cs="Arial" w:eastAsia="Arial" w:hAnsi="Arial"/>
                <w:sz w:val="13"/>
                <w:szCs w:val="13"/>
                <w:color w:val="auto"/>
                <w:w w:val="94"/>
              </w:rPr>
              <w:t>$929.0 million</w:t>
            </w:r>
          </w:p>
        </w:tc>
        <w:tc>
          <w:tcPr>
            <w:tcW w:w="160" w:type="dxa"/>
            <w:vAlign w:val="bottom"/>
            <w:vMerge w:val="continue"/>
          </w:tcPr>
          <w:p>
            <w:pPr>
              <w:spacing w:after="0"/>
              <w:rPr>
                <w:sz w:val="10"/>
                <w:szCs w:val="10"/>
                <w:color w:val="auto"/>
              </w:rPr>
            </w:pPr>
          </w:p>
        </w:tc>
        <w:tc>
          <w:tcPr>
            <w:tcW w:w="1700" w:type="dxa"/>
            <w:vAlign w:val="bottom"/>
          </w:tcPr>
          <w:p>
            <w:pPr>
              <w:jc w:val="center"/>
              <w:spacing w:after="0" w:line="126" w:lineRule="exact"/>
              <w:rPr>
                <w:sz w:val="20"/>
                <w:szCs w:val="20"/>
                <w:color w:val="auto"/>
              </w:rPr>
            </w:pPr>
            <w:r>
              <w:rPr>
                <w:rFonts w:ascii="Arial" w:cs="Arial" w:eastAsia="Arial" w:hAnsi="Arial"/>
                <w:sz w:val="13"/>
                <w:szCs w:val="13"/>
                <w:color w:val="auto"/>
                <w:w w:val="94"/>
              </w:rPr>
              <w:t>$938.7 million</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2"/>
          </w:tcPr>
          <w:p>
            <w:pPr>
              <w:ind w:left="60"/>
              <w:spacing w:after="0"/>
              <w:rPr>
                <w:sz w:val="20"/>
                <w:szCs w:val="20"/>
                <w:color w:val="auto"/>
              </w:rPr>
            </w:pPr>
            <w:r>
              <w:rPr>
                <w:rFonts w:ascii="Arial" w:cs="Arial" w:eastAsia="Arial" w:hAnsi="Arial"/>
                <w:sz w:val="13"/>
                <w:szCs w:val="13"/>
                <w:color w:val="auto"/>
              </w:rPr>
              <w:t>Target</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2"/>
          </w:tcPr>
          <w:p>
            <w:pPr>
              <w:jc w:val="center"/>
              <w:ind w:left="96"/>
              <w:spacing w:after="0"/>
              <w:rPr>
                <w:sz w:val="20"/>
                <w:szCs w:val="20"/>
                <w:color w:val="auto"/>
              </w:rPr>
            </w:pPr>
            <w:r>
              <w:rPr>
                <w:rFonts w:ascii="Arial" w:cs="Arial" w:eastAsia="Arial" w:hAnsi="Arial"/>
                <w:sz w:val="13"/>
                <w:szCs w:val="13"/>
                <w:color w:val="auto"/>
                <w:w w:val="92"/>
              </w:rPr>
              <w:t>30%</w:t>
            </w:r>
          </w:p>
        </w:tc>
        <w:tc>
          <w:tcPr>
            <w:tcW w:w="160" w:type="dxa"/>
            <w:vAlign w:val="bottom"/>
          </w:tcPr>
          <w:p>
            <w:pPr>
              <w:spacing w:after="0"/>
              <w:rPr>
                <w:sz w:val="24"/>
                <w:szCs w:val="24"/>
                <w:color w:val="auto"/>
              </w:rPr>
            </w:pPr>
          </w:p>
        </w:tc>
        <w:tc>
          <w:tcPr>
            <w:tcW w:w="2840" w:type="dxa"/>
            <w:vAlign w:val="bottom"/>
            <w:gridSpan w:val="2"/>
          </w:tcPr>
          <w:p>
            <w:pPr>
              <w:ind w:left="60"/>
              <w:spacing w:after="0"/>
              <w:rPr>
                <w:sz w:val="20"/>
                <w:szCs w:val="20"/>
                <w:color w:val="auto"/>
              </w:rPr>
            </w:pPr>
            <w:r>
              <w:rPr>
                <w:rFonts w:ascii="Arial" w:cs="Arial" w:eastAsia="Arial" w:hAnsi="Arial"/>
                <w:sz w:val="13"/>
                <w:szCs w:val="13"/>
                <w:color w:val="auto"/>
              </w:rPr>
              <w:t>Achieve EPS Target</w:t>
            </w:r>
          </w:p>
        </w:tc>
        <w:tc>
          <w:tcPr>
            <w:tcW w:w="1640" w:type="dxa"/>
            <w:vAlign w:val="bottom"/>
          </w:tcPr>
          <w:p>
            <w:pPr>
              <w:jc w:val="center"/>
              <w:spacing w:after="0"/>
              <w:rPr>
                <w:sz w:val="20"/>
                <w:szCs w:val="20"/>
                <w:color w:val="auto"/>
              </w:rPr>
            </w:pPr>
            <w:r>
              <w:rPr>
                <w:rFonts w:ascii="Arial" w:cs="Arial" w:eastAsia="Arial" w:hAnsi="Arial"/>
                <w:sz w:val="13"/>
                <w:szCs w:val="13"/>
                <w:color w:val="auto"/>
                <w:w w:val="90"/>
              </w:rPr>
              <w:t>$5.41 diluted EPS</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88"/>
              </w:rPr>
              <w:t>$6.37 diluted EPS</w:t>
            </w:r>
          </w:p>
        </w:tc>
        <w:tc>
          <w:tcPr>
            <w:tcW w:w="1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0"/>
              </w:rPr>
              <w:t>$7.32 diluted EPS</w:t>
            </w:r>
          </w:p>
        </w:tc>
        <w:tc>
          <w:tcPr>
            <w:tcW w:w="1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$5.69 diluted EPS</w:t>
            </w:r>
          </w:p>
        </w:tc>
        <w:tc>
          <w:tcPr>
            <w:tcW w:w="0" w:type="dxa"/>
            <w:vAlign w:val="bottom"/>
          </w:tcPr>
          <w:p>
            <w:pPr>
              <w:spacing w:after="0"/>
              <w:rPr>
                <w:sz w:val="1"/>
                <w:szCs w:val="1"/>
                <w:color w:val="auto"/>
              </w:rPr>
            </w:pPr>
          </w:p>
        </w:tc>
      </w:tr>
      <w:tr>
        <w:trPr>
          <w:trHeight w:val="275"/>
        </w:trPr>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gridSpan w:val="2"/>
          </w:tcPr>
          <w:p>
            <w:pPr>
              <w:jc w:val="center"/>
              <w:ind w:left="96"/>
              <w:spacing w:after="0"/>
              <w:rPr>
                <w:sz w:val="20"/>
                <w:szCs w:val="20"/>
                <w:color w:val="auto"/>
              </w:rPr>
            </w:pPr>
            <w:r>
              <w:rPr>
                <w:rFonts w:ascii="Arial" w:cs="Arial" w:eastAsia="Arial" w:hAnsi="Arial"/>
                <w:sz w:val="13"/>
                <w:szCs w:val="13"/>
                <w:color w:val="auto"/>
                <w:w w:val="92"/>
              </w:rPr>
              <w:t>30%</w:t>
            </w:r>
          </w:p>
        </w:tc>
        <w:tc>
          <w:tcPr>
            <w:tcW w:w="160" w:type="dxa"/>
            <w:vAlign w:val="bottom"/>
          </w:tcPr>
          <w:p>
            <w:pPr>
              <w:spacing w:after="0"/>
              <w:rPr>
                <w:sz w:val="23"/>
                <w:szCs w:val="23"/>
                <w:color w:val="auto"/>
              </w:rPr>
            </w:pPr>
          </w:p>
        </w:tc>
        <w:tc>
          <w:tcPr>
            <w:tcW w:w="2840" w:type="dxa"/>
            <w:vAlign w:val="bottom"/>
            <w:gridSpan w:val="2"/>
          </w:tcPr>
          <w:p>
            <w:pPr>
              <w:ind w:left="60"/>
              <w:spacing w:after="0"/>
              <w:rPr>
                <w:sz w:val="20"/>
                <w:szCs w:val="20"/>
                <w:color w:val="auto"/>
              </w:rPr>
            </w:pPr>
            <w:r>
              <w:rPr>
                <w:rFonts w:ascii="Arial" w:cs="Arial" w:eastAsia="Arial" w:hAnsi="Arial"/>
                <w:sz w:val="13"/>
                <w:szCs w:val="13"/>
                <w:color w:val="auto"/>
                <w:w w:val="97"/>
              </w:rPr>
              <w:t>Successfully complete the key strategic initiatives</w:t>
            </w:r>
          </w:p>
        </w:tc>
        <w:tc>
          <w:tcPr>
            <w:tcW w:w="1640" w:type="dxa"/>
            <w:vAlign w:val="bottom"/>
          </w:tcPr>
          <w:p>
            <w:pPr>
              <w:jc w:val="center"/>
              <w:spacing w:after="0"/>
              <w:rPr>
                <w:sz w:val="20"/>
                <w:szCs w:val="20"/>
                <w:color w:val="auto"/>
              </w:rPr>
            </w:pPr>
            <w:r>
              <w:rPr>
                <w:rFonts w:ascii="Arial" w:cs="Arial" w:eastAsia="Arial" w:hAnsi="Arial"/>
                <w:sz w:val="13"/>
                <w:szCs w:val="13"/>
                <w:color w:val="auto"/>
                <w:w w:val="89"/>
              </w:rPr>
              <w:t>See Strategic Initiatives</w:t>
            </w:r>
          </w:p>
        </w:tc>
        <w:tc>
          <w:tcPr>
            <w:tcW w:w="16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89"/>
              </w:rPr>
              <w:t>See Strategic Initiatives</w:t>
            </w:r>
          </w:p>
        </w:tc>
        <w:tc>
          <w:tcPr>
            <w:tcW w:w="1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89"/>
              </w:rPr>
              <w:t>See Strategic Initiatives</w:t>
            </w:r>
          </w:p>
        </w:tc>
        <w:tc>
          <w:tcPr>
            <w:tcW w:w="1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9"/>
              </w:rPr>
              <w:t>Weighted Average Achievement</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gridSpan w:val="2"/>
          </w:tcPr>
          <w:p>
            <w:pPr>
              <w:ind w:left="60"/>
              <w:spacing w:after="0"/>
              <w:rPr>
                <w:sz w:val="20"/>
                <w:szCs w:val="20"/>
                <w:color w:val="auto"/>
              </w:rPr>
            </w:pPr>
            <w:r>
              <w:rPr>
                <w:rFonts w:ascii="Arial" w:cs="Arial" w:eastAsia="Arial" w:hAnsi="Arial"/>
                <w:sz w:val="13"/>
                <w:szCs w:val="13"/>
                <w:color w:val="auto"/>
              </w:rPr>
              <w:t>of the Company</w:t>
            </w:r>
          </w:p>
        </w:tc>
        <w:tc>
          <w:tcPr>
            <w:tcW w:w="1640" w:type="dxa"/>
            <w:vAlign w:val="bottom"/>
          </w:tcPr>
          <w:p>
            <w:pPr>
              <w:jc w:val="center"/>
              <w:spacing w:after="0"/>
              <w:rPr>
                <w:sz w:val="20"/>
                <w:szCs w:val="20"/>
                <w:color w:val="auto"/>
              </w:rPr>
            </w:pPr>
            <w:r>
              <w:rPr>
                <w:rFonts w:ascii="Arial" w:cs="Arial" w:eastAsia="Arial" w:hAnsi="Arial"/>
                <w:sz w:val="13"/>
                <w:szCs w:val="13"/>
                <w:color w:val="auto"/>
                <w:w w:val="88"/>
              </w:rPr>
              <w:t>6,7,13,14,15,18</w:t>
            </w:r>
          </w:p>
        </w:tc>
        <w:tc>
          <w:tcPr>
            <w:tcW w:w="1800" w:type="dxa"/>
            <w:vAlign w:val="bottom"/>
            <w:gridSpan w:val="2"/>
          </w:tcPr>
          <w:p>
            <w:pPr>
              <w:jc w:val="center"/>
              <w:ind w:left="96"/>
              <w:spacing w:after="0"/>
              <w:rPr>
                <w:sz w:val="20"/>
                <w:szCs w:val="20"/>
                <w:color w:val="auto"/>
              </w:rPr>
            </w:pPr>
            <w:r>
              <w:rPr>
                <w:rFonts w:ascii="Arial" w:cs="Arial" w:eastAsia="Arial" w:hAnsi="Arial"/>
                <w:sz w:val="13"/>
                <w:szCs w:val="13"/>
                <w:color w:val="auto"/>
                <w:w w:val="88"/>
              </w:rPr>
              <w:t>6,7,13,14,15,18</w:t>
            </w:r>
          </w:p>
        </w:tc>
        <w:tc>
          <w:tcPr>
            <w:tcW w:w="1800" w:type="dxa"/>
            <w:vAlign w:val="bottom"/>
            <w:gridSpan w:val="2"/>
          </w:tcPr>
          <w:p>
            <w:pPr>
              <w:jc w:val="center"/>
              <w:ind w:left="96"/>
              <w:spacing w:after="0"/>
              <w:rPr>
                <w:sz w:val="20"/>
                <w:szCs w:val="20"/>
                <w:color w:val="auto"/>
              </w:rPr>
            </w:pPr>
            <w:r>
              <w:rPr>
                <w:rFonts w:ascii="Arial" w:cs="Arial" w:eastAsia="Arial" w:hAnsi="Arial"/>
                <w:sz w:val="13"/>
                <w:szCs w:val="13"/>
                <w:color w:val="auto"/>
                <w:w w:val="88"/>
              </w:rPr>
              <w:t>6,7,13,14,15,18</w:t>
            </w:r>
          </w:p>
        </w:tc>
        <w:tc>
          <w:tcPr>
            <w:tcW w:w="1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2"/>
              </w:rPr>
              <w:t>of 117.50</w:t>
            </w:r>
          </w:p>
        </w:tc>
        <w:tc>
          <w:tcPr>
            <w:tcW w:w="0" w:type="dxa"/>
            <w:vAlign w:val="bottom"/>
          </w:tcPr>
          <w:p>
            <w:pPr>
              <w:spacing w:after="0"/>
              <w:rPr>
                <w:sz w:val="1"/>
                <w:szCs w:val="1"/>
                <w:color w:val="auto"/>
              </w:rPr>
            </w:pPr>
          </w:p>
        </w:tc>
      </w:tr>
      <w:tr>
        <w:trPr>
          <w:trHeight w:val="133"/>
        </w:trPr>
        <w:tc>
          <w:tcPr>
            <w:tcW w:w="84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Michelle D.</w:t>
            </w:r>
          </w:p>
        </w:tc>
        <w:tc>
          <w:tcPr>
            <w:tcW w:w="480" w:type="dxa"/>
            <w:vAlign w:val="bottom"/>
            <w:gridSpan w:val="2"/>
            <w:shd w:val="clear" w:color="auto" w:fill="CCEEFF"/>
          </w:tcPr>
          <w:p>
            <w:pPr>
              <w:jc w:val="center"/>
              <w:ind w:left="96"/>
              <w:spacing w:after="0" w:line="133" w:lineRule="exact"/>
              <w:rPr>
                <w:sz w:val="20"/>
                <w:szCs w:val="20"/>
                <w:color w:val="auto"/>
              </w:rPr>
            </w:pPr>
            <w:r>
              <w:rPr>
                <w:rFonts w:ascii="Arial" w:cs="Arial" w:eastAsia="Arial" w:hAnsi="Arial"/>
                <w:sz w:val="13"/>
                <w:szCs w:val="13"/>
                <w:color w:val="auto"/>
                <w:w w:val="92"/>
              </w:rPr>
              <w:t>20%</w:t>
            </w:r>
          </w:p>
        </w:tc>
        <w:tc>
          <w:tcPr>
            <w:tcW w:w="160" w:type="dxa"/>
            <w:vAlign w:val="bottom"/>
            <w:shd w:val="clear" w:color="auto" w:fill="CCEEFF"/>
          </w:tcPr>
          <w:p>
            <w:pPr>
              <w:spacing w:after="0"/>
              <w:rPr>
                <w:sz w:val="11"/>
                <w:szCs w:val="11"/>
                <w:color w:val="auto"/>
              </w:rPr>
            </w:pPr>
          </w:p>
        </w:tc>
        <w:tc>
          <w:tcPr>
            <w:tcW w:w="284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3"/>
                <w:szCs w:val="13"/>
                <w:color w:val="auto"/>
                <w:w w:val="95"/>
              </w:rPr>
              <w:t>Achieve Altisource Consolidated Service Revenue</w:t>
            </w:r>
          </w:p>
        </w:tc>
        <w:tc>
          <w:tcPr>
            <w:tcW w:w="16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$686.6 million</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$807.8 million</w:t>
            </w:r>
          </w:p>
        </w:tc>
        <w:tc>
          <w:tcPr>
            <w:tcW w:w="14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$929.0 million</w:t>
            </w:r>
          </w:p>
        </w:tc>
        <w:tc>
          <w:tcPr>
            <w:tcW w:w="160" w:type="dxa"/>
            <w:vAlign w:val="bottom"/>
            <w:shd w:val="clear" w:color="auto" w:fill="CCEEFF"/>
          </w:tcPr>
          <w:p>
            <w:pPr>
              <w:spacing w:after="0"/>
              <w:rPr>
                <w:sz w:val="11"/>
                <w:szCs w:val="11"/>
                <w:color w:val="auto"/>
              </w:rPr>
            </w:pPr>
          </w:p>
        </w:tc>
        <w:tc>
          <w:tcPr>
            <w:tcW w:w="17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$938.7 million</w:t>
            </w:r>
          </w:p>
        </w:tc>
        <w:tc>
          <w:tcPr>
            <w:tcW w:w="0" w:type="dxa"/>
            <w:vAlign w:val="bottom"/>
          </w:tcPr>
          <w:p>
            <w:pPr>
              <w:spacing w:after="0"/>
              <w:rPr>
                <w:sz w:val="1"/>
                <w:szCs w:val="1"/>
                <w:color w:val="auto"/>
              </w:rPr>
            </w:pPr>
          </w:p>
        </w:tc>
      </w:tr>
      <w:tr>
        <w:trPr>
          <w:trHeight w:val="150"/>
        </w:trPr>
        <w:tc>
          <w:tcPr>
            <w:tcW w:w="8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Esterman</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Target</w:t>
            </w:r>
          </w:p>
        </w:tc>
        <w:tc>
          <w:tcPr>
            <w:tcW w:w="1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w:t>
            </w:r>
          </w:p>
        </w:tc>
        <w:tc>
          <w:tcPr>
            <w:tcW w:w="160" w:type="dxa"/>
            <w:vAlign w:val="bottom"/>
            <w:shd w:val="clear" w:color="auto" w:fill="CCEEFF"/>
          </w:tcPr>
          <w:p>
            <w:pPr>
              <w:spacing w:after="0"/>
              <w:rPr>
                <w:sz w:val="24"/>
                <w:szCs w:val="24"/>
                <w:color w:val="auto"/>
              </w:rPr>
            </w:pP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Achieve EPS Target</w:t>
            </w: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$5.41 diluted EPS</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$6.37 diluted EPS</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$7.32 diluted EPS</w:t>
            </w:r>
          </w:p>
        </w:tc>
        <w:tc>
          <w:tcPr>
            <w:tcW w:w="16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$5.69 diluted EPS</w:t>
            </w:r>
          </w:p>
        </w:tc>
        <w:tc>
          <w:tcPr>
            <w:tcW w:w="0" w:type="dxa"/>
            <w:vAlign w:val="bottom"/>
          </w:tcPr>
          <w:p>
            <w:pPr>
              <w:spacing w:after="0"/>
              <w:rPr>
                <w:sz w:val="1"/>
                <w:szCs w:val="1"/>
                <w:color w:val="auto"/>
              </w:rPr>
            </w:pPr>
          </w:p>
        </w:tc>
      </w:tr>
      <w:tr>
        <w:trPr>
          <w:trHeight w:val="287"/>
        </w:trPr>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w:t>
            </w:r>
          </w:p>
        </w:tc>
        <w:tc>
          <w:tcPr>
            <w:tcW w:w="160" w:type="dxa"/>
            <w:vAlign w:val="bottom"/>
            <w:shd w:val="clear" w:color="auto" w:fill="CCEEFF"/>
          </w:tcPr>
          <w:p>
            <w:pPr>
              <w:spacing w:after="0"/>
              <w:rPr>
                <w:sz w:val="24"/>
                <w:szCs w:val="24"/>
                <w:color w:val="auto"/>
              </w:rPr>
            </w:pP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97"/>
              </w:rPr>
              <w:t>Successfully complete the key strategic initiatives</w:t>
            </w: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w:t>
            </w:r>
          </w:p>
        </w:tc>
        <w:tc>
          <w:tcPr>
            <w:tcW w:w="16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Weighted Average Achievement</w:t>
            </w:r>
          </w:p>
        </w:tc>
        <w:tc>
          <w:tcPr>
            <w:tcW w:w="0" w:type="dxa"/>
            <w:vAlign w:val="bottom"/>
          </w:tcPr>
          <w:p>
            <w:pPr>
              <w:spacing w:after="0"/>
              <w:rPr>
                <w:sz w:val="1"/>
                <w:szCs w:val="1"/>
                <w:color w:val="auto"/>
              </w:rPr>
            </w:pPr>
          </w:p>
        </w:tc>
      </w:tr>
      <w:tr>
        <w:trPr>
          <w:trHeight w:val="150"/>
        </w:trPr>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of the Company</w:t>
            </w: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13,15,16,17,18</w:t>
            </w:r>
          </w:p>
        </w:tc>
        <w:tc>
          <w:tcPr>
            <w:tcW w:w="180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87"/>
              </w:rPr>
              <w:t>13,15,16,17,18</w:t>
            </w:r>
          </w:p>
        </w:tc>
        <w:tc>
          <w:tcPr>
            <w:tcW w:w="1800" w:type="dxa"/>
            <w:vAlign w:val="bottom"/>
            <w:gridSpan w:val="2"/>
            <w:shd w:val="clear" w:color="auto" w:fill="CCEEFF"/>
          </w:tcPr>
          <w:p>
            <w:pPr>
              <w:jc w:val="center"/>
              <w:ind w:left="76"/>
              <w:spacing w:after="0"/>
              <w:rPr>
                <w:sz w:val="20"/>
                <w:szCs w:val="20"/>
                <w:color w:val="auto"/>
              </w:rPr>
            </w:pPr>
            <w:r>
              <w:rPr>
                <w:rFonts w:ascii="Arial" w:cs="Arial" w:eastAsia="Arial" w:hAnsi="Arial"/>
                <w:sz w:val="13"/>
                <w:szCs w:val="13"/>
                <w:color w:val="auto"/>
                <w:w w:val="89"/>
              </w:rPr>
              <w:t>13,15,16,17,18</w:t>
            </w:r>
          </w:p>
        </w:tc>
        <w:tc>
          <w:tcPr>
            <w:tcW w:w="16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of 103.13%</w:t>
            </w:r>
          </w:p>
        </w:tc>
        <w:tc>
          <w:tcPr>
            <w:tcW w:w="0" w:type="dxa"/>
            <w:vAlign w:val="bottom"/>
          </w:tcPr>
          <w:p>
            <w:pPr>
              <w:spacing w:after="0"/>
              <w:rPr>
                <w:sz w:val="1"/>
                <w:szCs w:val="1"/>
                <w:color w:val="auto"/>
              </w:rPr>
            </w:pPr>
          </w:p>
        </w:tc>
      </w:tr>
      <w:tr>
        <w:trPr>
          <w:trHeight w:val="133"/>
        </w:trPr>
        <w:tc>
          <w:tcPr>
            <w:tcW w:w="840" w:type="dxa"/>
            <w:vAlign w:val="bottom"/>
            <w:gridSpan w:val="3"/>
          </w:tcPr>
          <w:p>
            <w:pPr>
              <w:spacing w:after="0" w:line="133" w:lineRule="exact"/>
              <w:rPr>
                <w:sz w:val="20"/>
                <w:szCs w:val="20"/>
                <w:color w:val="auto"/>
              </w:rPr>
            </w:pPr>
            <w:r>
              <w:rPr>
                <w:rFonts w:ascii="Arial" w:cs="Arial" w:eastAsia="Arial" w:hAnsi="Arial"/>
                <w:sz w:val="13"/>
                <w:szCs w:val="13"/>
                <w:color w:val="auto"/>
              </w:rPr>
              <w:t>Joseph A.</w:t>
            </w:r>
          </w:p>
        </w:tc>
        <w:tc>
          <w:tcPr>
            <w:tcW w:w="160" w:type="dxa"/>
            <w:vAlign w:val="bottom"/>
          </w:tcPr>
          <w:p>
            <w:pPr>
              <w:spacing w:after="0"/>
              <w:rPr>
                <w:sz w:val="11"/>
                <w:szCs w:val="11"/>
                <w:color w:val="auto"/>
              </w:rPr>
            </w:pPr>
          </w:p>
        </w:tc>
        <w:tc>
          <w:tcPr>
            <w:tcW w:w="320" w:type="dxa"/>
            <w:vAlign w:val="bottom"/>
          </w:tcPr>
          <w:p>
            <w:pPr>
              <w:jc w:val="center"/>
              <w:spacing w:after="0" w:line="133" w:lineRule="exact"/>
              <w:rPr>
                <w:sz w:val="20"/>
                <w:szCs w:val="20"/>
                <w:color w:val="auto"/>
              </w:rPr>
            </w:pPr>
            <w:r>
              <w:rPr>
                <w:rFonts w:ascii="Arial" w:cs="Arial" w:eastAsia="Arial" w:hAnsi="Arial"/>
                <w:sz w:val="13"/>
                <w:szCs w:val="13"/>
                <w:color w:val="auto"/>
                <w:w w:val="92"/>
              </w:rPr>
              <w:t>20%</w:t>
            </w:r>
          </w:p>
        </w:tc>
        <w:tc>
          <w:tcPr>
            <w:tcW w:w="160" w:type="dxa"/>
            <w:vAlign w:val="bottom"/>
          </w:tcPr>
          <w:p>
            <w:pPr>
              <w:spacing w:after="0"/>
              <w:rPr>
                <w:sz w:val="11"/>
                <w:szCs w:val="11"/>
                <w:color w:val="auto"/>
              </w:rPr>
            </w:pPr>
          </w:p>
        </w:tc>
        <w:tc>
          <w:tcPr>
            <w:tcW w:w="284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Achieve Mortgage Services Service Revenue</w:t>
            </w:r>
          </w:p>
        </w:tc>
        <w:tc>
          <w:tcPr>
            <w:tcW w:w="1640" w:type="dxa"/>
            <w:vAlign w:val="bottom"/>
          </w:tcPr>
          <w:p>
            <w:pPr>
              <w:jc w:val="center"/>
              <w:spacing w:after="0" w:line="133" w:lineRule="exact"/>
              <w:rPr>
                <w:sz w:val="20"/>
                <w:szCs w:val="20"/>
                <w:color w:val="auto"/>
              </w:rPr>
            </w:pPr>
            <w:r>
              <w:rPr>
                <w:rFonts w:ascii="Arial" w:cs="Arial" w:eastAsia="Arial" w:hAnsi="Arial"/>
                <w:sz w:val="13"/>
                <w:szCs w:val="13"/>
                <w:color w:val="auto"/>
                <w:w w:val="94"/>
              </w:rPr>
              <w:t>$519.7 million</w:t>
            </w:r>
          </w:p>
        </w:tc>
        <w:tc>
          <w:tcPr>
            <w:tcW w:w="16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3"/>
                <w:szCs w:val="13"/>
                <w:color w:val="auto"/>
                <w:w w:val="94"/>
              </w:rPr>
              <w:t>$611.4 million</w:t>
            </w:r>
          </w:p>
        </w:tc>
        <w:tc>
          <w:tcPr>
            <w:tcW w:w="140" w:type="dxa"/>
            <w:vAlign w:val="bottom"/>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Arial" w:cs="Arial" w:eastAsia="Arial" w:hAnsi="Arial"/>
                <w:sz w:val="13"/>
                <w:szCs w:val="13"/>
                <w:color w:val="auto"/>
                <w:w w:val="94"/>
              </w:rPr>
              <w:t>$703.1 million</w:t>
            </w:r>
          </w:p>
        </w:tc>
        <w:tc>
          <w:tcPr>
            <w:tcW w:w="160" w:type="dxa"/>
            <w:vAlign w:val="bottom"/>
          </w:tcPr>
          <w:p>
            <w:pPr>
              <w:spacing w:after="0"/>
              <w:rPr>
                <w:sz w:val="11"/>
                <w:szCs w:val="11"/>
                <w:color w:val="auto"/>
              </w:rPr>
            </w:pPr>
          </w:p>
        </w:tc>
        <w:tc>
          <w:tcPr>
            <w:tcW w:w="1700" w:type="dxa"/>
            <w:vAlign w:val="bottom"/>
          </w:tcPr>
          <w:p>
            <w:pPr>
              <w:jc w:val="center"/>
              <w:spacing w:after="0" w:line="133" w:lineRule="exact"/>
              <w:rPr>
                <w:sz w:val="20"/>
                <w:szCs w:val="20"/>
                <w:color w:val="auto"/>
              </w:rPr>
            </w:pPr>
            <w:r>
              <w:rPr>
                <w:rFonts w:ascii="Arial" w:cs="Arial" w:eastAsia="Arial" w:hAnsi="Arial"/>
                <w:sz w:val="13"/>
                <w:szCs w:val="13"/>
                <w:color w:val="auto"/>
                <w:w w:val="94"/>
              </w:rPr>
              <w:t>$650.0 million</w:t>
            </w:r>
          </w:p>
        </w:tc>
        <w:tc>
          <w:tcPr>
            <w:tcW w:w="0" w:type="dxa"/>
            <w:vAlign w:val="bottom"/>
          </w:tcPr>
          <w:p>
            <w:pPr>
              <w:spacing w:after="0"/>
              <w:rPr>
                <w:sz w:val="1"/>
                <w:szCs w:val="1"/>
                <w:color w:val="auto"/>
              </w:rPr>
            </w:pPr>
          </w:p>
        </w:tc>
      </w:tr>
      <w:tr>
        <w:trPr>
          <w:trHeight w:val="163"/>
        </w:trPr>
        <w:tc>
          <w:tcPr>
            <w:tcW w:w="840" w:type="dxa"/>
            <w:vAlign w:val="bottom"/>
            <w:gridSpan w:val="3"/>
          </w:tcPr>
          <w:p>
            <w:pPr>
              <w:ind w:left="120"/>
              <w:spacing w:after="0"/>
              <w:rPr>
                <w:sz w:val="20"/>
                <w:szCs w:val="20"/>
                <w:color w:val="auto"/>
              </w:rPr>
            </w:pPr>
            <w:r>
              <w:rPr>
                <w:rFonts w:ascii="Arial" w:cs="Arial" w:eastAsia="Arial" w:hAnsi="Arial"/>
                <w:sz w:val="13"/>
                <w:szCs w:val="13"/>
                <w:color w:val="auto"/>
              </w:rPr>
              <w:t>Davila</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2"/>
          </w:tcPr>
          <w:p>
            <w:pPr>
              <w:ind w:left="60"/>
              <w:spacing w:after="0"/>
              <w:rPr>
                <w:sz w:val="20"/>
                <w:szCs w:val="20"/>
                <w:color w:val="auto"/>
              </w:rPr>
            </w:pPr>
            <w:r>
              <w:rPr>
                <w:rFonts w:ascii="Arial" w:cs="Arial" w:eastAsia="Arial" w:hAnsi="Arial"/>
                <w:sz w:val="13"/>
                <w:szCs w:val="13"/>
                <w:color w:val="auto"/>
              </w:rPr>
              <w:t>Target</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gridSpan w:val="2"/>
          </w:tcPr>
          <w:p>
            <w:pPr>
              <w:jc w:val="center"/>
              <w:ind w:left="96"/>
              <w:spacing w:after="0"/>
              <w:rPr>
                <w:sz w:val="20"/>
                <w:szCs w:val="20"/>
                <w:color w:val="auto"/>
              </w:rPr>
            </w:pPr>
            <w:r>
              <w:rPr>
                <w:rFonts w:ascii="Arial" w:cs="Arial" w:eastAsia="Arial" w:hAnsi="Arial"/>
                <w:sz w:val="13"/>
                <w:szCs w:val="13"/>
                <w:color w:val="auto"/>
                <w:w w:val="92"/>
              </w:rPr>
              <w:t>30%</w:t>
            </w:r>
          </w:p>
        </w:tc>
        <w:tc>
          <w:tcPr>
            <w:tcW w:w="160" w:type="dxa"/>
            <w:vAlign w:val="bottom"/>
          </w:tcPr>
          <w:p>
            <w:pPr>
              <w:spacing w:after="0"/>
              <w:rPr>
                <w:sz w:val="23"/>
                <w:szCs w:val="23"/>
                <w:color w:val="auto"/>
              </w:rPr>
            </w:pPr>
          </w:p>
        </w:tc>
        <w:tc>
          <w:tcPr>
            <w:tcW w:w="2840" w:type="dxa"/>
            <w:vAlign w:val="bottom"/>
            <w:gridSpan w:val="2"/>
          </w:tcPr>
          <w:p>
            <w:pPr>
              <w:ind w:left="60"/>
              <w:spacing w:after="0"/>
              <w:rPr>
                <w:sz w:val="20"/>
                <w:szCs w:val="20"/>
                <w:color w:val="auto"/>
              </w:rPr>
            </w:pPr>
            <w:r>
              <w:rPr>
                <w:rFonts w:ascii="Arial" w:cs="Arial" w:eastAsia="Arial" w:hAnsi="Arial"/>
                <w:sz w:val="13"/>
                <w:szCs w:val="13"/>
                <w:color w:val="auto"/>
              </w:rPr>
              <w:t>Achieve Mortgage Services Pre-tax Income</w:t>
            </w:r>
          </w:p>
        </w:tc>
        <w:tc>
          <w:tcPr>
            <w:tcW w:w="1640" w:type="dxa"/>
            <w:vAlign w:val="bottom"/>
          </w:tcPr>
          <w:p>
            <w:pPr>
              <w:jc w:val="center"/>
              <w:spacing w:after="0"/>
              <w:rPr>
                <w:sz w:val="20"/>
                <w:szCs w:val="20"/>
                <w:color w:val="auto"/>
              </w:rPr>
            </w:pPr>
            <w:r>
              <w:rPr>
                <w:rFonts w:ascii="Arial" w:cs="Arial" w:eastAsia="Arial" w:hAnsi="Arial"/>
                <w:sz w:val="13"/>
                <w:szCs w:val="13"/>
                <w:color w:val="auto"/>
                <w:w w:val="94"/>
              </w:rPr>
              <w:t>$166.9 million</w:t>
            </w:r>
          </w:p>
        </w:tc>
        <w:tc>
          <w:tcPr>
            <w:tcW w:w="16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4"/>
              </w:rPr>
              <w:t>$196.4 million</w:t>
            </w:r>
          </w:p>
        </w:tc>
        <w:tc>
          <w:tcPr>
            <w:tcW w:w="1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4"/>
              </w:rPr>
              <w:t>$225.8 million</w:t>
            </w:r>
          </w:p>
        </w:tc>
        <w:tc>
          <w:tcPr>
            <w:tcW w:w="1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4"/>
              </w:rPr>
              <w:t>$208.5 million</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2"/>
          </w:tcPr>
          <w:p>
            <w:pPr>
              <w:ind w:left="60"/>
              <w:spacing w:after="0"/>
              <w:rPr>
                <w:sz w:val="20"/>
                <w:szCs w:val="20"/>
                <w:color w:val="auto"/>
              </w:rPr>
            </w:pPr>
            <w:r>
              <w:rPr>
                <w:rFonts w:ascii="Arial" w:cs="Arial" w:eastAsia="Arial" w:hAnsi="Arial"/>
                <w:sz w:val="13"/>
                <w:szCs w:val="13"/>
                <w:color w:val="auto"/>
              </w:rPr>
              <w:t>attributable to Altisource</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gridSpan w:val="2"/>
          </w:tcPr>
          <w:p>
            <w:pPr>
              <w:jc w:val="center"/>
              <w:ind w:left="96"/>
              <w:spacing w:after="0"/>
              <w:rPr>
                <w:sz w:val="20"/>
                <w:szCs w:val="20"/>
                <w:color w:val="auto"/>
              </w:rPr>
            </w:pPr>
            <w:r>
              <w:rPr>
                <w:rFonts w:ascii="Arial" w:cs="Arial" w:eastAsia="Arial" w:hAnsi="Arial"/>
                <w:sz w:val="13"/>
                <w:szCs w:val="13"/>
                <w:color w:val="auto"/>
                <w:w w:val="92"/>
              </w:rPr>
              <w:t>30%</w:t>
            </w:r>
          </w:p>
        </w:tc>
        <w:tc>
          <w:tcPr>
            <w:tcW w:w="160" w:type="dxa"/>
            <w:vAlign w:val="bottom"/>
          </w:tcPr>
          <w:p>
            <w:pPr>
              <w:spacing w:after="0"/>
              <w:rPr>
                <w:sz w:val="23"/>
                <w:szCs w:val="23"/>
                <w:color w:val="auto"/>
              </w:rPr>
            </w:pPr>
          </w:p>
        </w:tc>
        <w:tc>
          <w:tcPr>
            <w:tcW w:w="2840" w:type="dxa"/>
            <w:vAlign w:val="bottom"/>
            <w:gridSpan w:val="2"/>
          </w:tcPr>
          <w:p>
            <w:pPr>
              <w:ind w:left="60"/>
              <w:spacing w:after="0"/>
              <w:rPr>
                <w:sz w:val="20"/>
                <w:szCs w:val="20"/>
                <w:color w:val="auto"/>
              </w:rPr>
            </w:pPr>
            <w:r>
              <w:rPr>
                <w:rFonts w:ascii="Arial" w:cs="Arial" w:eastAsia="Arial" w:hAnsi="Arial"/>
                <w:sz w:val="13"/>
                <w:szCs w:val="13"/>
                <w:color w:val="auto"/>
                <w:w w:val="97"/>
              </w:rPr>
              <w:t>Successfully complete the key strategic initiatives</w:t>
            </w:r>
          </w:p>
        </w:tc>
        <w:tc>
          <w:tcPr>
            <w:tcW w:w="1640" w:type="dxa"/>
            <w:vAlign w:val="bottom"/>
          </w:tcPr>
          <w:p>
            <w:pPr>
              <w:jc w:val="center"/>
              <w:spacing w:after="0"/>
              <w:rPr>
                <w:sz w:val="20"/>
                <w:szCs w:val="20"/>
                <w:color w:val="auto"/>
              </w:rPr>
            </w:pPr>
            <w:r>
              <w:rPr>
                <w:rFonts w:ascii="Arial" w:cs="Arial" w:eastAsia="Arial" w:hAnsi="Arial"/>
                <w:sz w:val="13"/>
                <w:szCs w:val="13"/>
                <w:color w:val="auto"/>
                <w:w w:val="89"/>
              </w:rPr>
              <w:t>See Strategic Initiatives</w:t>
            </w:r>
          </w:p>
        </w:tc>
        <w:tc>
          <w:tcPr>
            <w:tcW w:w="16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89"/>
              </w:rPr>
              <w:t>See Strategic Initiatives</w:t>
            </w:r>
          </w:p>
        </w:tc>
        <w:tc>
          <w:tcPr>
            <w:tcW w:w="1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89"/>
              </w:rPr>
              <w:t>See Strategic Initiatives</w:t>
            </w:r>
          </w:p>
        </w:tc>
        <w:tc>
          <w:tcPr>
            <w:tcW w:w="1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9"/>
              </w:rPr>
              <w:t>Weighted Average Achievement</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gridSpan w:val="2"/>
          </w:tcPr>
          <w:p>
            <w:pPr>
              <w:ind w:left="60"/>
              <w:spacing w:after="0"/>
              <w:rPr>
                <w:sz w:val="20"/>
                <w:szCs w:val="20"/>
                <w:color w:val="auto"/>
              </w:rPr>
            </w:pPr>
            <w:r>
              <w:rPr>
                <w:rFonts w:ascii="Arial" w:cs="Arial" w:eastAsia="Arial" w:hAnsi="Arial"/>
                <w:sz w:val="13"/>
                <w:szCs w:val="13"/>
                <w:color w:val="auto"/>
              </w:rPr>
              <w:t>of the Company</w:t>
            </w:r>
          </w:p>
        </w:tc>
        <w:tc>
          <w:tcPr>
            <w:tcW w:w="1640" w:type="dxa"/>
            <w:vAlign w:val="bottom"/>
          </w:tcPr>
          <w:p>
            <w:pPr>
              <w:jc w:val="center"/>
              <w:spacing w:after="0"/>
              <w:rPr>
                <w:sz w:val="20"/>
                <w:szCs w:val="20"/>
                <w:color w:val="auto"/>
              </w:rPr>
            </w:pPr>
            <w:r>
              <w:rPr>
                <w:rFonts w:ascii="Arial" w:cs="Arial" w:eastAsia="Arial" w:hAnsi="Arial"/>
                <w:sz w:val="13"/>
                <w:szCs w:val="13"/>
                <w:color w:val="auto"/>
                <w:w w:val="90"/>
              </w:rPr>
              <w:t>1,2,3,4,5,6,7,13,14</w:t>
            </w:r>
          </w:p>
        </w:tc>
        <w:tc>
          <w:tcPr>
            <w:tcW w:w="1800" w:type="dxa"/>
            <w:vAlign w:val="bottom"/>
            <w:gridSpan w:val="2"/>
          </w:tcPr>
          <w:p>
            <w:pPr>
              <w:jc w:val="center"/>
              <w:ind w:left="96"/>
              <w:spacing w:after="0"/>
              <w:rPr>
                <w:sz w:val="20"/>
                <w:szCs w:val="20"/>
                <w:color w:val="auto"/>
              </w:rPr>
            </w:pPr>
            <w:r>
              <w:rPr>
                <w:rFonts w:ascii="Arial" w:cs="Arial" w:eastAsia="Arial" w:hAnsi="Arial"/>
                <w:sz w:val="13"/>
                <w:szCs w:val="13"/>
                <w:color w:val="auto"/>
                <w:w w:val="88"/>
              </w:rPr>
              <w:t>1,2,3,4,5,6,7,13,14</w:t>
            </w:r>
          </w:p>
        </w:tc>
        <w:tc>
          <w:tcPr>
            <w:tcW w:w="1800" w:type="dxa"/>
            <w:vAlign w:val="bottom"/>
            <w:gridSpan w:val="2"/>
          </w:tcPr>
          <w:p>
            <w:pPr>
              <w:jc w:val="center"/>
              <w:ind w:left="96"/>
              <w:spacing w:after="0"/>
              <w:rPr>
                <w:sz w:val="20"/>
                <w:szCs w:val="20"/>
                <w:color w:val="auto"/>
              </w:rPr>
            </w:pPr>
            <w:r>
              <w:rPr>
                <w:rFonts w:ascii="Arial" w:cs="Arial" w:eastAsia="Arial" w:hAnsi="Arial"/>
                <w:sz w:val="13"/>
                <w:szCs w:val="13"/>
                <w:color w:val="auto"/>
                <w:w w:val="88"/>
              </w:rPr>
              <w:t>1,2,3,4,5,6,7,13,14</w:t>
            </w:r>
          </w:p>
        </w:tc>
        <w:tc>
          <w:tcPr>
            <w:tcW w:w="1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of 104.06%</w:t>
            </w:r>
          </w:p>
        </w:tc>
        <w:tc>
          <w:tcPr>
            <w:tcW w:w="0" w:type="dxa"/>
            <w:vAlign w:val="bottom"/>
          </w:tcPr>
          <w:p>
            <w:pPr>
              <w:spacing w:after="0"/>
              <w:rPr>
                <w:sz w:val="1"/>
                <w:szCs w:val="1"/>
                <w:color w:val="auto"/>
              </w:rPr>
            </w:pPr>
          </w:p>
        </w:tc>
      </w:tr>
      <w:tr>
        <w:trPr>
          <w:trHeight w:val="133"/>
        </w:trPr>
        <w:tc>
          <w:tcPr>
            <w:tcW w:w="84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w w:val="98"/>
              </w:rPr>
              <w:t>Mark J. Hynes</w:t>
            </w:r>
          </w:p>
        </w:tc>
        <w:tc>
          <w:tcPr>
            <w:tcW w:w="480" w:type="dxa"/>
            <w:vAlign w:val="bottom"/>
            <w:gridSpan w:val="2"/>
            <w:shd w:val="clear" w:color="auto" w:fill="CCEEFF"/>
          </w:tcPr>
          <w:p>
            <w:pPr>
              <w:jc w:val="center"/>
              <w:ind w:left="96"/>
              <w:spacing w:after="0" w:line="133" w:lineRule="exact"/>
              <w:rPr>
                <w:sz w:val="20"/>
                <w:szCs w:val="20"/>
                <w:color w:val="auto"/>
              </w:rPr>
            </w:pPr>
            <w:r>
              <w:rPr>
                <w:rFonts w:ascii="Arial" w:cs="Arial" w:eastAsia="Arial" w:hAnsi="Arial"/>
                <w:sz w:val="13"/>
                <w:szCs w:val="13"/>
                <w:color w:val="auto"/>
                <w:w w:val="92"/>
              </w:rPr>
              <w:t>20%</w:t>
            </w:r>
          </w:p>
        </w:tc>
        <w:tc>
          <w:tcPr>
            <w:tcW w:w="160" w:type="dxa"/>
            <w:vAlign w:val="bottom"/>
            <w:shd w:val="clear" w:color="auto" w:fill="CCEEFF"/>
          </w:tcPr>
          <w:p>
            <w:pPr>
              <w:spacing w:after="0"/>
              <w:rPr>
                <w:sz w:val="11"/>
                <w:szCs w:val="11"/>
                <w:color w:val="auto"/>
              </w:rPr>
            </w:pPr>
          </w:p>
        </w:tc>
        <w:tc>
          <w:tcPr>
            <w:tcW w:w="284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3"/>
                <w:szCs w:val="13"/>
                <w:color w:val="auto"/>
              </w:rPr>
              <w:t>Achieve Technology Services Service Revenue</w:t>
            </w:r>
          </w:p>
        </w:tc>
        <w:tc>
          <w:tcPr>
            <w:tcW w:w="16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$193.3 million</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$227.5 million</w:t>
            </w:r>
          </w:p>
        </w:tc>
        <w:tc>
          <w:tcPr>
            <w:tcW w:w="14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$261.6 million</w:t>
            </w:r>
          </w:p>
        </w:tc>
        <w:tc>
          <w:tcPr>
            <w:tcW w:w="160" w:type="dxa"/>
            <w:vAlign w:val="bottom"/>
            <w:shd w:val="clear" w:color="auto" w:fill="CCEEFF"/>
          </w:tcPr>
          <w:p>
            <w:pPr>
              <w:spacing w:after="0"/>
              <w:rPr>
                <w:sz w:val="11"/>
                <w:szCs w:val="11"/>
                <w:color w:val="auto"/>
              </w:rPr>
            </w:pPr>
          </w:p>
        </w:tc>
        <w:tc>
          <w:tcPr>
            <w:tcW w:w="17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$230.4 million</w:t>
            </w:r>
          </w:p>
        </w:tc>
        <w:tc>
          <w:tcPr>
            <w:tcW w:w="0" w:type="dxa"/>
            <w:vAlign w:val="bottom"/>
          </w:tcPr>
          <w:p>
            <w:pPr>
              <w:spacing w:after="0"/>
              <w:rPr>
                <w:sz w:val="1"/>
                <w:szCs w:val="1"/>
                <w:color w:val="auto"/>
              </w:rPr>
            </w:pPr>
          </w:p>
        </w:tc>
      </w:tr>
      <w:tr>
        <w:trPr>
          <w:trHeight w:val="150"/>
        </w:trPr>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Target</w:t>
            </w:r>
          </w:p>
        </w:tc>
        <w:tc>
          <w:tcPr>
            <w:tcW w:w="1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w:t>
            </w:r>
          </w:p>
        </w:tc>
        <w:tc>
          <w:tcPr>
            <w:tcW w:w="160" w:type="dxa"/>
            <w:vAlign w:val="bottom"/>
            <w:shd w:val="clear" w:color="auto" w:fill="CCEEFF"/>
          </w:tcPr>
          <w:p>
            <w:pPr>
              <w:spacing w:after="0"/>
              <w:rPr>
                <w:sz w:val="24"/>
                <w:szCs w:val="24"/>
                <w:color w:val="auto"/>
              </w:rPr>
            </w:pP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Achieve Technology Services Pre-tax Income</w:t>
            </w: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$16.1 million</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$18.9 million</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$21.8 million</w:t>
            </w:r>
          </w:p>
        </w:tc>
        <w:tc>
          <w:tcPr>
            <w:tcW w:w="16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$4.1 million</w:t>
            </w:r>
          </w:p>
        </w:tc>
        <w:tc>
          <w:tcPr>
            <w:tcW w:w="0" w:type="dxa"/>
            <w:vAlign w:val="bottom"/>
          </w:tcPr>
          <w:p>
            <w:pPr>
              <w:spacing w:after="0"/>
              <w:rPr>
                <w:sz w:val="1"/>
                <w:szCs w:val="1"/>
                <w:color w:val="auto"/>
              </w:rPr>
            </w:pPr>
          </w:p>
        </w:tc>
      </w:tr>
      <w:tr>
        <w:trPr>
          <w:trHeight w:val="287"/>
        </w:trPr>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w:t>
            </w:r>
          </w:p>
        </w:tc>
        <w:tc>
          <w:tcPr>
            <w:tcW w:w="160" w:type="dxa"/>
            <w:vAlign w:val="bottom"/>
            <w:shd w:val="clear" w:color="auto" w:fill="CCEEFF"/>
          </w:tcPr>
          <w:p>
            <w:pPr>
              <w:spacing w:after="0"/>
              <w:rPr>
                <w:sz w:val="24"/>
                <w:szCs w:val="24"/>
                <w:color w:val="auto"/>
              </w:rPr>
            </w:pP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97"/>
              </w:rPr>
              <w:t>Successfully complete the key strategic initiatives</w:t>
            </w: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w:t>
            </w:r>
          </w:p>
        </w:tc>
        <w:tc>
          <w:tcPr>
            <w:tcW w:w="16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Weighted Average Achievement</w:t>
            </w:r>
          </w:p>
        </w:tc>
        <w:tc>
          <w:tcPr>
            <w:tcW w:w="0" w:type="dxa"/>
            <w:vAlign w:val="bottom"/>
          </w:tcPr>
          <w:p>
            <w:pPr>
              <w:spacing w:after="0"/>
              <w:rPr>
                <w:sz w:val="1"/>
                <w:szCs w:val="1"/>
                <w:color w:val="auto"/>
              </w:rPr>
            </w:pPr>
          </w:p>
        </w:tc>
      </w:tr>
      <w:tr>
        <w:trPr>
          <w:trHeight w:val="150"/>
        </w:trPr>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of the Company</w:t>
            </w: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9,10,11,12,13,14</w:t>
            </w:r>
          </w:p>
        </w:tc>
        <w:tc>
          <w:tcPr>
            <w:tcW w:w="1800" w:type="dxa"/>
            <w:vAlign w:val="bottom"/>
            <w:gridSpan w:val="2"/>
            <w:shd w:val="clear" w:color="auto" w:fill="CCEEFF"/>
          </w:tcPr>
          <w:p>
            <w:pPr>
              <w:jc w:val="center"/>
              <w:ind w:left="76"/>
              <w:spacing w:after="0"/>
              <w:rPr>
                <w:sz w:val="20"/>
                <w:szCs w:val="20"/>
                <w:color w:val="auto"/>
              </w:rPr>
            </w:pPr>
            <w:r>
              <w:rPr>
                <w:rFonts w:ascii="Arial" w:cs="Arial" w:eastAsia="Arial" w:hAnsi="Arial"/>
                <w:sz w:val="13"/>
                <w:szCs w:val="13"/>
                <w:color w:val="auto"/>
                <w:w w:val="88"/>
              </w:rPr>
              <w:t>9,10,11,12,13,14</w:t>
            </w:r>
          </w:p>
        </w:tc>
        <w:tc>
          <w:tcPr>
            <w:tcW w:w="1800" w:type="dxa"/>
            <w:vAlign w:val="bottom"/>
            <w:gridSpan w:val="2"/>
            <w:shd w:val="clear" w:color="auto" w:fill="CCEEFF"/>
          </w:tcPr>
          <w:p>
            <w:pPr>
              <w:jc w:val="center"/>
              <w:ind w:left="76"/>
              <w:spacing w:after="0"/>
              <w:rPr>
                <w:sz w:val="20"/>
                <w:szCs w:val="20"/>
                <w:color w:val="auto"/>
              </w:rPr>
            </w:pPr>
            <w:r>
              <w:rPr>
                <w:rFonts w:ascii="Arial" w:cs="Arial" w:eastAsia="Arial" w:hAnsi="Arial"/>
                <w:sz w:val="13"/>
                <w:szCs w:val="13"/>
                <w:color w:val="auto"/>
                <w:w w:val="89"/>
              </w:rPr>
              <w:t>10,11,12,13,14</w:t>
            </w:r>
          </w:p>
        </w:tc>
        <w:tc>
          <w:tcPr>
            <w:tcW w:w="16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of 115.84%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 noted above, 20% of the incentive compensation for the Chief Executive Officer and other named executive officers is determined by their performance appraisal for the service year. Each of our named executive officers performs a self-assessment as to his or her performance against his or her goals for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33" w:name="page34"/>
    <w:bookmarkEnd w:id="33"/>
    <w:p>
      <w:pPr>
        <w:jc w:val="both"/>
        <w:ind w:right="220"/>
        <w:spacing w:after="0" w:line="287" w:lineRule="auto"/>
        <w:rPr>
          <w:sz w:val="20"/>
          <w:szCs w:val="20"/>
          <w:color w:val="auto"/>
        </w:rPr>
      </w:pPr>
      <w:r>
        <w:rPr>
          <w:rFonts w:ascii="Arial" w:cs="Arial" w:eastAsia="Arial" w:hAnsi="Arial"/>
          <w:sz w:val="16"/>
          <w:szCs w:val="16"/>
          <w:color w:val="auto"/>
        </w:rPr>
        <w:t>the applicable year. Our Chief Executive Officer utilizes these assessments, as well as his own observations, to prepare a written performance appraisal for each of the other executive officers. These performance appraisals rate performance based on objective criteria related to two key factors: (i) the executive's ability to improve and develop their organization throughout the year and (ii) the executive's strategic contributions to the direction of the Company.</w:t>
      </w:r>
    </w:p>
    <w:p>
      <w:pPr>
        <w:spacing w:after="0" w:line="164" w:lineRule="exact"/>
        <w:rPr>
          <w:sz w:val="20"/>
          <w:szCs w:val="20"/>
          <w:color w:val="auto"/>
        </w:rPr>
      </w:pPr>
    </w:p>
    <w:p>
      <w:pPr>
        <w:ind w:right="400"/>
        <w:spacing w:after="0" w:line="343" w:lineRule="auto"/>
        <w:rPr>
          <w:sz w:val="20"/>
          <w:szCs w:val="20"/>
          <w:color w:val="auto"/>
        </w:rPr>
      </w:pPr>
      <w:r>
        <w:rPr>
          <w:rFonts w:ascii="Arial" w:cs="Arial" w:eastAsia="Arial" w:hAnsi="Arial"/>
          <w:sz w:val="15"/>
          <w:szCs w:val="15"/>
          <w:color w:val="auto"/>
        </w:rPr>
        <w:t>The Chief Executive Officer's scorecard performance and personal performance appraisal are determined by the Compensation Committee taking into consideration whether the Company's performance and corresponding incentive results present a fair representation of the Chief Executive Officer's performance.</w:t>
      </w:r>
    </w:p>
    <w:p>
      <w:pPr>
        <w:spacing w:after="0" w:line="125"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For our named executive officers other than the Chief Executive Officer, the Chief Executive Officer, in conjunction with the Chief Administration Officer, presents the personal scorecard performance and the performance appraisal scores to the Compensation Committee and makes recommendations as to the incentive compensation for each executive officer (except for the Chief Administration Officer, whose performance is reviewed without the presence of such executive).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this determination. For 2014, incentive compensation was awarded accordingly. Incentive compensation is set in U.S. dollars and, in the executive's discretion, may be paid in U.S. dollars or in euros converted from U.S. dollars at the exchange rate in effect as of the date of payment. Please see the Summary Compensation Table under "Executive Compensation" for the actual amounts awarded for 2014.</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 xml:space="preserve">2015 Annual Incentive Compensation. </w:t>
      </w:r>
      <w:r>
        <w:rPr>
          <w:rFonts w:ascii="Arial" w:cs="Arial" w:eastAsia="Arial" w:hAnsi="Arial"/>
          <w:sz w:val="16"/>
          <w:szCs w:val="16"/>
          <w:color w:val="auto"/>
        </w:rPr>
        <w:t>Generally, at the first Board of Directors meeting of the fiscal year, the Compensation Committee approves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scorecard and annual incentive components for the Chief Executive Officer and other executives for the upcoming year. The Company's 2015 key performance indicators have been developed and were approved by the Board of Directors at the February 10, 2015 Board of Directors meeting.</w:t>
      </w:r>
    </w:p>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corporate scorecard for 2015 includes achieving an overall service revenue target, achieving business segment specific service revenue and pre-tax income targets and achieving an earnings per share target. In addition, the corporate scorecard provides for successful completion of strategic initiatives established to enhance long-term corporate and shareholder value.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2015 corporate strategic initiatives relate to:</w:t>
      </w:r>
    </w:p>
    <w:p>
      <w:pPr>
        <w:spacing w:after="0" w:line="229" w:lineRule="exact"/>
        <w:rPr>
          <w:sz w:val="20"/>
          <w:szCs w:val="20"/>
          <w:color w:val="auto"/>
        </w:rPr>
      </w:pPr>
    </w:p>
    <w:p>
      <w:pPr>
        <w:ind w:left="1040" w:hanging="522"/>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Supporting customer operational objectives</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Achieving origination-related services and cooperative initiatives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Growing non-Ocwen default-related service revenue</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Expanding our innovative online real estate marketplace</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Achieving the REALAnalytics, REALDoc and marketplace product initiatives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Growing property management and renovation services business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Maintaining compliance</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Achieving operations and cost savings initiatives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Setting Compensation Levels</w:t>
      </w:r>
    </w:p>
    <w:p>
      <w:pPr>
        <w:spacing w:after="0" w:line="22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believe our executive compensation programs are effectively designed, are working well in alignment with the interests of our shareholders and are instrumental to achieving our business strategy. In determining executive compensation for fiscal year 2014, our Compensation Committee considered the overwhelming shareholder support that the "Say-on-Pay" proposal received at our May 21, 2014 Annual Meeting of Shareholders. As a result, our Compensation Committee continued to apply the same effective principles and philosophy it has used in previous years in determining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ind w:right="440"/>
        <w:spacing w:after="0" w:line="274" w:lineRule="auto"/>
        <w:rPr>
          <w:sz w:val="20"/>
          <w:szCs w:val="20"/>
          <w:color w:val="auto"/>
        </w:rPr>
      </w:pPr>
      <w:r>
        <w:rPr>
          <w:rFonts w:ascii="Arial" w:cs="Arial" w:eastAsia="Arial" w:hAnsi="Arial"/>
          <w:sz w:val="17"/>
          <w:szCs w:val="17"/>
          <w:color w:val="auto"/>
        </w:rPr>
        <w:t>executive compensation and will continue to consider shareholder concerns and feedback in the future. The next "Say-on-Pay" vote will be held at our 2017 Annual Meeting of Shareholders.</w:t>
      </w:r>
    </w:p>
    <w:p>
      <w:pPr>
        <w:spacing w:after="0" w:line="172"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 In 2014, our Compensation Committee engaged our independent compensation consultant, Exequity, to assist the Compensation Committee in reviewing the compensation levels for the Chief Executive Officer, the Chief Administration Officer and the Chief Financial Officer. Exequity reviewed our executive compensation levels compared to pay levels among our peer companies, as analyzed by the Human Resources function with input from management, to help identify the competitive positioning of our pay practices. All information was obtained from publicly available proxy disclosures and included base salary, annual incentive compensation and long-term incentive compensation. Please see "Role of Compensation Consultant" for information on the peer group companies the Compensation Committee used in its analysis.</w:t>
      </w:r>
    </w:p>
    <w:p>
      <w:pPr>
        <w:spacing w:after="0" w:line="159" w:lineRule="exact"/>
        <w:rPr>
          <w:sz w:val="20"/>
          <w:szCs w:val="20"/>
          <w:color w:val="auto"/>
        </w:rPr>
      </w:pPr>
    </w:p>
    <w:p>
      <w:pPr>
        <w:ind w:right="160"/>
        <w:spacing w:after="0" w:line="343" w:lineRule="auto"/>
        <w:rPr>
          <w:sz w:val="20"/>
          <w:szCs w:val="20"/>
          <w:color w:val="auto"/>
        </w:rPr>
      </w:pPr>
      <w:r>
        <w:rPr>
          <w:rFonts w:ascii="Arial" w:cs="Arial" w:eastAsia="Arial" w:hAnsi="Arial"/>
          <w:sz w:val="15"/>
          <w:szCs w:val="15"/>
          <w:color w:val="auto"/>
        </w:rPr>
        <w:t>The Compensation Committee believes this peer group benchmarking methodology provides a fair representation of the competitive arena for executive talent and is an effective approach for setting compensation levels to ensure that the Company's pay practices allow it to attract and retain executive employees of the highest quality.</w:t>
      </w:r>
    </w:p>
    <w:p>
      <w:pPr>
        <w:spacing w:after="0" w:line="12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Additionally, utilizing a similar benchmarking analysis and other relevant factors, the Compensation Committee reviewed the compensation levels for the Chief Financial Officer in the first quarter of 2015 with Exequity's assistance.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Increases for Certain Named Executive Officers</w:t>
      </w:r>
    </w:p>
    <w:p>
      <w:pPr>
        <w:spacing w:after="0" w:line="221" w:lineRule="exact"/>
        <w:rPr>
          <w:sz w:val="20"/>
          <w:szCs w:val="20"/>
          <w:color w:val="auto"/>
        </w:rPr>
      </w:pPr>
    </w:p>
    <w:p>
      <w:pPr>
        <w:ind w:right="640"/>
        <w:spacing w:after="0" w:line="343" w:lineRule="auto"/>
        <w:rPr>
          <w:sz w:val="20"/>
          <w:szCs w:val="20"/>
          <w:color w:val="auto"/>
        </w:rPr>
      </w:pPr>
      <w:r>
        <w:rPr>
          <w:rFonts w:ascii="Arial" w:cs="Arial" w:eastAsia="Arial" w:hAnsi="Arial"/>
          <w:sz w:val="15"/>
          <w:szCs w:val="15"/>
          <w:color w:val="auto"/>
        </w:rPr>
        <w:t>Based on the benchmarking analyses, performance, retention and/or other relevant considerations, the Compensation Committee reviewed recommendations and determined appropriate base salary and annual incentive compensation targets for each of the Company's named executive officers.</w:t>
      </w:r>
    </w:p>
    <w:p>
      <w:pPr>
        <w:spacing w:after="0" w:line="125"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On June 1, 2014, the base salaries for Messrs. Shepro and Wilcox and Ms. Esterman were increased based on benchmarking analyses, performance and market conditions. On March 1, 2015, Ms. Esterman's base salary was further increased based on additional benchmarking analyses and the value of her expected performance going forward.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On March 17, 2014, Mr. Hynes received a base salary increase in connection with his relocation from the United States to Luxembourg.</w:t>
      </w:r>
    </w:p>
    <w:p>
      <w:pPr>
        <w:spacing w:after="0" w:line="21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On August 1, 2014, Mr. Davila's base salary was increased in recognition of the strong performance of the Mortgage Services business segment in 2013 and the first half of 2014 and the successful execution of strategic initiatives for the segment in 2013. Effective February 1, 2015, he received an additional increase in base salary to account for the disparity between the exchange rate of 0.701 euros to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U.S. dollar used in his Luxembourg employment agreement and the average exchange rate used for the other named executive officers.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780" w:type="dxa"/>
            <w:vAlign w:val="bottom"/>
          </w:tcPr>
          <w:p>
            <w:pPr>
              <w:jc w:val="right"/>
              <w:ind w:right="316"/>
              <w:spacing w:after="0"/>
              <w:rPr>
                <w:sz w:val="20"/>
                <w:szCs w:val="20"/>
                <w:color w:val="auto"/>
              </w:rPr>
            </w:pPr>
            <w:r>
              <w:rPr>
                <w:rFonts w:ascii="Arial" w:cs="Arial" w:eastAsia="Arial" w:hAnsi="Arial"/>
                <w:sz w:val="17"/>
                <w:szCs w:val="17"/>
                <w:b w:val="1"/>
                <w:bCs w:val="1"/>
                <w:color w:val="auto"/>
              </w:rPr>
              <w:t>Previous Base</w:t>
            </w:r>
          </w:p>
        </w:tc>
        <w:tc>
          <w:tcPr>
            <w:tcW w:w="1360" w:type="dxa"/>
            <w:vAlign w:val="bottom"/>
          </w:tcPr>
          <w:p>
            <w:pPr>
              <w:ind w:left="400"/>
              <w:spacing w:after="0"/>
              <w:rPr>
                <w:sz w:val="20"/>
                <w:szCs w:val="20"/>
                <w:color w:val="auto"/>
              </w:rPr>
            </w:pPr>
            <w:r>
              <w:rPr>
                <w:rFonts w:ascii="Arial" w:cs="Arial" w:eastAsia="Arial" w:hAnsi="Arial"/>
                <w:sz w:val="17"/>
                <w:szCs w:val="17"/>
                <w:b w:val="1"/>
                <w:bCs w:val="1"/>
                <w:color w:val="auto"/>
              </w:rPr>
              <w:t>New Base</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Resulting Base</w:t>
            </w:r>
          </w:p>
        </w:tc>
      </w:tr>
      <w:tr>
        <w:trPr>
          <w:trHeight w:val="217"/>
        </w:trPr>
        <w:tc>
          <w:tcPr>
            <w:tcW w:w="3480" w:type="dxa"/>
            <w:vAlign w:val="bottom"/>
            <w:gridSpan w:val="2"/>
          </w:tcPr>
          <w:p>
            <w:pPr>
              <w:spacing w:after="0"/>
              <w:rPr>
                <w:sz w:val="20"/>
                <w:szCs w:val="20"/>
                <w:color w:val="auto"/>
              </w:rPr>
            </w:pPr>
            <w:r>
              <w:rPr>
                <w:rFonts w:ascii="Arial" w:cs="Arial" w:eastAsia="Arial" w:hAnsi="Arial"/>
                <w:sz w:val="17"/>
                <w:szCs w:val="17"/>
                <w:b w:val="1"/>
                <w:bCs w:val="1"/>
                <w:color w:val="auto"/>
              </w:rPr>
              <w:t>Officer</w:t>
            </w:r>
          </w:p>
        </w:tc>
        <w:tc>
          <w:tcPr>
            <w:tcW w:w="2780" w:type="dxa"/>
            <w:vAlign w:val="bottom"/>
          </w:tcPr>
          <w:p>
            <w:pPr>
              <w:jc w:val="right"/>
              <w:ind w:right="316"/>
              <w:spacing w:after="0"/>
              <w:rPr>
                <w:sz w:val="20"/>
                <w:szCs w:val="20"/>
                <w:color w:val="auto"/>
              </w:rPr>
            </w:pPr>
            <w:r>
              <w:rPr>
                <w:rFonts w:ascii="Arial" w:cs="Arial" w:eastAsia="Arial" w:hAnsi="Arial"/>
                <w:sz w:val="17"/>
                <w:szCs w:val="17"/>
                <w:b w:val="1"/>
                <w:bCs w:val="1"/>
                <w:color w:val="auto"/>
              </w:rPr>
              <w:t>Salary ($)</w:t>
            </w:r>
          </w:p>
        </w:tc>
        <w:tc>
          <w:tcPr>
            <w:tcW w:w="1360" w:type="dxa"/>
            <w:vAlign w:val="bottom"/>
          </w:tcPr>
          <w:p>
            <w:pPr>
              <w:ind w:left="380"/>
              <w:spacing w:after="0"/>
              <w:rPr>
                <w:sz w:val="20"/>
                <w:szCs w:val="20"/>
                <w:color w:val="auto"/>
              </w:rPr>
            </w:pPr>
            <w:r>
              <w:rPr>
                <w:rFonts w:ascii="Arial" w:cs="Arial" w:eastAsia="Arial" w:hAnsi="Arial"/>
                <w:sz w:val="17"/>
                <w:szCs w:val="17"/>
                <w:b w:val="1"/>
                <w:bCs w:val="1"/>
                <w:color w:val="auto"/>
              </w:rPr>
              <w:t>Salary ($)</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w w:val="98"/>
              </w:rPr>
              <w:t>Salary Increase (%)</w:t>
            </w:r>
          </w:p>
        </w:tc>
      </w:tr>
      <w:tr>
        <w:trPr>
          <w:trHeight w:val="27"/>
        </w:trPr>
        <w:tc>
          <w:tcPr>
            <w:tcW w:w="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4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William B. Shepro,</w:t>
            </w:r>
          </w:p>
        </w:tc>
        <w:tc>
          <w:tcPr>
            <w:tcW w:w="27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278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$553,500</w:t>
            </w:r>
          </w:p>
        </w:tc>
        <w:tc>
          <w:tcPr>
            <w:tcW w:w="13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$780,000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197"/>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Kevin J. Wilcox,</w:t>
            </w:r>
          </w:p>
        </w:tc>
        <w:tc>
          <w:tcPr>
            <w:tcW w:w="2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3"/>
        </w:trPr>
        <w:tc>
          <w:tcPr>
            <w:tcW w:w="3480" w:type="dxa"/>
            <w:vAlign w:val="bottom"/>
            <w:gridSpan w:val="2"/>
          </w:tcPr>
          <w:p>
            <w:pPr>
              <w:spacing w:after="0"/>
              <w:rPr>
                <w:sz w:val="20"/>
                <w:szCs w:val="20"/>
                <w:color w:val="auto"/>
              </w:rPr>
            </w:pPr>
            <w:r>
              <w:rPr>
                <w:rFonts w:ascii="Arial" w:cs="Arial" w:eastAsia="Arial" w:hAnsi="Arial"/>
                <w:sz w:val="17"/>
                <w:szCs w:val="17"/>
                <w:color w:val="auto"/>
              </w:rPr>
              <w:t>Chief Administration Officer</w:t>
            </w:r>
          </w:p>
        </w:tc>
        <w:tc>
          <w:tcPr>
            <w:tcW w:w="2780" w:type="dxa"/>
            <w:vAlign w:val="bottom"/>
          </w:tcPr>
          <w:p>
            <w:pPr>
              <w:jc w:val="right"/>
              <w:ind w:right="316"/>
              <w:spacing w:after="0"/>
              <w:rPr>
                <w:sz w:val="20"/>
                <w:szCs w:val="20"/>
                <w:color w:val="auto"/>
              </w:rPr>
            </w:pPr>
            <w:r>
              <w:rPr>
                <w:rFonts w:ascii="Arial" w:cs="Arial" w:eastAsia="Arial" w:hAnsi="Arial"/>
                <w:sz w:val="17"/>
                <w:szCs w:val="17"/>
                <w:color w:val="auto"/>
              </w:rPr>
              <w:t>$435,625</w:t>
            </w:r>
          </w:p>
        </w:tc>
        <w:tc>
          <w:tcPr>
            <w:tcW w:w="1360" w:type="dxa"/>
            <w:vAlign w:val="bottom"/>
          </w:tcPr>
          <w:p>
            <w:pPr>
              <w:ind w:left="460"/>
              <w:spacing w:after="0"/>
              <w:rPr>
                <w:sz w:val="20"/>
                <w:szCs w:val="20"/>
                <w:color w:val="auto"/>
              </w:rPr>
            </w:pPr>
            <w:r>
              <w:rPr>
                <w:rFonts w:ascii="Arial" w:cs="Arial" w:eastAsia="Arial" w:hAnsi="Arial"/>
                <w:sz w:val="17"/>
                <w:szCs w:val="17"/>
                <w:color w:val="auto"/>
              </w:rPr>
              <w:t>$450,000</w:t>
            </w:r>
          </w:p>
        </w:tc>
        <w:tc>
          <w:tcPr>
            <w:tcW w:w="15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99"/>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2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w:t>
            </w:r>
          </w:p>
        </w:tc>
        <w:tc>
          <w:tcPr>
            <w:tcW w:w="278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$322,875</w:t>
            </w:r>
          </w:p>
        </w:tc>
        <w:tc>
          <w:tcPr>
            <w:tcW w:w="13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$420,000</w:t>
            </w:r>
            <w:r>
              <w:rPr>
                <w:rFonts w:ascii="Arial" w:cs="Arial" w:eastAsia="Arial" w:hAnsi="Arial"/>
                <w:sz w:val="13"/>
                <w:szCs w:val="13"/>
                <w:color w:val="auto"/>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197"/>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Joseph A. Davila,</w:t>
            </w:r>
          </w:p>
        </w:tc>
        <w:tc>
          <w:tcPr>
            <w:tcW w:w="2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3"/>
        </w:trPr>
        <w:tc>
          <w:tcPr>
            <w:tcW w:w="3480" w:type="dxa"/>
            <w:vAlign w:val="bottom"/>
            <w:gridSpan w:val="2"/>
          </w:tcPr>
          <w:p>
            <w:pPr>
              <w:spacing w:after="0"/>
              <w:rPr>
                <w:sz w:val="20"/>
                <w:szCs w:val="20"/>
                <w:color w:val="auto"/>
              </w:rPr>
            </w:pPr>
            <w:r>
              <w:rPr>
                <w:rFonts w:ascii="Arial" w:cs="Arial" w:eastAsia="Arial" w:hAnsi="Arial"/>
                <w:sz w:val="17"/>
                <w:szCs w:val="17"/>
                <w:color w:val="auto"/>
              </w:rPr>
              <w:t>President, Mortgage Services</w:t>
            </w:r>
          </w:p>
        </w:tc>
        <w:tc>
          <w:tcPr>
            <w:tcW w:w="2780" w:type="dxa"/>
            <w:vAlign w:val="bottom"/>
          </w:tcPr>
          <w:p>
            <w:pPr>
              <w:jc w:val="right"/>
              <w:ind w:right="316"/>
              <w:spacing w:after="0"/>
              <w:rPr>
                <w:sz w:val="20"/>
                <w:szCs w:val="20"/>
                <w:color w:val="auto"/>
              </w:rPr>
            </w:pPr>
            <w:r>
              <w:rPr>
                <w:rFonts w:ascii="Arial" w:cs="Arial" w:eastAsia="Arial" w:hAnsi="Arial"/>
                <w:sz w:val="17"/>
                <w:szCs w:val="17"/>
                <w:color w:val="auto"/>
              </w:rPr>
              <w:t>$358,750</w:t>
            </w:r>
          </w:p>
        </w:tc>
        <w:tc>
          <w:tcPr>
            <w:tcW w:w="1360" w:type="dxa"/>
            <w:vAlign w:val="bottom"/>
          </w:tcPr>
          <w:p>
            <w:pPr>
              <w:ind w:left="460"/>
              <w:spacing w:after="0"/>
              <w:rPr>
                <w:sz w:val="20"/>
                <w:szCs w:val="20"/>
                <w:color w:val="auto"/>
              </w:rPr>
            </w:pPr>
            <w:r>
              <w:rPr>
                <w:rFonts w:ascii="Arial" w:cs="Arial" w:eastAsia="Arial" w:hAnsi="Arial"/>
                <w:sz w:val="17"/>
                <w:szCs w:val="17"/>
                <w:color w:val="auto"/>
              </w:rPr>
              <w:t>$395,863</w:t>
            </w:r>
            <w:r>
              <w:rPr>
                <w:rFonts w:ascii="Arial" w:cs="Arial" w:eastAsia="Arial" w:hAnsi="Arial"/>
                <w:sz w:val="13"/>
                <w:szCs w:val="13"/>
                <w:color w:val="auto"/>
              </w:rPr>
              <w:t>(2)</w:t>
            </w:r>
          </w:p>
        </w:tc>
        <w:tc>
          <w:tcPr>
            <w:tcW w:w="15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9"/>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Mark J. Hynes,</w:t>
            </w:r>
          </w:p>
        </w:tc>
        <w:tc>
          <w:tcPr>
            <w:tcW w:w="2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President, Technology Services</w:t>
            </w:r>
          </w:p>
        </w:tc>
        <w:tc>
          <w:tcPr>
            <w:tcW w:w="278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$250,000</w:t>
            </w:r>
          </w:p>
        </w:tc>
        <w:tc>
          <w:tcPr>
            <w:tcW w:w="13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$325,000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bl>
    <w:p>
      <w:pPr>
        <w:spacing w:after="0" w:line="197" w:lineRule="exact"/>
        <w:rPr>
          <w:sz w:val="20"/>
          <w:szCs w:val="20"/>
          <w:color w:val="auto"/>
        </w:rPr>
      </w:pPr>
    </w:p>
    <w:p>
      <w:pPr>
        <w:ind w:left="1660" w:right="100" w:hanging="515"/>
        <w:spacing w:after="0" w:line="194" w:lineRule="auto"/>
        <w:tabs>
          <w:tab w:leader="none" w:pos="1660"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Ms. Esterman's base salary was increased from $322,875 to $395,000 effective June 1, 2014, and from $395,000 to $420,000 effective March 1, 2015.</w:t>
      </w:r>
    </w:p>
    <w:p>
      <w:pPr>
        <w:spacing w:after="0" w:line="212" w:lineRule="exact"/>
        <w:rPr>
          <w:rFonts w:ascii="Arial" w:cs="Arial" w:eastAsia="Arial" w:hAnsi="Arial"/>
          <w:sz w:val="28"/>
          <w:szCs w:val="28"/>
          <w:color w:val="auto"/>
          <w:vertAlign w:val="superscript"/>
        </w:rPr>
      </w:pPr>
    </w:p>
    <w:p>
      <w:pPr>
        <w:ind w:left="1660" w:hanging="515"/>
        <w:spacing w:after="0" w:line="194" w:lineRule="auto"/>
        <w:tabs>
          <w:tab w:leader="none" w:pos="1660"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Mr. Davila's base salary was increased from $358,750 to $375,000 effective August 1, 2014 and from $375,000 to $395,863 effective February 1, 2015.</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For Messrs. Shepro and Wilcox and Ms. Esterman, the Compensation Committee determined that the ratio of the incentive compensation to the total compensation should remain substantially the same. The incentive compensation target for each executive was therefore increased by substantially the same percentage as the executive's base salary. Mr. Hynes' incentive compensation target for 2014 remained unchanged as the increase in base salary accounted for the cost of living increase associated with his relocation to Luxembourg. For Mr. Davila, the Compensation Committee determined that it was appropriate that the ratio of the incentive compensation to the total compensation be increased.</w:t>
      </w:r>
    </w:p>
    <w:p>
      <w:pPr>
        <w:spacing w:after="0" w:line="18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As a result, the Compensation Committee approved the following increases to the incentive compensation of these named executive officers, effective as of June 1, 2014 for Messrs. Shepro and Wilcox, August 1, 2014 for Mr. Davila and March 1, 2015 for Ms. Esterman:</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Resulting Target</w:t>
            </w:r>
          </w:p>
        </w:tc>
      </w:tr>
      <w:tr>
        <w:trPr>
          <w:trHeight w:val="206"/>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80" w:type="dxa"/>
            <w:vAlign w:val="bottom"/>
          </w:tcPr>
          <w:p>
            <w:pPr>
              <w:jc w:val="right"/>
              <w:ind w:right="16"/>
              <w:spacing w:after="0"/>
              <w:rPr>
                <w:sz w:val="20"/>
                <w:szCs w:val="20"/>
                <w:color w:val="auto"/>
              </w:rPr>
            </w:pPr>
            <w:r>
              <w:rPr>
                <w:rFonts w:ascii="Arial" w:cs="Arial" w:eastAsia="Arial" w:hAnsi="Arial"/>
                <w:sz w:val="17"/>
                <w:szCs w:val="17"/>
                <w:b w:val="1"/>
                <w:bCs w:val="1"/>
                <w:color w:val="auto"/>
              </w:rPr>
              <w:t>Previous Target</w:t>
            </w:r>
          </w:p>
        </w:tc>
        <w:tc>
          <w:tcPr>
            <w:tcW w:w="1780" w:type="dxa"/>
            <w:vAlign w:val="bottom"/>
          </w:tcPr>
          <w:p>
            <w:pPr>
              <w:jc w:val="right"/>
              <w:ind w:right="316"/>
              <w:spacing w:after="0"/>
              <w:rPr>
                <w:sz w:val="20"/>
                <w:szCs w:val="20"/>
                <w:color w:val="auto"/>
              </w:rPr>
            </w:pPr>
            <w:r>
              <w:rPr>
                <w:rFonts w:ascii="Arial" w:cs="Arial" w:eastAsia="Arial" w:hAnsi="Arial"/>
                <w:sz w:val="17"/>
                <w:szCs w:val="17"/>
                <w:b w:val="1"/>
                <w:bCs w:val="1"/>
                <w:color w:val="auto"/>
              </w:rPr>
              <w:t>New Target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Incentive</w:t>
            </w:r>
          </w:p>
        </w:tc>
      </w:tr>
      <w:tr>
        <w:trPr>
          <w:trHeight w:val="206"/>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80" w:type="dxa"/>
            <w:vAlign w:val="bottom"/>
          </w:tcPr>
          <w:p>
            <w:pPr>
              <w:jc w:val="right"/>
              <w:ind w:right="16"/>
              <w:spacing w:after="0"/>
              <w:rPr>
                <w:sz w:val="20"/>
                <w:szCs w:val="20"/>
                <w:color w:val="auto"/>
              </w:rPr>
            </w:pPr>
            <w:r>
              <w:rPr>
                <w:rFonts w:ascii="Arial" w:cs="Arial" w:eastAsia="Arial" w:hAnsi="Arial"/>
                <w:sz w:val="17"/>
                <w:szCs w:val="17"/>
                <w:b w:val="1"/>
                <w:bCs w:val="1"/>
                <w:color w:val="auto"/>
              </w:rPr>
              <w:t>Incentive</w:t>
            </w:r>
          </w:p>
        </w:tc>
        <w:tc>
          <w:tcPr>
            <w:tcW w:w="1780" w:type="dxa"/>
            <w:vAlign w:val="bottom"/>
          </w:tcPr>
          <w:p>
            <w:pPr>
              <w:jc w:val="right"/>
              <w:ind w:right="316"/>
              <w:spacing w:after="0"/>
              <w:rPr>
                <w:sz w:val="20"/>
                <w:szCs w:val="20"/>
                <w:color w:val="auto"/>
              </w:rPr>
            </w:pPr>
            <w:r>
              <w:rPr>
                <w:rFonts w:ascii="Arial" w:cs="Arial" w:eastAsia="Arial" w:hAnsi="Arial"/>
                <w:sz w:val="17"/>
                <w:szCs w:val="17"/>
                <w:b w:val="1"/>
                <w:bCs w:val="1"/>
                <w:color w:val="auto"/>
              </w:rPr>
              <w:t>Incentive</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Compensation</w:t>
            </w:r>
          </w:p>
        </w:tc>
      </w:tr>
      <w:tr>
        <w:trPr>
          <w:trHeight w:val="217"/>
        </w:trPr>
        <w:tc>
          <w:tcPr>
            <w:tcW w:w="3280" w:type="dxa"/>
            <w:vAlign w:val="bottom"/>
            <w:gridSpan w:val="2"/>
          </w:tcPr>
          <w:p>
            <w:pPr>
              <w:spacing w:after="0"/>
              <w:rPr>
                <w:sz w:val="20"/>
                <w:szCs w:val="20"/>
                <w:color w:val="auto"/>
              </w:rPr>
            </w:pPr>
            <w:r>
              <w:rPr>
                <w:rFonts w:ascii="Arial" w:cs="Arial" w:eastAsia="Arial" w:hAnsi="Arial"/>
                <w:sz w:val="17"/>
                <w:szCs w:val="17"/>
                <w:b w:val="1"/>
                <w:bCs w:val="1"/>
                <w:color w:val="auto"/>
              </w:rPr>
              <w:t>Officer</w:t>
            </w:r>
          </w:p>
        </w:tc>
        <w:tc>
          <w:tcPr>
            <w:tcW w:w="2680" w:type="dxa"/>
            <w:vAlign w:val="bottom"/>
          </w:tcPr>
          <w:p>
            <w:pPr>
              <w:jc w:val="right"/>
              <w:ind w:right="16"/>
              <w:spacing w:after="0"/>
              <w:rPr>
                <w:sz w:val="20"/>
                <w:szCs w:val="20"/>
                <w:color w:val="auto"/>
              </w:rPr>
            </w:pPr>
            <w:r>
              <w:rPr>
                <w:rFonts w:ascii="Arial" w:cs="Arial" w:eastAsia="Arial" w:hAnsi="Arial"/>
                <w:sz w:val="17"/>
                <w:szCs w:val="17"/>
                <w:b w:val="1"/>
                <w:bCs w:val="1"/>
                <w:color w:val="auto"/>
              </w:rPr>
              <w:t>Compensation ($)</w:t>
            </w:r>
          </w:p>
        </w:tc>
        <w:tc>
          <w:tcPr>
            <w:tcW w:w="1780" w:type="dxa"/>
            <w:vAlign w:val="bottom"/>
          </w:tcPr>
          <w:p>
            <w:pPr>
              <w:jc w:val="right"/>
              <w:ind w:right="316"/>
              <w:spacing w:after="0"/>
              <w:rPr>
                <w:sz w:val="20"/>
                <w:szCs w:val="20"/>
                <w:color w:val="auto"/>
              </w:rPr>
            </w:pPr>
            <w:r>
              <w:rPr>
                <w:rFonts w:ascii="Arial" w:cs="Arial" w:eastAsia="Arial" w:hAnsi="Arial"/>
                <w:sz w:val="17"/>
                <w:szCs w:val="17"/>
                <w:b w:val="1"/>
                <w:bCs w:val="1"/>
                <w:color w:val="auto"/>
                <w:w w:val="94"/>
              </w:rPr>
              <w:t>Compensation ($)</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Increase (%)</w:t>
            </w:r>
          </w:p>
        </w:tc>
      </w:tr>
      <w:tr>
        <w:trPr>
          <w:trHeight w:val="27"/>
        </w:trPr>
        <w:tc>
          <w:tcPr>
            <w:tcW w:w="2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William B. Shepro,</w:t>
            </w:r>
          </w:p>
        </w:tc>
        <w:tc>
          <w:tcPr>
            <w:tcW w:w="26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26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$830,250</w:t>
            </w:r>
          </w:p>
        </w:tc>
        <w:tc>
          <w:tcPr>
            <w:tcW w:w="178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$1,170,000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197"/>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Kevin J. Wilcox,</w:t>
            </w:r>
          </w:p>
        </w:tc>
        <w:tc>
          <w:tcPr>
            <w:tcW w:w="2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280" w:type="dxa"/>
            <w:vAlign w:val="bottom"/>
            <w:gridSpan w:val="2"/>
          </w:tcPr>
          <w:p>
            <w:pPr>
              <w:spacing w:after="0"/>
              <w:rPr>
                <w:sz w:val="20"/>
                <w:szCs w:val="20"/>
                <w:color w:val="auto"/>
              </w:rPr>
            </w:pPr>
            <w:r>
              <w:rPr>
                <w:rFonts w:ascii="Arial" w:cs="Arial" w:eastAsia="Arial" w:hAnsi="Arial"/>
                <w:sz w:val="17"/>
                <w:szCs w:val="17"/>
                <w:color w:val="auto"/>
              </w:rPr>
              <w:t>Chief Administration Officer</w:t>
            </w:r>
          </w:p>
        </w:tc>
        <w:tc>
          <w:tcPr>
            <w:tcW w:w="2680" w:type="dxa"/>
            <w:vAlign w:val="bottom"/>
          </w:tcPr>
          <w:p>
            <w:pPr>
              <w:jc w:val="right"/>
              <w:ind w:right="16"/>
              <w:spacing w:after="0"/>
              <w:rPr>
                <w:sz w:val="20"/>
                <w:szCs w:val="20"/>
                <w:color w:val="auto"/>
              </w:rPr>
            </w:pPr>
            <w:r>
              <w:rPr>
                <w:rFonts w:ascii="Arial" w:cs="Arial" w:eastAsia="Arial" w:hAnsi="Arial"/>
                <w:sz w:val="17"/>
                <w:szCs w:val="17"/>
                <w:color w:val="auto"/>
              </w:rPr>
              <w:t>$435,625</w:t>
            </w:r>
          </w:p>
        </w:tc>
        <w:tc>
          <w:tcPr>
            <w:tcW w:w="1780" w:type="dxa"/>
            <w:vAlign w:val="bottom"/>
          </w:tcPr>
          <w:p>
            <w:pPr>
              <w:jc w:val="right"/>
              <w:ind w:right="316"/>
              <w:spacing w:after="0"/>
              <w:rPr>
                <w:sz w:val="20"/>
                <w:szCs w:val="20"/>
                <w:color w:val="auto"/>
              </w:rPr>
            </w:pPr>
            <w:r>
              <w:rPr>
                <w:rFonts w:ascii="Arial" w:cs="Arial" w:eastAsia="Arial" w:hAnsi="Arial"/>
                <w:sz w:val="17"/>
                <w:szCs w:val="17"/>
                <w:color w:val="auto"/>
              </w:rPr>
              <w:t>$450,000</w:t>
            </w:r>
          </w:p>
        </w:tc>
        <w:tc>
          <w:tcPr>
            <w:tcW w:w="14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99"/>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26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w:t>
            </w:r>
          </w:p>
        </w:tc>
        <w:tc>
          <w:tcPr>
            <w:tcW w:w="26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$210,000</w:t>
            </w:r>
          </w:p>
        </w:tc>
        <w:tc>
          <w:tcPr>
            <w:tcW w:w="17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$280,000</w:t>
            </w:r>
            <w:r>
              <w:rPr>
                <w:rFonts w:ascii="Arial" w:cs="Arial" w:eastAsia="Arial" w:hAnsi="Arial"/>
                <w:sz w:val="13"/>
                <w:szCs w:val="13"/>
                <w:color w:val="auto"/>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197"/>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Joseph A. Davila,</w:t>
            </w:r>
          </w:p>
        </w:tc>
        <w:tc>
          <w:tcPr>
            <w:tcW w:w="2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280" w:type="dxa"/>
            <w:vAlign w:val="bottom"/>
            <w:gridSpan w:val="2"/>
          </w:tcPr>
          <w:p>
            <w:pPr>
              <w:spacing w:after="0"/>
              <w:rPr>
                <w:sz w:val="20"/>
                <w:szCs w:val="20"/>
                <w:color w:val="auto"/>
              </w:rPr>
            </w:pPr>
            <w:r>
              <w:rPr>
                <w:rFonts w:ascii="Arial" w:cs="Arial" w:eastAsia="Arial" w:hAnsi="Arial"/>
                <w:sz w:val="17"/>
                <w:szCs w:val="17"/>
                <w:color w:val="auto"/>
              </w:rPr>
              <w:t>President, Mortgage Services</w:t>
            </w:r>
          </w:p>
        </w:tc>
        <w:tc>
          <w:tcPr>
            <w:tcW w:w="2680" w:type="dxa"/>
            <w:vAlign w:val="bottom"/>
          </w:tcPr>
          <w:p>
            <w:pPr>
              <w:jc w:val="right"/>
              <w:ind w:right="16"/>
              <w:spacing w:after="0"/>
              <w:rPr>
                <w:sz w:val="20"/>
                <w:szCs w:val="20"/>
                <w:color w:val="auto"/>
              </w:rPr>
            </w:pPr>
            <w:r>
              <w:rPr>
                <w:rFonts w:ascii="Arial" w:cs="Arial" w:eastAsia="Arial" w:hAnsi="Arial"/>
                <w:sz w:val="17"/>
                <w:szCs w:val="17"/>
                <w:color w:val="auto"/>
              </w:rPr>
              <w:t>$250,000</w:t>
            </w:r>
          </w:p>
        </w:tc>
        <w:tc>
          <w:tcPr>
            <w:tcW w:w="1780" w:type="dxa"/>
            <w:vAlign w:val="bottom"/>
          </w:tcPr>
          <w:p>
            <w:pPr>
              <w:jc w:val="right"/>
              <w:ind w:right="316"/>
              <w:spacing w:after="0"/>
              <w:rPr>
                <w:sz w:val="20"/>
                <w:szCs w:val="20"/>
                <w:color w:val="auto"/>
              </w:rPr>
            </w:pPr>
            <w:r>
              <w:rPr>
                <w:rFonts w:ascii="Arial" w:cs="Arial" w:eastAsia="Arial" w:hAnsi="Arial"/>
                <w:sz w:val="17"/>
                <w:szCs w:val="17"/>
                <w:color w:val="auto"/>
              </w:rPr>
              <w:t>$350,000</w:t>
            </w:r>
          </w:p>
        </w:tc>
        <w:tc>
          <w:tcPr>
            <w:tcW w:w="1440" w:type="dxa"/>
            <w:vAlign w:val="bottom"/>
          </w:tcPr>
          <w:p>
            <w:pPr>
              <w:jc w:val="right"/>
              <w:spacing w:after="0"/>
              <w:rPr>
                <w:sz w:val="20"/>
                <w:szCs w:val="20"/>
                <w:color w:val="auto"/>
              </w:rPr>
            </w:pPr>
            <w:r>
              <w:rPr>
                <w:rFonts w:ascii="Arial" w:cs="Arial" w:eastAsia="Arial" w:hAnsi="Arial"/>
                <w:sz w:val="17"/>
                <w:szCs w:val="17"/>
                <w:color w:val="auto"/>
              </w:rPr>
              <w:t>40%</w:t>
            </w:r>
          </w:p>
        </w:tc>
      </w:tr>
    </w:tbl>
    <w:p>
      <w:pPr>
        <w:spacing w:after="0" w:line="199" w:lineRule="exact"/>
        <w:rPr>
          <w:sz w:val="20"/>
          <w:szCs w:val="20"/>
          <w:color w:val="auto"/>
        </w:rPr>
      </w:pPr>
    </w:p>
    <w:p>
      <w:pPr>
        <w:ind w:left="1660" w:right="160" w:hanging="515"/>
        <w:spacing w:after="0" w:line="194" w:lineRule="auto"/>
        <w:tabs>
          <w:tab w:leader="none" w:pos="166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Ms. Esterman's target incentive compensation was increased from $210,000 to $255,000 effective June 1, 2014 and from $255,000 to $280,000 effective March 1, 2015.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w:t>
      </w:r>
    </w:p>
    <w:p>
      <w:pPr>
        <w:spacing w:after="0" w:line="22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Compensation Committee, in cooperation with senior management, implemented the 2009 Equity Incentive Plan, which was approved by our shareholders in 2009 in connection with our separation from Ocwen. The purpose of the 2009 Equity Incentive Plan is to provide additional incentives to key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right="20"/>
        <w:spacing w:after="0" w:line="258" w:lineRule="auto"/>
        <w:rPr>
          <w:sz w:val="20"/>
          <w:szCs w:val="20"/>
          <w:color w:val="auto"/>
        </w:rPr>
      </w:pPr>
      <w:r>
        <w:rPr>
          <w:rFonts w:ascii="Arial" w:cs="Arial" w:eastAsia="Arial" w:hAnsi="Arial"/>
          <w:sz w:val="17"/>
          <w:szCs w:val="17"/>
          <w:color w:val="auto"/>
        </w:rPr>
        <w:t>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award of restricted stock, options, stock appreciation rights, stock purchase rights or other equity-based awards to our employees. Options awarded under the 2009 Equity Incentive Plan may be either "incentive stock options" as defined in Section 422 of the United States Internal Revenue Code of 1986, as amended, or nonqualified stock options, as determined by the Compensation Committee.</w:t>
      </w:r>
    </w:p>
    <w:p>
      <w:pPr>
        <w:spacing w:after="0" w:line="18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awards.</w:t>
      </w:r>
    </w:p>
    <w:p>
      <w:pPr>
        <w:spacing w:after="0" w:line="18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Equity awards are typically provided in the form of stock option grants, with 75% of the granted stock options vesting only if the stock price is double or triple the exercise price as further detailed below. Our Compensation Committee uses stock options as our primary long-term incentive vehicle because stock options align the interests of executives with those of our shareholders, foster employee share ownership, support a pay-for-performance culture and focus the executive team on increasing value for our shareholders. In addition, stock option grants generally vest over a three to five-year period for retention purposes.</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Stock option grants are generally made to executive officers upon joining the Company and, from time to time thereafter, following a significant change in job responsibilities, following the accomplishment of vesting performance hurdles for prior grants, to meet other special retention objectives or for other reasons our Compensation Committee deems appropriate. The Compensation Committee reviews and approves stock option awards to executive officers based upon its assessment of the individual's position, scope of responsibility, ability to affect profits and shareholder value, individual performance, a review of the executive's existing long-term incentives, retention considerations and the value of stock options in relation to other elements of the individual executive's total compensation. Periodic stock option grants are made at the discretion of the Compensation Committee to eligible employees and, in appropriate circumstances, the Compensation Committee considers the recommendations of members of management.</w:t>
      </w:r>
    </w:p>
    <w:p>
      <w:pPr>
        <w:spacing w:after="0" w:line="189" w:lineRule="exact"/>
        <w:rPr>
          <w:sz w:val="20"/>
          <w:szCs w:val="20"/>
          <w:color w:val="auto"/>
        </w:rPr>
      </w:pPr>
    </w:p>
    <w:p>
      <w:pPr>
        <w:ind w:right="340"/>
        <w:spacing w:after="0" w:line="343" w:lineRule="auto"/>
        <w:rPr>
          <w:sz w:val="20"/>
          <w:szCs w:val="20"/>
          <w:color w:val="auto"/>
        </w:rPr>
      </w:pPr>
      <w:r>
        <w:rPr>
          <w:rFonts w:ascii="Arial" w:cs="Arial" w:eastAsia="Arial" w:hAnsi="Arial"/>
          <w:sz w:val="15"/>
          <w:szCs w:val="15"/>
          <w:color w:val="auto"/>
        </w:rPr>
        <w:t>In line with the objectives of our compensation philosophy, Mr. Davila received 7,500 stock options (the "Origination Services Stock Options") on May 15, 2014 and 25,000 stock options (the "Standard Stock Options") on November 11, 2014; and Ms. Esterman received 25,000 Standard Stock Options on February 10, 2015.</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vesting schedule for the Origination Services Stock Options has a service-based component, in which 25% of the options vest in equal increments over four years,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and a performance-based component, in which up to 75% of the options could vest in equal increments, with 25% vesting on the date when 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determines that the performance criteria have been achieved for fiscal year 2014 and the remaining 75% vesting over the next three years. The performance-based options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would commence vesting if both of the following performance criteria have been achieved for fiscal year 2014: (i) Altisource's Origination Services division earns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$23.5 million of adjusted pre-tax income and (ii) the division's adjusted pre-tax income margin as a percentage of service revenue is at least 25%. On February 10, 2015,</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determined that the performance criteria for fiscal year 2014 were not achieved.</w:t>
      </w:r>
    </w:p>
    <w:p>
      <w:pPr>
        <w:spacing w:after="0" w:line="209"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The vesting schedule for the Standard Stock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ind w:right="40"/>
        <w:spacing w:after="0" w:line="314" w:lineRule="auto"/>
        <w:rPr>
          <w:sz w:val="20"/>
          <w:szCs w:val="20"/>
          <w:color w:val="auto"/>
        </w:rPr>
      </w:pPr>
      <w:r>
        <w:rPr>
          <w:rFonts w:ascii="Arial" w:cs="Arial" w:eastAsia="Arial" w:hAnsi="Arial"/>
          <w:sz w:val="15"/>
          <w:szCs w:val="15"/>
          <w:color w:val="auto"/>
        </w:rPr>
        <w:t>rate of return and the remaining 75% vesting over the next three years. Two-thirds of the performance-based options would commence vesting if the stock price realizes a compounded annual gain of at least 20% over the exercise price, so long as the stock price is at least double the exercise price. The remaining third of the performance-based options would commence vesting if the stock price realizes a 25% compounded annual gain, so long as it is at least triple the exercise price.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Policies</w:t>
      </w:r>
    </w:p>
    <w:p>
      <w:pPr>
        <w:spacing w:after="0" w:line="221"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plans are adequate to achieve this philosophy. We also maintain a management directive detailing our trading window period policy for Directors, executive officers and other employees and our insider trading policy.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Compensation Committee's policy with respect to other employee benefit plans is to provide benefits to our employees, including our named executive officers, that are comparable to benefits offered by companies of a similar size and circumstance to ours. A competitive comprehensive benefit program is essential to achieving the goal of attracting and retaining highly qualified employees. Consistent with this policy, on February 10, 2015, our Compensation Committee approved a benefits program to provide life insurance and disability benefits to all Luxembourg employees, including our named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221"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Below is a description of the amounts payable to each named executive officer assuming the executive's employment had terminated under various scenarios, or a change of control had occurred, on December 31, 2014 (the last business day of fiscal year 2014). Due to the number of factors that affect the nature and amount of any benefits under the various scenarios, actual amounts paid or distributed may be different.</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noted above, our Chief Executive Officer and other named executive officers have entered into employment agreements with the Company. Under these agreements, if employment is terminated by the executive officer's retirement or disability,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and, in some instances, where employment is terminated for "good reason" by the executive officer (as defined in the applicable employment agreement), the Company is obligated to make a cash payment of between four (4) and twelve (12) months' salary in addition to certain notice and redundancy payments required under articles L.124-1 and L.124-7 of the Luxembourg Labor Code. In the case of the Chief Executive Officer and Chief Administration Officer, the Company will be obligated to pay at least one (1) year's target incentive compensation in such instance. Additionally, in the event that the Company terminates the employment of such executive officers other than for "cause" after October 1 of the service year and before incentives are paid for the prior service year, these executive officers will be entitled to receive incentive compensation for such service year. In these instances, the Company will also pay all standard relocation costs to relocate the executive officer to the United States. If an executive officer is terminated by the Company for "cause," the Company may terminate without notice and with no liability to make any further payment to the executive, other than amounts accrued and unpaid at the date of termination.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right="20"/>
        <w:spacing w:after="0" w:line="289" w:lineRule="auto"/>
        <w:rPr>
          <w:sz w:val="20"/>
          <w:szCs w:val="20"/>
          <w:color w:val="auto"/>
        </w:rPr>
      </w:pPr>
      <w:r>
        <w:rPr>
          <w:rFonts w:ascii="Arial" w:cs="Arial" w:eastAsia="Arial" w:hAnsi="Arial"/>
          <w:sz w:val="15"/>
          <w:szCs w:val="15"/>
          <w:color w:val="auto"/>
        </w:rPr>
        <w:t>All named executive officers have options granted pursuant to the 2009 Equity Incentive Plan. In most cases, upon termination of an executive officer's employment other than for cause, the executive officer would be entitled to retain any vested portion of prior equity awards granted as well as any unvested market-based or performance-based options where the vesting hurdles have already been achieved. Additionally, upon termination of an executive officer's employment without cause or upon his or her retirement, the executive officer would be entitled to retain unvested market-based or performance-based options where the vesting hurdles are achieved within ninety</w:t>
      </w:r>
    </w:p>
    <w:p>
      <w:pPr>
        <w:ind w:firstLine="3"/>
        <w:spacing w:after="0" w:line="257" w:lineRule="auto"/>
        <w:tabs>
          <w:tab w:leader="none" w:pos="321" w:val="left"/>
        </w:tabs>
        <w:numPr>
          <w:ilvl w:val="0"/>
          <w:numId w:val="34"/>
        </w:numPr>
        <w:rPr>
          <w:rFonts w:ascii="Arial" w:cs="Arial" w:eastAsia="Arial" w:hAnsi="Arial"/>
          <w:sz w:val="17"/>
          <w:szCs w:val="17"/>
          <w:color w:val="auto"/>
        </w:rPr>
      </w:pPr>
      <w:r>
        <w:rPr>
          <w:rFonts w:ascii="Arial" w:cs="Arial" w:eastAsia="Arial" w:hAnsi="Arial"/>
          <w:sz w:val="17"/>
          <w:szCs w:val="17"/>
          <w:color w:val="auto"/>
        </w:rPr>
        <w:t>days of the termination. Generally, for termination not due to death, disability or retirement, the executive officer has six (6) months within which to exercise stock options pursuant to our stock option agreements. Any portion of an equity award not vested will be forfeited in any circumstance unless alternate arrangements are made at the discretion of the Compensation Committee. Furthermore, pursuant to each stock option agreement, upon termination of an executive for cause, all outstanding stock options awarded pursuant to such stock option agreement are forfeited.</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 xml:space="preserve">Certain of the stock option agreements provide for accelerated vesting as set forth below. Upon a named executive officer's death, disability or retirement (each as defined in the applicable stock option agreement), all service-based options will immediately vest. Additionally, pursuant to certain of these agreements, if there is a change of control event or a restructuring as set forth therein, the Compensation Committee may, </w:t>
      </w:r>
      <w:r>
        <w:rPr>
          <w:rFonts w:ascii="Arial" w:cs="Arial" w:eastAsia="Arial" w:hAnsi="Arial"/>
          <w:sz w:val="17"/>
          <w:szCs w:val="17"/>
          <w:i w:val="1"/>
          <w:iCs w:val="1"/>
          <w:color w:val="auto"/>
        </w:rPr>
        <w:t>inter alia</w:t>
      </w:r>
      <w:r>
        <w:rPr>
          <w:rFonts w:ascii="Arial" w:cs="Arial" w:eastAsia="Arial" w:hAnsi="Arial"/>
          <w:sz w:val="17"/>
          <w:szCs w:val="17"/>
          <w:color w:val="auto"/>
        </w:rPr>
        <w:t>, adjust the vesting conditions of the options in its discretion, which could result in the immediate vesting of some or all of the options.</w:t>
      </w:r>
    </w:p>
    <w:p>
      <w:pPr>
        <w:spacing w:after="0" w:line="183" w:lineRule="exact"/>
        <w:rPr>
          <w:sz w:val="20"/>
          <w:szCs w:val="20"/>
          <w:color w:val="auto"/>
        </w:rPr>
      </w:pPr>
    </w:p>
    <w:p>
      <w:pPr>
        <w:ind w:right="220"/>
        <w:spacing w:after="0" w:line="343" w:lineRule="auto"/>
        <w:rPr>
          <w:sz w:val="20"/>
          <w:szCs w:val="20"/>
          <w:color w:val="auto"/>
        </w:rPr>
      </w:pPr>
      <w:r>
        <w:rPr>
          <w:rFonts w:ascii="Arial" w:cs="Arial" w:eastAsia="Arial" w:hAnsi="Arial"/>
          <w:sz w:val="15"/>
          <w:szCs w:val="15"/>
          <w:color w:val="auto"/>
        </w:rPr>
        <w:t>The following table estimates and summarizes the potential payments and benefits, other than the benefits ordinarily available to all employees, that each of our named executive officers would have received if their employment had been terminated on December 31, 2014 under each of the circumstances described below.</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4680" w:type="dxa"/>
            <w:vAlign w:val="bottom"/>
          </w:tcPr>
          <w:p>
            <w:pPr>
              <w:spacing w:after="0"/>
              <w:rPr>
                <w:sz w:val="17"/>
                <w:szCs w:val="17"/>
                <w:color w:val="auto"/>
              </w:rPr>
            </w:pPr>
          </w:p>
        </w:tc>
        <w:tc>
          <w:tcPr>
            <w:tcW w:w="446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William B.  Kevin J.  Michelle D.  Joseph A.   Mark J.</w:t>
            </w:r>
          </w:p>
        </w:tc>
      </w:tr>
      <w:tr>
        <w:trPr>
          <w:trHeight w:val="218"/>
        </w:trPr>
        <w:tc>
          <w:tcPr>
            <w:tcW w:w="46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Shepro</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Wilcox</w:t>
            </w:r>
          </w:p>
        </w:tc>
        <w:tc>
          <w:tcPr>
            <w:tcW w:w="1000" w:type="dxa"/>
            <w:vAlign w:val="bottom"/>
            <w:gridSpan w:val="2"/>
          </w:tcPr>
          <w:p>
            <w:pPr>
              <w:ind w:left="60"/>
              <w:spacing w:after="0"/>
              <w:rPr>
                <w:sz w:val="20"/>
                <w:szCs w:val="20"/>
                <w:color w:val="auto"/>
              </w:rPr>
            </w:pPr>
            <w:r>
              <w:rPr>
                <w:rFonts w:ascii="Arial" w:cs="Arial" w:eastAsia="Arial" w:hAnsi="Arial"/>
                <w:sz w:val="17"/>
                <w:szCs w:val="17"/>
                <w:b w:val="1"/>
                <w:bCs w:val="1"/>
                <w:color w:val="auto"/>
              </w:rPr>
              <w:t>Esterman</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Davila</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Hynes</w:t>
            </w:r>
          </w:p>
        </w:tc>
      </w:tr>
      <w:tr>
        <w:trPr>
          <w:trHeight w:val="200"/>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Death</w:t>
            </w: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4680" w:type="dxa"/>
            <w:vAlign w:val="bottom"/>
          </w:tcPr>
          <w:p>
            <w:pPr>
              <w:ind w:left="340"/>
              <w:spacing w:after="0"/>
              <w:rPr>
                <w:sz w:val="20"/>
                <w:szCs w:val="20"/>
                <w:color w:val="auto"/>
              </w:rPr>
            </w:pPr>
            <w:r>
              <w:rPr>
                <w:rFonts w:ascii="Arial" w:cs="Arial" w:eastAsia="Arial" w:hAnsi="Arial"/>
                <w:sz w:val="17"/>
                <w:szCs w:val="17"/>
                <w:color w:val="auto"/>
              </w:rPr>
              <w:t>Accelerated vesting of options</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0" w:type="dxa"/>
            <w:vAlign w:val="bottom"/>
            <w:gridSpan w:val="2"/>
          </w:tcPr>
          <w:p>
            <w:pPr>
              <w:ind w:left="780"/>
              <w:spacing w:after="0"/>
              <w:rPr>
                <w:sz w:val="20"/>
                <w:szCs w:val="20"/>
                <w:color w:val="auto"/>
              </w:rPr>
            </w:pPr>
            <w:r>
              <w:rPr>
                <w:rFonts w:ascii="Arial" w:cs="Arial" w:eastAsia="Arial" w:hAnsi="Arial"/>
                <w:sz w:val="17"/>
                <w:szCs w:val="17"/>
                <w:color w:val="auto"/>
                <w:w w:val="92"/>
              </w:rPr>
              <w:t>-</w:t>
            </w:r>
            <w:r>
              <w:rPr>
                <w:rFonts w:ascii="Arial" w:cs="Arial" w:eastAsia="Arial" w:hAnsi="Arial"/>
                <w:sz w:val="13"/>
                <w:szCs w:val="13"/>
                <w:color w:val="auto"/>
                <w:w w:val="92"/>
              </w:rPr>
              <w:t>(1)</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$1,937</w:t>
            </w:r>
            <w:r>
              <w:rPr>
                <w:rFonts w:ascii="Arial" w:cs="Arial" w:eastAsia="Arial" w:hAnsi="Arial"/>
                <w:sz w:val="13"/>
                <w:szCs w:val="13"/>
                <w:color w:val="auto"/>
              </w:rPr>
              <w:t>(1)</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412"/>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Disability</w:t>
            </w: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4680" w:type="dxa"/>
            <w:vAlign w:val="bottom"/>
          </w:tcPr>
          <w:p>
            <w:pPr>
              <w:ind w:left="340"/>
              <w:spacing w:after="0"/>
              <w:rPr>
                <w:sz w:val="20"/>
                <w:szCs w:val="20"/>
                <w:color w:val="auto"/>
              </w:rPr>
            </w:pPr>
            <w:r>
              <w:rPr>
                <w:rFonts w:ascii="Arial" w:cs="Arial" w:eastAsia="Arial" w:hAnsi="Arial"/>
                <w:sz w:val="17"/>
                <w:szCs w:val="17"/>
                <w:color w:val="auto"/>
              </w:rPr>
              <w:t>Accelerated vesting of options</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0" w:type="dxa"/>
            <w:vAlign w:val="bottom"/>
            <w:gridSpan w:val="2"/>
          </w:tcPr>
          <w:p>
            <w:pPr>
              <w:ind w:left="780"/>
              <w:spacing w:after="0"/>
              <w:rPr>
                <w:sz w:val="20"/>
                <w:szCs w:val="20"/>
                <w:color w:val="auto"/>
              </w:rPr>
            </w:pPr>
            <w:r>
              <w:rPr>
                <w:rFonts w:ascii="Arial" w:cs="Arial" w:eastAsia="Arial" w:hAnsi="Arial"/>
                <w:sz w:val="17"/>
                <w:szCs w:val="17"/>
                <w:color w:val="auto"/>
                <w:w w:val="92"/>
              </w:rPr>
              <w:t>-</w:t>
            </w:r>
            <w:r>
              <w:rPr>
                <w:rFonts w:ascii="Arial" w:cs="Arial" w:eastAsia="Arial" w:hAnsi="Arial"/>
                <w:sz w:val="13"/>
                <w:szCs w:val="13"/>
                <w:color w:val="auto"/>
                <w:w w:val="92"/>
              </w:rPr>
              <w:t>(1)</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$1,937</w:t>
            </w:r>
            <w:r>
              <w:rPr>
                <w:rFonts w:ascii="Arial" w:cs="Arial" w:eastAsia="Arial" w:hAnsi="Arial"/>
                <w:sz w:val="13"/>
                <w:szCs w:val="13"/>
                <w:color w:val="auto"/>
              </w:rPr>
              <w:t>(1)</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412"/>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Retirement by the named executive officer</w:t>
            </w: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4680" w:type="dxa"/>
            <w:vAlign w:val="bottom"/>
          </w:tcPr>
          <w:p>
            <w:pPr>
              <w:ind w:left="340"/>
              <w:spacing w:after="0"/>
              <w:rPr>
                <w:sz w:val="20"/>
                <w:szCs w:val="20"/>
                <w:color w:val="auto"/>
              </w:rPr>
            </w:pPr>
            <w:r>
              <w:rPr>
                <w:rFonts w:ascii="Arial" w:cs="Arial" w:eastAsia="Arial" w:hAnsi="Arial"/>
                <w:sz w:val="17"/>
                <w:szCs w:val="17"/>
                <w:color w:val="auto"/>
              </w:rPr>
              <w:t>Severance Payment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$65,000</w:t>
            </w:r>
            <w:r>
              <w:rPr>
                <w:rFonts w:ascii="Arial" w:cs="Arial" w:eastAsia="Arial" w:hAnsi="Arial"/>
                <w:sz w:val="13"/>
                <w:szCs w:val="13"/>
                <w:color w:val="auto"/>
              </w:rPr>
              <w:t>(2)</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$37,500</w:t>
            </w:r>
            <w:r>
              <w:rPr>
                <w:rFonts w:ascii="Arial" w:cs="Arial" w:eastAsia="Arial" w:hAnsi="Arial"/>
                <w:sz w:val="13"/>
                <w:szCs w:val="13"/>
                <w:color w:val="auto"/>
              </w:rPr>
              <w:t>(2)</w:t>
            </w:r>
          </w:p>
        </w:tc>
        <w:tc>
          <w:tcPr>
            <w:tcW w:w="840" w:type="dxa"/>
            <w:vAlign w:val="bottom"/>
          </w:tcPr>
          <w:p>
            <w:pPr>
              <w:ind w:left="7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Accelerated vesting of options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92"/>
              </w:rPr>
              <w:t>-</w:t>
            </w:r>
            <w:r>
              <w:rPr>
                <w:rFonts w:ascii="Arial" w:cs="Arial" w:eastAsia="Arial" w:hAnsi="Arial"/>
                <w:sz w:val="13"/>
                <w:szCs w:val="13"/>
                <w:color w:val="auto"/>
                <w:w w:val="92"/>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$1,937</w:t>
            </w:r>
            <w:r>
              <w:rPr>
                <w:rFonts w:ascii="Arial" w:cs="Arial" w:eastAsia="Arial" w:hAnsi="Arial"/>
                <w:sz w:val="13"/>
                <w:szCs w:val="13"/>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411"/>
        </w:trPr>
        <w:tc>
          <w:tcPr>
            <w:tcW w:w="4680" w:type="dxa"/>
            <w:vAlign w:val="bottom"/>
          </w:tcPr>
          <w:p>
            <w:pPr>
              <w:spacing w:after="0"/>
              <w:rPr>
                <w:sz w:val="20"/>
                <w:szCs w:val="20"/>
                <w:color w:val="auto"/>
              </w:rPr>
            </w:pPr>
            <w:r>
              <w:rPr>
                <w:rFonts w:ascii="Arial" w:cs="Arial" w:eastAsia="Arial" w:hAnsi="Arial"/>
                <w:sz w:val="17"/>
                <w:szCs w:val="17"/>
                <w:b w:val="1"/>
                <w:bCs w:val="1"/>
                <w:color w:val="auto"/>
              </w:rPr>
              <w:t>Resignation by the named executive officer</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Severance Payment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$65,000</w:t>
            </w:r>
            <w:r>
              <w:rPr>
                <w:rFonts w:ascii="Arial" w:cs="Arial" w:eastAsia="Arial" w:hAnsi="Arial"/>
                <w:sz w:val="13"/>
                <w:szCs w:val="13"/>
                <w:color w:val="auto"/>
              </w:rPr>
              <w:t>(2)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$37,500</w:t>
            </w:r>
            <w:r>
              <w:rPr>
                <w:rFonts w:ascii="Arial" w:cs="Arial" w:eastAsia="Arial" w:hAnsi="Arial"/>
                <w:sz w:val="13"/>
                <w:szCs w:val="13"/>
                <w:color w:val="auto"/>
              </w:rPr>
              <w:t>(2)</w:t>
            </w:r>
          </w:p>
        </w:tc>
        <w:tc>
          <w:tcPr>
            <w:tcW w:w="8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411"/>
        </w:trPr>
        <w:tc>
          <w:tcPr>
            <w:tcW w:w="4680" w:type="dxa"/>
            <w:vAlign w:val="bottom"/>
          </w:tcPr>
          <w:p>
            <w:pPr>
              <w:spacing w:after="0"/>
              <w:rPr>
                <w:sz w:val="20"/>
                <w:szCs w:val="20"/>
                <w:color w:val="auto"/>
              </w:rPr>
            </w:pPr>
            <w:r>
              <w:rPr>
                <w:rFonts w:ascii="Arial" w:cs="Arial" w:eastAsia="Arial" w:hAnsi="Arial"/>
                <w:sz w:val="17"/>
                <w:szCs w:val="17"/>
                <w:b w:val="1"/>
                <w:bCs w:val="1"/>
                <w:color w:val="auto"/>
              </w:rPr>
              <w:t>Termination by the Company other than for "cause"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Severance Payment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$1,105,000</w:t>
            </w:r>
            <w:r>
              <w:rPr>
                <w:rFonts w:ascii="Arial" w:cs="Arial" w:eastAsia="Arial" w:hAnsi="Arial"/>
                <w:sz w:val="13"/>
                <w:szCs w:val="13"/>
                <w:color w:val="auto"/>
                <w:w w:val="91"/>
              </w:rPr>
              <w:t>(3)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$637,500</w:t>
            </w:r>
            <w:r>
              <w:rPr>
                <w:rFonts w:ascii="Arial" w:cs="Arial" w:eastAsia="Arial" w:hAnsi="Arial"/>
                <w:sz w:val="13"/>
                <w:szCs w:val="13"/>
                <w:color w:val="auto"/>
                <w:w w:val="89"/>
              </w:rPr>
              <w:t>(3)</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9"/>
              </w:rPr>
              <w:t>$197,500</w:t>
            </w:r>
            <w:r>
              <w:rPr>
                <w:rFonts w:ascii="Arial" w:cs="Arial" w:eastAsia="Arial" w:hAnsi="Arial"/>
                <w:sz w:val="13"/>
                <w:szCs w:val="13"/>
                <w:color w:val="auto"/>
                <w:w w:val="89"/>
              </w:rPr>
              <w:t>(4)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$187,500</w:t>
            </w:r>
            <w:r>
              <w:rPr>
                <w:rFonts w:ascii="Arial" w:cs="Arial" w:eastAsia="Arial" w:hAnsi="Arial"/>
                <w:sz w:val="13"/>
                <w:szCs w:val="13"/>
                <w:color w:val="auto"/>
                <w:w w:val="99"/>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$162,500</w:t>
            </w:r>
            <w:r>
              <w:rPr>
                <w:rFonts w:ascii="Arial" w:cs="Arial" w:eastAsia="Arial" w:hAnsi="Arial"/>
                <w:sz w:val="13"/>
                <w:szCs w:val="13"/>
                <w:color w:val="auto"/>
                <w:w w:val="92"/>
              </w:rPr>
              <w:t>(4)</w:t>
            </w:r>
          </w:p>
        </w:tc>
      </w:tr>
      <w:tr>
        <w:trPr>
          <w:trHeight w:val="206"/>
        </w:trPr>
        <w:tc>
          <w:tcPr>
            <w:tcW w:w="4680" w:type="dxa"/>
            <w:vAlign w:val="bottom"/>
          </w:tcPr>
          <w:p>
            <w:pPr>
              <w:ind w:left="340"/>
              <w:spacing w:after="0"/>
              <w:rPr>
                <w:sz w:val="20"/>
                <w:szCs w:val="20"/>
                <w:color w:val="auto"/>
              </w:rPr>
            </w:pPr>
            <w:r>
              <w:rPr>
                <w:rFonts w:ascii="Arial" w:cs="Arial" w:eastAsia="Arial" w:hAnsi="Arial"/>
                <w:sz w:val="17"/>
                <w:szCs w:val="17"/>
                <w:color w:val="auto"/>
              </w:rPr>
              <w:t>Incentive Compensation</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w w:val="91"/>
              </w:rPr>
              <w:t>$2,249,859</w:t>
            </w:r>
            <w:r>
              <w:rPr>
                <w:rFonts w:ascii="Arial" w:cs="Arial" w:eastAsia="Arial" w:hAnsi="Arial"/>
                <w:sz w:val="13"/>
                <w:szCs w:val="13"/>
                <w:color w:val="auto"/>
                <w:w w:val="91"/>
              </w:rPr>
              <w:t>(5)</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$939,521</w:t>
            </w:r>
            <w:r>
              <w:rPr>
                <w:rFonts w:ascii="Arial" w:cs="Arial" w:eastAsia="Arial" w:hAnsi="Arial"/>
                <w:sz w:val="13"/>
                <w:szCs w:val="13"/>
                <w:color w:val="auto"/>
                <w:w w:val="89"/>
              </w:rPr>
              <w:t>(5)</w:t>
            </w:r>
          </w:p>
        </w:tc>
        <w:tc>
          <w:tcPr>
            <w:tcW w:w="840" w:type="dxa"/>
            <w:vAlign w:val="bottom"/>
          </w:tcPr>
          <w:p>
            <w:pPr>
              <w:ind w:left="7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387"/>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3"/>
              </w:rPr>
              <w:t>Termination by the named executive officer for "good reason"</w:t>
            </w: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46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3"/>
              </w:rPr>
              <w:t>with ninety (90) days' notice, and failure by the Company to</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9"/>
        </w:trPr>
        <w:tc>
          <w:tcPr>
            <w:tcW w:w="46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correct such "good reason" within ninety (90) days</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6"/>
        </w:trPr>
        <w:tc>
          <w:tcPr>
            <w:tcW w:w="4680" w:type="dxa"/>
            <w:vAlign w:val="bottom"/>
          </w:tcPr>
          <w:p>
            <w:pPr>
              <w:ind w:left="340"/>
              <w:spacing w:after="0"/>
              <w:rPr>
                <w:sz w:val="20"/>
                <w:szCs w:val="20"/>
                <w:color w:val="auto"/>
              </w:rPr>
            </w:pPr>
            <w:r>
              <w:rPr>
                <w:rFonts w:ascii="Arial" w:cs="Arial" w:eastAsia="Arial" w:hAnsi="Arial"/>
                <w:sz w:val="17"/>
                <w:szCs w:val="17"/>
                <w:color w:val="auto"/>
              </w:rPr>
              <w:t>Severance Payment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$910,000</w:t>
            </w:r>
            <w:r>
              <w:rPr>
                <w:rFonts w:ascii="Arial" w:cs="Arial" w:eastAsia="Arial" w:hAnsi="Arial"/>
                <w:sz w:val="13"/>
                <w:szCs w:val="13"/>
                <w:color w:val="auto"/>
              </w:rPr>
              <w:t>(6)</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$525,000</w:t>
            </w:r>
            <w:r>
              <w:rPr>
                <w:rFonts w:ascii="Arial" w:cs="Arial" w:eastAsia="Arial" w:hAnsi="Arial"/>
                <w:sz w:val="13"/>
                <w:szCs w:val="13"/>
                <w:color w:val="auto"/>
                <w:w w:val="89"/>
              </w:rPr>
              <w:t>(6)</w:t>
            </w:r>
          </w:p>
        </w:tc>
        <w:tc>
          <w:tcPr>
            <w:tcW w:w="840" w:type="dxa"/>
            <w:vAlign w:val="bottom"/>
          </w:tcPr>
          <w:p>
            <w:pPr>
              <w:ind w:left="7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Incentive Compensation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$2,249,859</w:t>
            </w:r>
            <w:r>
              <w:rPr>
                <w:rFonts w:ascii="Arial" w:cs="Arial" w:eastAsia="Arial" w:hAnsi="Arial"/>
                <w:sz w:val="13"/>
                <w:szCs w:val="13"/>
                <w:color w:val="auto"/>
                <w:w w:val="91"/>
              </w:rPr>
              <w:t>(5)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$939,521</w:t>
            </w:r>
            <w:r>
              <w:rPr>
                <w:rFonts w:ascii="Arial" w:cs="Arial" w:eastAsia="Arial" w:hAnsi="Arial"/>
                <w:sz w:val="13"/>
                <w:szCs w:val="13"/>
                <w:color w:val="auto"/>
                <w:w w:val="89"/>
              </w:rPr>
              <w:t>(5)</w:t>
            </w:r>
          </w:p>
        </w:tc>
        <w:tc>
          <w:tcPr>
            <w:tcW w:w="8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411"/>
        </w:trPr>
        <w:tc>
          <w:tcPr>
            <w:tcW w:w="4680" w:type="dxa"/>
            <w:vAlign w:val="bottom"/>
          </w:tcPr>
          <w:p>
            <w:pPr>
              <w:spacing w:after="0"/>
              <w:rPr>
                <w:sz w:val="20"/>
                <w:szCs w:val="20"/>
                <w:color w:val="auto"/>
              </w:rPr>
            </w:pPr>
            <w:r>
              <w:rPr>
                <w:rFonts w:ascii="Arial" w:cs="Arial" w:eastAsia="Arial" w:hAnsi="Arial"/>
                <w:sz w:val="17"/>
                <w:szCs w:val="17"/>
                <w:b w:val="1"/>
                <w:bCs w:val="1"/>
                <w:color w:val="auto"/>
              </w:rPr>
              <w:t>Change of Control</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Accelerated vesting of options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$149,850</w:t>
            </w:r>
            <w:r>
              <w:rPr>
                <w:rFonts w:ascii="Arial" w:cs="Arial" w:eastAsia="Arial" w:hAnsi="Arial"/>
                <w:sz w:val="13"/>
                <w:szCs w:val="13"/>
                <w:color w:val="auto"/>
              </w:rPr>
              <w:t>(7)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$74,925</w:t>
            </w:r>
            <w:r>
              <w:rPr>
                <w:rFonts w:ascii="Arial" w:cs="Arial" w:eastAsia="Arial" w:hAnsi="Arial"/>
                <w:sz w:val="13"/>
                <w:szCs w:val="13"/>
                <w:color w:val="auto"/>
              </w:rPr>
              <w:t>(7)</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92"/>
              </w:rPr>
              <w:t>-</w:t>
            </w:r>
            <w:r>
              <w:rPr>
                <w:rFonts w:ascii="Arial" w:cs="Arial" w:eastAsia="Arial" w:hAnsi="Arial"/>
                <w:sz w:val="13"/>
                <w:szCs w:val="13"/>
                <w:color w:val="auto"/>
                <w:w w:val="92"/>
              </w:rPr>
              <w:t>(7)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$7,749</w:t>
            </w:r>
            <w:r>
              <w:rPr>
                <w:rFonts w:ascii="Arial" w:cs="Arial" w:eastAsia="Arial" w:hAnsi="Arial"/>
                <w:sz w:val="13"/>
                <w:szCs w:val="13"/>
                <w:color w:val="auto"/>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$63,550</w:t>
            </w:r>
            <w:r>
              <w:rPr>
                <w:rFonts w:ascii="Arial" w:cs="Arial" w:eastAsia="Arial" w:hAnsi="Arial"/>
                <w:sz w:val="13"/>
                <w:szCs w:val="13"/>
                <w:color w:val="auto"/>
              </w:rPr>
              <w:t>(7)</w:t>
            </w:r>
          </w:p>
        </w:tc>
      </w:tr>
    </w:tbl>
    <w:p>
      <w:pPr>
        <w:spacing w:after="0" w:line="197" w:lineRule="exact"/>
        <w:rPr>
          <w:sz w:val="20"/>
          <w:szCs w:val="20"/>
          <w:color w:val="auto"/>
        </w:rPr>
      </w:pPr>
    </w:p>
    <w:p>
      <w:pPr>
        <w:ind w:left="1660" w:right="460" w:hanging="515"/>
        <w:spacing w:after="0" w:line="194" w:lineRule="auto"/>
        <w:tabs>
          <w:tab w:leader="none" w:pos="166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Represents amounts that would have been received in connection with the accelerated vesting of Altisource service-based options upon the occurrence of death, disability or retirement. Additionally,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left="515" w:right="200"/>
        <w:spacing w:after="0" w:line="263" w:lineRule="auto"/>
        <w:rPr>
          <w:sz w:val="20"/>
          <w:szCs w:val="20"/>
          <w:color w:val="auto"/>
        </w:rPr>
      </w:pPr>
      <w:r>
        <w:rPr>
          <w:rFonts w:ascii="Arial" w:cs="Arial" w:eastAsia="Arial" w:hAnsi="Arial"/>
          <w:sz w:val="17"/>
          <w:szCs w:val="17"/>
          <w:color w:val="auto"/>
        </w:rPr>
        <w:t>upon the occurrence of such event, Ms. Esterman would receive $270,260 and Mr. Davila would receive $56,560, based on the accelerated vesting of Altisource Asset Management Corporation ("AAMC") and Altisource Residential Corporation ("Residential") service-based options received in connection with the spin-off transactions completed on December 21, 2012.</w:t>
      </w:r>
    </w:p>
    <w:p>
      <w:pPr>
        <w:spacing w:after="0" w:line="73" w:lineRule="exact"/>
        <w:rPr>
          <w:sz w:val="20"/>
          <w:szCs w:val="20"/>
          <w:color w:val="auto"/>
        </w:rPr>
      </w:pPr>
    </w:p>
    <w:p>
      <w:pPr>
        <w:ind w:left="515" w:hanging="515"/>
        <w:spacing w:after="0"/>
        <w:tabs>
          <w:tab w:leader="none" w:pos="515"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Represents one (1) month of base salary pursuant to article L.124-7 of the Luxembourg Labor Code.</w:t>
      </w:r>
    </w:p>
    <w:p>
      <w:pPr>
        <w:spacing w:after="0" w:line="211" w:lineRule="exact"/>
        <w:rPr>
          <w:rFonts w:ascii="Arial" w:cs="Arial" w:eastAsia="Arial" w:hAnsi="Arial"/>
          <w:sz w:val="28"/>
          <w:szCs w:val="28"/>
          <w:color w:val="auto"/>
          <w:vertAlign w:val="superscript"/>
        </w:rPr>
      </w:pPr>
    </w:p>
    <w:p>
      <w:pPr>
        <w:ind w:left="515" w:right="160" w:hanging="515"/>
        <w:spacing w:after="0" w:line="194" w:lineRule="auto"/>
        <w:tabs>
          <w:tab w:leader="none" w:pos="515"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Represents one (1) year of base salary as provided under the executive's employment agreement, plus an additional five (5) months' base salary pursuant to articles L.124-1 and L.124-7 of the Luxembourg Labor Code.</w:t>
      </w:r>
    </w:p>
    <w:p>
      <w:pPr>
        <w:spacing w:after="0" w:line="199" w:lineRule="exact"/>
        <w:rPr>
          <w:rFonts w:ascii="Arial" w:cs="Arial" w:eastAsia="Arial" w:hAnsi="Arial"/>
          <w:sz w:val="28"/>
          <w:szCs w:val="28"/>
          <w:color w:val="auto"/>
          <w:vertAlign w:val="superscript"/>
        </w:rPr>
      </w:pPr>
    </w:p>
    <w:p>
      <w:pPr>
        <w:ind w:left="515" w:right="300" w:hanging="515"/>
        <w:spacing w:after="0" w:line="210" w:lineRule="auto"/>
        <w:tabs>
          <w:tab w:leader="none" w:pos="515"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Represents four (4) months' base salary as provided under the executive's employment agreement, the receipt of which is contingent upon the executive's execution of a Separation Agreement with the Company, plus an additional two (2) months' base salary as required pursuant to article L.124-1 of the Luxembourg Labor Code.</w:t>
      </w:r>
    </w:p>
    <w:p>
      <w:pPr>
        <w:spacing w:after="0" w:line="200" w:lineRule="exact"/>
        <w:rPr>
          <w:rFonts w:ascii="Arial" w:cs="Arial" w:eastAsia="Arial" w:hAnsi="Arial"/>
          <w:sz w:val="28"/>
          <w:szCs w:val="28"/>
          <w:color w:val="auto"/>
          <w:vertAlign w:val="superscript"/>
        </w:rPr>
      </w:pPr>
    </w:p>
    <w:p>
      <w:pPr>
        <w:ind w:left="515" w:right="60" w:hanging="515"/>
        <w:spacing w:after="0" w:line="237" w:lineRule="auto"/>
        <w:tabs>
          <w:tab w:leader="none" w:pos="515" w:val="left"/>
        </w:tabs>
        <w:numPr>
          <w:ilvl w:val="0"/>
          <w:numId w:val="36"/>
        </w:numPr>
        <w:rPr>
          <w:rFonts w:ascii="Arial" w:cs="Arial" w:eastAsia="Arial" w:hAnsi="Arial"/>
          <w:sz w:val="25"/>
          <w:szCs w:val="25"/>
          <w:color w:val="auto"/>
          <w:vertAlign w:val="superscript"/>
        </w:rPr>
      </w:pPr>
      <w:r>
        <w:rPr>
          <w:rFonts w:ascii="Arial" w:cs="Arial" w:eastAsia="Arial" w:hAnsi="Arial"/>
          <w:sz w:val="15"/>
          <w:szCs w:val="15"/>
          <w:color w:val="auto"/>
        </w:rPr>
        <w:t>Represents one (1) year of target incentive compensation, plus actual incentive compensation that would have been earned for service year 2014. Pursuant to their employment agreements, Messrs. Shepro and Wilcox are only entitled to receive actual incentive compensation earned in the event employment is terminated after October for the service year and before incentives are paid for such service year.</w:t>
      </w:r>
    </w:p>
    <w:p>
      <w:pPr>
        <w:spacing w:after="0" w:line="212" w:lineRule="exact"/>
        <w:rPr>
          <w:rFonts w:ascii="Arial" w:cs="Arial" w:eastAsia="Arial" w:hAnsi="Arial"/>
          <w:sz w:val="25"/>
          <w:szCs w:val="25"/>
          <w:color w:val="auto"/>
          <w:vertAlign w:val="superscript"/>
        </w:rPr>
      </w:pPr>
    </w:p>
    <w:p>
      <w:pPr>
        <w:ind w:left="515" w:hanging="515"/>
        <w:spacing w:after="0" w:line="194" w:lineRule="auto"/>
        <w:tabs>
          <w:tab w:leader="none" w:pos="515"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Represents one (1) year of base salary as provided under the executive's employment agreement, plus an additional two (2) months' base salary as required pursuant to article L.124-1 of the Luxembourg Labor Code.</w:t>
      </w:r>
    </w:p>
    <w:p>
      <w:pPr>
        <w:spacing w:after="0" w:line="199" w:lineRule="exact"/>
        <w:rPr>
          <w:rFonts w:ascii="Arial" w:cs="Arial" w:eastAsia="Arial" w:hAnsi="Arial"/>
          <w:sz w:val="28"/>
          <w:szCs w:val="28"/>
          <w:color w:val="auto"/>
          <w:vertAlign w:val="superscript"/>
        </w:rPr>
      </w:pPr>
    </w:p>
    <w:p>
      <w:pPr>
        <w:ind w:left="515" w:right="40" w:hanging="515"/>
        <w:spacing w:after="0" w:line="237" w:lineRule="auto"/>
        <w:tabs>
          <w:tab w:leader="none" w:pos="515" w:val="left"/>
        </w:tabs>
        <w:numPr>
          <w:ilvl w:val="0"/>
          <w:numId w:val="36"/>
        </w:numPr>
        <w:rPr>
          <w:rFonts w:ascii="Arial" w:cs="Arial" w:eastAsia="Arial" w:hAnsi="Arial"/>
          <w:sz w:val="27"/>
          <w:szCs w:val="27"/>
          <w:color w:val="auto"/>
          <w:vertAlign w:val="superscript"/>
        </w:rPr>
      </w:pPr>
      <w:r>
        <w:rPr>
          <w:rFonts w:ascii="Arial" w:cs="Arial" w:eastAsia="Arial" w:hAnsi="Arial"/>
          <w:sz w:val="16"/>
          <w:szCs w:val="16"/>
          <w:color w:val="auto"/>
        </w:rPr>
        <w:t>Represents December 31, 2014 amounts that would have been received in connection with the accelerated vesting of all Altisource options in the event the Compensation Committee authorizes the accelerated vesting of all options following a change of control or a restructuring. Additionally, in such event, Mr. Shepro would receive $546,515, Mr. Wilcox would receive $273,258, Ms. Esterman would receive $714,341, Mr. Davila would receive $225,932 and Mr. Hynes would receive $68,600, based on the accelerated vesting of AAMC and Residential options received in connection with the spin-off transactions completed on December 21, 2012.</w:t>
      </w:r>
    </w:p>
    <w:p>
      <w:pPr>
        <w:spacing w:after="0" w:line="203"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75"/>
          </w:cols>
          <w:pgMar w:left="1385" w:top="131"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Report of the Compensation Committee</w:t>
      </w:r>
    </w:p>
    <w:p>
      <w:pPr>
        <w:spacing w:after="0" w:line="22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Compensation Committee of the Board of Directors has reviewed and discussed the Compensation Discussion and Analysis included on pages 23 through 39 of this proxy statement with management.</w:t>
      </w:r>
    </w:p>
    <w:p>
      <w:pPr>
        <w:spacing w:after="0" w:line="17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Based on the review and discussion, the Compensation Committee recommended to the Board of Directors that the Compensation Discussion and Analysis be included in this proxy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8060" w:type="dxa"/>
            <w:vAlign w:val="bottom"/>
          </w:tcPr>
          <w:p>
            <w:pPr>
              <w:ind w:left="2600"/>
              <w:spacing w:after="0"/>
              <w:rPr>
                <w:sz w:val="20"/>
                <w:szCs w:val="20"/>
                <w:color w:val="auto"/>
              </w:rPr>
            </w:pPr>
            <w:r>
              <w:rPr>
                <w:rFonts w:ascii="Arial" w:cs="Arial" w:eastAsia="Arial" w:hAnsi="Arial"/>
                <w:sz w:val="17"/>
                <w:szCs w:val="17"/>
                <w:b w:val="1"/>
                <w:bCs w:val="1"/>
                <w:color w:val="auto"/>
              </w:rPr>
              <w:t>Compensation Committee:</w:t>
            </w:r>
          </w:p>
        </w:tc>
      </w:tr>
      <w:tr>
        <w:trPr>
          <w:trHeight w:val="206"/>
        </w:trPr>
        <w:tc>
          <w:tcPr>
            <w:tcW w:w="3360" w:type="dxa"/>
            <w:vAlign w:val="bottom"/>
          </w:tcPr>
          <w:p>
            <w:pPr>
              <w:spacing w:after="0"/>
              <w:rPr>
                <w:sz w:val="20"/>
                <w:szCs w:val="20"/>
                <w:color w:val="auto"/>
              </w:rPr>
            </w:pPr>
            <w:r>
              <w:rPr>
                <w:rFonts w:ascii="Arial" w:cs="Arial" w:eastAsia="Arial" w:hAnsi="Arial"/>
                <w:sz w:val="17"/>
                <w:szCs w:val="17"/>
                <w:color w:val="auto"/>
              </w:rPr>
              <w:t>April [  ], 2015</w:t>
            </w:r>
          </w:p>
        </w:tc>
        <w:tc>
          <w:tcPr>
            <w:tcW w:w="8060" w:type="dxa"/>
            <w:vAlign w:val="bottom"/>
          </w:tcPr>
          <w:p>
            <w:pPr>
              <w:ind w:left="2600"/>
              <w:spacing w:after="0"/>
              <w:rPr>
                <w:sz w:val="20"/>
                <w:szCs w:val="20"/>
                <w:color w:val="auto"/>
              </w:rPr>
            </w:pPr>
            <w:r>
              <w:rPr>
                <w:rFonts w:ascii="Arial" w:cs="Arial" w:eastAsia="Arial" w:hAnsi="Arial"/>
                <w:sz w:val="17"/>
                <w:szCs w:val="17"/>
                <w:color w:val="auto"/>
              </w:rPr>
              <w:t>Timo Vättö, Chairman</w:t>
            </w:r>
          </w:p>
        </w:tc>
      </w:tr>
      <w:tr>
        <w:trPr>
          <w:trHeight w:val="206"/>
        </w:trPr>
        <w:tc>
          <w:tcPr>
            <w:tcW w:w="3360" w:type="dxa"/>
            <w:vAlign w:val="bottom"/>
          </w:tcPr>
          <w:p>
            <w:pPr>
              <w:spacing w:after="0"/>
              <w:rPr>
                <w:sz w:val="17"/>
                <w:szCs w:val="17"/>
                <w:color w:val="auto"/>
              </w:rPr>
            </w:pPr>
          </w:p>
        </w:tc>
        <w:tc>
          <w:tcPr>
            <w:tcW w:w="8060" w:type="dxa"/>
            <w:vAlign w:val="bottom"/>
          </w:tcPr>
          <w:p>
            <w:pPr>
              <w:ind w:left="2600"/>
              <w:spacing w:after="0"/>
              <w:rPr>
                <w:sz w:val="20"/>
                <w:szCs w:val="20"/>
                <w:color w:val="auto"/>
              </w:rPr>
            </w:pPr>
            <w:r>
              <w:rPr>
                <w:rFonts w:ascii="Arial" w:cs="Arial" w:eastAsia="Arial" w:hAnsi="Arial"/>
                <w:sz w:val="17"/>
                <w:szCs w:val="17"/>
                <w:color w:val="auto"/>
              </w:rPr>
              <w:t>W. Michael Linn, Director</w:t>
            </w:r>
          </w:p>
        </w:tc>
      </w:tr>
      <w:tr>
        <w:trPr>
          <w:trHeight w:val="213"/>
        </w:trPr>
        <w:tc>
          <w:tcPr>
            <w:tcW w:w="3360" w:type="dxa"/>
            <w:vAlign w:val="bottom"/>
          </w:tcPr>
          <w:p>
            <w:pPr>
              <w:spacing w:after="0"/>
              <w:rPr>
                <w:sz w:val="18"/>
                <w:szCs w:val="18"/>
                <w:color w:val="auto"/>
              </w:rPr>
            </w:pPr>
          </w:p>
        </w:tc>
        <w:tc>
          <w:tcPr>
            <w:tcW w:w="8060" w:type="dxa"/>
            <w:vAlign w:val="bottom"/>
          </w:tcPr>
          <w:p>
            <w:pPr>
              <w:ind w:left="2600"/>
              <w:spacing w:after="0"/>
              <w:rPr>
                <w:sz w:val="20"/>
                <w:szCs w:val="20"/>
                <w:color w:val="auto"/>
              </w:rPr>
            </w:pPr>
            <w:r>
              <w:rPr>
                <w:rFonts w:ascii="Arial" w:cs="Arial" w:eastAsia="Arial" w:hAnsi="Arial"/>
                <w:sz w:val="17"/>
                <w:szCs w:val="17"/>
                <w:color w:val="auto"/>
              </w:rPr>
              <w:t>Roland Müller-Ineichen, Director</w:t>
            </w:r>
          </w:p>
        </w:tc>
      </w:tr>
      <w:tr>
        <w:trPr>
          <w:trHeight w:val="412"/>
        </w:trPr>
        <w:tc>
          <w:tcPr>
            <w:tcW w:w="3360" w:type="dxa"/>
            <w:vAlign w:val="bottom"/>
          </w:tcPr>
          <w:p>
            <w:pPr>
              <w:spacing w:after="0"/>
              <w:rPr>
                <w:sz w:val="24"/>
                <w:szCs w:val="24"/>
                <w:color w:val="auto"/>
              </w:rPr>
            </w:pPr>
          </w:p>
        </w:tc>
        <w:tc>
          <w:tcPr>
            <w:tcW w:w="8060" w:type="dxa"/>
            <w:vAlign w:val="bottom"/>
          </w:tcPr>
          <w:p>
            <w:pPr>
              <w:ind w:left="2280"/>
              <w:spacing w:after="0"/>
              <w:rPr>
                <w:sz w:val="20"/>
                <w:szCs w:val="20"/>
                <w:color w:val="auto"/>
              </w:rPr>
            </w:pPr>
            <w:r>
              <w:rPr>
                <w:rFonts w:ascii="Arial" w:cs="Arial" w:eastAsia="Arial" w:hAnsi="Arial"/>
                <w:sz w:val="17"/>
                <w:szCs w:val="17"/>
                <w:color w:val="auto"/>
              </w:rPr>
              <w:t>40</w:t>
            </w:r>
          </w:p>
        </w:tc>
      </w:tr>
      <w:tr>
        <w:trPr>
          <w:trHeight w:val="217"/>
        </w:trPr>
        <w:tc>
          <w:tcPr>
            <w:tcW w:w="3360" w:type="dxa"/>
            <w:vAlign w:val="bottom"/>
            <w:tcBorders>
              <w:bottom w:val="single" w:sz="8" w:color="808080"/>
            </w:tcBorders>
          </w:tcPr>
          <w:p>
            <w:pPr>
              <w:spacing w:after="0"/>
              <w:rPr>
                <w:sz w:val="18"/>
                <w:szCs w:val="18"/>
                <w:color w:val="auto"/>
              </w:rPr>
            </w:pPr>
          </w:p>
        </w:tc>
        <w:tc>
          <w:tcPr>
            <w:tcW w:w="80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1"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following table discloses compensation of our named executive officers for fiscal years 2012, 2013 and 2014. Information for 2012 and 2013 is not provided for Messrs. Davila and Hynes because they were not determined to satisfy the definition of "executive officer" for purposes of Rule 16a-1(f) under the Securities Exchange Act of 1934, as amended, until May 21, 2014.</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Non-Equity</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88"/>
              </w:rPr>
              <w:t>Incentive</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7"/>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ind w:right="119"/>
              <w:spacing w:after="0" w:line="138" w:lineRule="exact"/>
              <w:rPr>
                <w:sz w:val="20"/>
                <w:szCs w:val="20"/>
                <w:color w:val="auto"/>
              </w:rPr>
            </w:pPr>
            <w:r>
              <w:rPr>
                <w:rFonts w:ascii="Arial" w:cs="Arial" w:eastAsia="Arial" w:hAnsi="Arial"/>
                <w:sz w:val="13"/>
                <w:szCs w:val="13"/>
                <w:b w:val="1"/>
                <w:bCs w:val="1"/>
                <w:color w:val="auto"/>
              </w:rPr>
              <w:t>Stock</w:t>
            </w:r>
          </w:p>
        </w:tc>
        <w:tc>
          <w:tcPr>
            <w:tcW w:w="240" w:type="dxa"/>
            <w:vAlign w:val="bottom"/>
          </w:tcPr>
          <w:p>
            <w:pPr>
              <w:spacing w:after="0"/>
              <w:rPr>
                <w:sz w:val="11"/>
                <w:szCs w:val="11"/>
                <w:color w:val="auto"/>
              </w:rPr>
            </w:pPr>
          </w:p>
        </w:tc>
        <w:tc>
          <w:tcPr>
            <w:tcW w:w="860" w:type="dxa"/>
            <w:vAlign w:val="bottom"/>
          </w:tcPr>
          <w:p>
            <w:pPr>
              <w:jc w:val="right"/>
              <w:ind w:right="174"/>
              <w:spacing w:after="0" w:line="138" w:lineRule="exact"/>
              <w:rPr>
                <w:sz w:val="20"/>
                <w:szCs w:val="20"/>
                <w:color w:val="auto"/>
              </w:rPr>
            </w:pPr>
            <w:r>
              <w:rPr>
                <w:rFonts w:ascii="Arial" w:cs="Arial" w:eastAsia="Arial" w:hAnsi="Arial"/>
                <w:sz w:val="13"/>
                <w:szCs w:val="13"/>
                <w:b w:val="1"/>
                <w:bCs w:val="1"/>
                <w:color w:val="auto"/>
              </w:rPr>
              <w:t>Option</w:t>
            </w:r>
          </w:p>
        </w:tc>
        <w:tc>
          <w:tcPr>
            <w:tcW w:w="240" w:type="dxa"/>
            <w:vAlign w:val="bottom"/>
          </w:tcPr>
          <w:p>
            <w:pPr>
              <w:spacing w:after="0"/>
              <w:rPr>
                <w:sz w:val="11"/>
                <w:szCs w:val="11"/>
                <w:color w:val="auto"/>
              </w:rPr>
            </w:pPr>
          </w:p>
        </w:tc>
        <w:tc>
          <w:tcPr>
            <w:tcW w:w="13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4"/>
              </w:rPr>
              <w:t>Plan</w:t>
            </w:r>
          </w:p>
        </w:tc>
        <w:tc>
          <w:tcPr>
            <w:tcW w:w="1380" w:type="dxa"/>
            <w:vAlign w:val="bottom"/>
            <w:gridSpan w:val="2"/>
          </w:tcPr>
          <w:p>
            <w:pPr>
              <w:jc w:val="right"/>
              <w:ind w:right="560"/>
              <w:spacing w:after="0" w:line="138" w:lineRule="exact"/>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5"/>
        </w:trPr>
        <w:tc>
          <w:tcPr>
            <w:tcW w:w="1820" w:type="dxa"/>
            <w:vAlign w:val="bottom"/>
            <w:gridSpan w:val="3"/>
          </w:tcPr>
          <w:p>
            <w:pPr>
              <w:spacing w:after="0"/>
              <w:rPr>
                <w:sz w:val="20"/>
                <w:szCs w:val="20"/>
                <w:color w:val="auto"/>
              </w:rPr>
            </w:pPr>
            <w:r>
              <w:rPr>
                <w:rFonts w:ascii="Arial" w:cs="Arial" w:eastAsia="Arial" w:hAnsi="Arial"/>
                <w:sz w:val="13"/>
                <w:szCs w:val="13"/>
                <w:b w:val="1"/>
                <w:bCs w:val="1"/>
                <w:color w:val="auto"/>
              </w:rPr>
              <w:t>Name and Principal Position</w:t>
            </w:r>
          </w:p>
        </w:tc>
        <w:tc>
          <w:tcPr>
            <w:tcW w:w="140" w:type="dxa"/>
            <w:vAlign w:val="bottom"/>
          </w:tcPr>
          <w:p>
            <w:pPr>
              <w:spacing w:after="0"/>
              <w:rPr>
                <w:sz w:val="16"/>
                <w:szCs w:val="16"/>
                <w:color w:val="auto"/>
              </w:rPr>
            </w:pPr>
          </w:p>
        </w:tc>
        <w:tc>
          <w:tcPr>
            <w:tcW w:w="440" w:type="dxa"/>
            <w:vAlign w:val="bottom"/>
          </w:tcPr>
          <w:p>
            <w:pPr>
              <w:ind w:left="80"/>
              <w:spacing w:after="0"/>
              <w:rPr>
                <w:sz w:val="20"/>
                <w:szCs w:val="20"/>
                <w:color w:val="auto"/>
              </w:rPr>
            </w:pPr>
            <w:r>
              <w:rPr>
                <w:rFonts w:ascii="Arial" w:cs="Arial" w:eastAsia="Arial" w:hAnsi="Arial"/>
                <w:sz w:val="13"/>
                <w:szCs w:val="13"/>
                <w:b w:val="1"/>
                <w:bCs w:val="1"/>
                <w:color w:val="auto"/>
              </w:rPr>
              <w:t>Year</w:t>
            </w:r>
          </w:p>
        </w:tc>
        <w:tc>
          <w:tcPr>
            <w:tcW w:w="220" w:type="dxa"/>
            <w:vAlign w:val="bottom"/>
          </w:tcPr>
          <w:p>
            <w:pPr>
              <w:spacing w:after="0"/>
              <w:rPr>
                <w:sz w:val="16"/>
                <w:szCs w:val="16"/>
                <w:color w:val="auto"/>
              </w:rPr>
            </w:pPr>
          </w:p>
        </w:tc>
        <w:tc>
          <w:tcPr>
            <w:tcW w:w="880" w:type="dxa"/>
            <w:vAlign w:val="bottom"/>
            <w:gridSpan w:val="2"/>
          </w:tcPr>
          <w:p>
            <w:pPr>
              <w:jc w:val="right"/>
              <w:ind w:right="320"/>
              <w:spacing w:after="0" w:line="185" w:lineRule="exact"/>
              <w:rPr>
                <w:sz w:val="20"/>
                <w:szCs w:val="20"/>
                <w:color w:val="auto"/>
              </w:rPr>
            </w:pPr>
            <w:r>
              <w:rPr>
                <w:rFonts w:ascii="Arial" w:cs="Arial" w:eastAsia="Arial" w:hAnsi="Arial"/>
                <w:sz w:val="13"/>
                <w:szCs w:val="13"/>
                <w:b w:val="1"/>
                <w:bCs w:val="1"/>
                <w:color w:val="auto"/>
                <w:w w:val="96"/>
              </w:rPr>
              <w:t>Salary</w:t>
            </w:r>
            <w:r>
              <w:rPr>
                <w:rFonts w:ascii="Arial" w:cs="Arial" w:eastAsia="Arial" w:hAnsi="Arial"/>
                <w:sz w:val="21"/>
                <w:szCs w:val="21"/>
                <w:b w:val="1"/>
                <w:bCs w:val="1"/>
                <w:color w:val="auto"/>
                <w:w w:val="96"/>
                <w:vertAlign w:val="superscript"/>
              </w:rPr>
              <w:t>(1)</w:t>
            </w:r>
          </w:p>
        </w:tc>
        <w:tc>
          <w:tcPr>
            <w:tcW w:w="700" w:type="dxa"/>
            <w:vAlign w:val="bottom"/>
          </w:tcPr>
          <w:p>
            <w:pPr>
              <w:jc w:val="right"/>
              <w:spacing w:after="0" w:line="185" w:lineRule="exact"/>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21"/>
                <w:szCs w:val="21"/>
                <w:b w:val="1"/>
                <w:bCs w:val="1"/>
                <w:color w:val="auto"/>
                <w:w w:val="93"/>
                <w:vertAlign w:val="superscript"/>
              </w:rPr>
              <w:t>(2)</w:t>
            </w:r>
          </w:p>
        </w:tc>
        <w:tc>
          <w:tcPr>
            <w:tcW w:w="240" w:type="dxa"/>
            <w:vAlign w:val="bottom"/>
          </w:tcPr>
          <w:p>
            <w:pPr>
              <w:spacing w:after="0"/>
              <w:rPr>
                <w:sz w:val="16"/>
                <w:szCs w:val="16"/>
                <w:color w:val="auto"/>
              </w:rPr>
            </w:pPr>
          </w:p>
        </w:tc>
        <w:tc>
          <w:tcPr>
            <w:tcW w:w="860" w:type="dxa"/>
            <w:vAlign w:val="bottom"/>
          </w:tcPr>
          <w:p>
            <w:pPr>
              <w:jc w:val="right"/>
              <w:ind w:right="34"/>
              <w:spacing w:after="0" w:line="185" w:lineRule="exact"/>
              <w:rPr>
                <w:sz w:val="20"/>
                <w:szCs w:val="20"/>
                <w:color w:val="auto"/>
              </w:rPr>
            </w:pPr>
            <w:r>
              <w:rPr>
                <w:rFonts w:ascii="Arial" w:cs="Arial" w:eastAsia="Arial" w:hAnsi="Arial"/>
                <w:sz w:val="21"/>
                <w:szCs w:val="21"/>
                <w:b w:val="1"/>
                <w:bCs w:val="1"/>
                <w:color w:val="auto"/>
                <w:w w:val="98"/>
                <w:vertAlign w:val="subscript"/>
              </w:rPr>
              <w:t>Awards</w:t>
            </w:r>
            <w:r>
              <w:rPr>
                <w:rFonts w:ascii="Arial" w:cs="Arial" w:eastAsia="Arial" w:hAnsi="Arial"/>
                <w:sz w:val="10"/>
                <w:szCs w:val="10"/>
                <w:b w:val="1"/>
                <w:bCs w:val="1"/>
                <w:color w:val="auto"/>
                <w:w w:val="98"/>
              </w:rPr>
              <w:t>(3)(4)</w:t>
            </w:r>
          </w:p>
        </w:tc>
        <w:tc>
          <w:tcPr>
            <w:tcW w:w="240" w:type="dxa"/>
            <w:vAlign w:val="bottom"/>
          </w:tcPr>
          <w:p>
            <w:pPr>
              <w:spacing w:after="0"/>
              <w:rPr>
                <w:sz w:val="16"/>
                <w:szCs w:val="16"/>
                <w:color w:val="auto"/>
              </w:rPr>
            </w:pPr>
          </w:p>
        </w:tc>
        <w:tc>
          <w:tcPr>
            <w:tcW w:w="1340" w:type="dxa"/>
            <w:vAlign w:val="bottom"/>
            <w:gridSpan w:val="2"/>
          </w:tcPr>
          <w:p>
            <w:pPr>
              <w:jc w:val="center"/>
              <w:ind w:right="240"/>
              <w:spacing w:after="0" w:line="185" w:lineRule="exact"/>
              <w:rPr>
                <w:sz w:val="20"/>
                <w:szCs w:val="20"/>
                <w:color w:val="auto"/>
              </w:rPr>
            </w:pPr>
            <w:r>
              <w:rPr>
                <w:rFonts w:ascii="Arial" w:cs="Arial" w:eastAsia="Arial" w:hAnsi="Arial"/>
                <w:sz w:val="13"/>
                <w:szCs w:val="13"/>
                <w:b w:val="1"/>
                <w:bCs w:val="1"/>
                <w:color w:val="auto"/>
                <w:w w:val="83"/>
              </w:rPr>
              <w:t>Compensation</w:t>
            </w:r>
            <w:r>
              <w:rPr>
                <w:rFonts w:ascii="Arial" w:cs="Arial" w:eastAsia="Arial" w:hAnsi="Arial"/>
                <w:sz w:val="21"/>
                <w:szCs w:val="21"/>
                <w:b w:val="1"/>
                <w:bCs w:val="1"/>
                <w:color w:val="auto"/>
                <w:w w:val="83"/>
                <w:vertAlign w:val="superscript"/>
              </w:rPr>
              <w:t>(5)</w:t>
            </w:r>
          </w:p>
        </w:tc>
        <w:tc>
          <w:tcPr>
            <w:tcW w:w="1380" w:type="dxa"/>
            <w:vAlign w:val="bottom"/>
            <w:gridSpan w:val="2"/>
          </w:tcPr>
          <w:p>
            <w:pPr>
              <w:jc w:val="right"/>
              <w:ind w:right="360"/>
              <w:spacing w:after="0" w:line="185" w:lineRule="exact"/>
              <w:rPr>
                <w:sz w:val="20"/>
                <w:szCs w:val="20"/>
                <w:color w:val="auto"/>
              </w:rPr>
            </w:pPr>
            <w:r>
              <w:rPr>
                <w:rFonts w:ascii="Arial" w:cs="Arial" w:eastAsia="Arial" w:hAnsi="Arial"/>
                <w:sz w:val="13"/>
                <w:szCs w:val="13"/>
                <w:b w:val="1"/>
                <w:bCs w:val="1"/>
                <w:color w:val="auto"/>
                <w:w w:val="93"/>
              </w:rPr>
              <w:t>Compensation</w:t>
            </w:r>
            <w:r>
              <w:rPr>
                <w:rFonts w:ascii="Arial" w:cs="Arial" w:eastAsia="Arial" w:hAnsi="Arial"/>
                <w:sz w:val="21"/>
                <w:szCs w:val="21"/>
                <w:b w:val="1"/>
                <w:bCs w:val="1"/>
                <w:color w:val="auto"/>
                <w:w w:val="93"/>
                <w:vertAlign w:val="superscript"/>
              </w:rPr>
              <w:t>(6)</w:t>
            </w:r>
          </w:p>
        </w:tc>
        <w:tc>
          <w:tcPr>
            <w:tcW w:w="100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r>
      <w:tr>
        <w:trPr>
          <w:trHeight w:val="199"/>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William B. Shepro</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w w:val="84"/>
              </w:rPr>
              <w:t>2012</w:t>
            </w:r>
          </w:p>
        </w:tc>
        <w:tc>
          <w:tcPr>
            <w:tcW w:w="2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$488,487</w:t>
            </w:r>
          </w:p>
        </w:tc>
        <w:tc>
          <w:tcPr>
            <w:tcW w:w="2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$172,228</w:t>
            </w:r>
          </w:p>
        </w:tc>
        <w:tc>
          <w:tcPr>
            <w:tcW w:w="2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$1,099,095</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$385,512</w:t>
            </w:r>
          </w:p>
        </w:tc>
        <w:tc>
          <w:tcPr>
            <w:tcW w:w="2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$2,145,322</w:t>
            </w: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$543,375</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$1,018,828</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$329,781</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$1,891,984</w:t>
            </w: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2014</w:t>
            </w:r>
          </w:p>
        </w:tc>
        <w:tc>
          <w:tcPr>
            <w:tcW w:w="1100" w:type="dxa"/>
            <w:vAlign w:val="bottom"/>
            <w:gridSpan w:val="3"/>
            <w:shd w:val="clear" w:color="auto" w:fill="CCEEFF"/>
          </w:tcPr>
          <w:p>
            <w:pPr>
              <w:jc w:val="right"/>
              <w:ind w:right="80"/>
              <w:spacing w:after="0" w:line="205" w:lineRule="exact"/>
              <w:rPr>
                <w:sz w:val="20"/>
                <w:szCs w:val="20"/>
                <w:color w:val="auto"/>
              </w:rPr>
            </w:pPr>
            <w:r>
              <w:rPr>
                <w:rFonts w:ascii="Arial" w:cs="Arial" w:eastAsia="Arial" w:hAnsi="Arial"/>
                <w:sz w:val="15"/>
                <w:szCs w:val="15"/>
                <w:color w:val="auto"/>
              </w:rPr>
              <w:t>$685,625</w:t>
            </w:r>
            <w:r>
              <w:rPr>
                <w:rFonts w:ascii="Arial" w:cs="Arial" w:eastAsia="Arial" w:hAnsi="Arial"/>
                <w:sz w:val="23"/>
                <w:szCs w:val="23"/>
                <w:color w:val="auto"/>
                <w:vertAlign w:val="superscript"/>
              </w:rPr>
              <w:t>(7)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gridSpan w:val="3"/>
            <w:shd w:val="clear" w:color="auto" w:fill="CCEEFF"/>
          </w:tcPr>
          <w:p>
            <w:pPr>
              <w:jc w:val="right"/>
              <w:ind w:right="60"/>
              <w:spacing w:after="0" w:line="205" w:lineRule="exact"/>
              <w:rPr>
                <w:sz w:val="20"/>
                <w:szCs w:val="20"/>
                <w:color w:val="auto"/>
              </w:rPr>
            </w:pPr>
            <w:r>
              <w:rPr>
                <w:rFonts w:ascii="Arial" w:cs="Arial" w:eastAsia="Arial" w:hAnsi="Arial"/>
                <w:sz w:val="15"/>
                <w:szCs w:val="15"/>
                <w:color w:val="auto"/>
              </w:rPr>
              <w:t>$1,079,859</w:t>
            </w:r>
            <w:r>
              <w:rPr>
                <w:rFonts w:ascii="Arial" w:cs="Arial" w:eastAsia="Arial" w:hAnsi="Arial"/>
                <w:sz w:val="23"/>
                <w:szCs w:val="23"/>
                <w:color w:val="auto"/>
                <w:vertAlign w:val="superscript"/>
              </w:rPr>
              <w:t>(8)</w:t>
            </w:r>
          </w:p>
        </w:tc>
        <w:tc>
          <w:tcPr>
            <w:tcW w:w="13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5"/>
                <w:szCs w:val="15"/>
                <w:color w:val="auto"/>
              </w:rPr>
              <w:t>$477,103</w:t>
            </w:r>
            <w:r>
              <w:rPr>
                <w:rFonts w:ascii="Arial" w:cs="Arial" w:eastAsia="Arial" w:hAnsi="Arial"/>
                <w:sz w:val="23"/>
                <w:szCs w:val="23"/>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$2,242,587</w:t>
            </w:r>
          </w:p>
        </w:tc>
        <w:tc>
          <w:tcPr>
            <w:tcW w:w="160" w:type="dxa"/>
            <w:vAlign w:val="bottom"/>
            <w:shd w:val="clear" w:color="auto" w:fill="CCEEFF"/>
          </w:tcPr>
          <w:p>
            <w:pPr>
              <w:spacing w:after="0"/>
              <w:rPr>
                <w:sz w:val="17"/>
                <w:szCs w:val="17"/>
                <w:color w:val="auto"/>
              </w:rPr>
            </w:pPr>
          </w:p>
        </w:tc>
      </w:tr>
      <w:tr>
        <w:trPr>
          <w:trHeight w:val="429"/>
        </w:trPr>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Kevin J. Wilcox</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$395,686</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$86,114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$569,788</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$236,419</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$1,288,007</w:t>
            </w:r>
          </w:p>
        </w:tc>
        <w:tc>
          <w:tcPr>
            <w:tcW w:w="160" w:type="dxa"/>
            <w:vAlign w:val="bottom"/>
          </w:tcPr>
          <w:p>
            <w:pPr>
              <w:spacing w:after="0"/>
              <w:rPr>
                <w:sz w:val="24"/>
                <w:szCs w:val="24"/>
                <w:color w:val="auto"/>
              </w:rPr>
            </w:pPr>
          </w:p>
        </w:tc>
      </w:tr>
      <w:tr>
        <w:trPr>
          <w:trHeight w:val="206"/>
        </w:trPr>
        <w:tc>
          <w:tcPr>
            <w:tcW w:w="1820" w:type="dxa"/>
            <w:vAlign w:val="bottom"/>
            <w:gridSpan w:val="3"/>
          </w:tcPr>
          <w:p>
            <w:pPr>
              <w:spacing w:after="0"/>
              <w:rPr>
                <w:sz w:val="20"/>
                <w:szCs w:val="20"/>
                <w:color w:val="auto"/>
              </w:rPr>
            </w:pPr>
            <w:r>
              <w:rPr>
                <w:rFonts w:ascii="Arial" w:cs="Arial" w:eastAsia="Arial" w:hAnsi="Arial"/>
                <w:sz w:val="17"/>
                <w:szCs w:val="17"/>
                <w:color w:val="auto"/>
              </w:rPr>
              <w:t>Chief Administration</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$427,656</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$545,262</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$171,729</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$1,144,647</w:t>
            </w:r>
          </w:p>
        </w:tc>
        <w:tc>
          <w:tcPr>
            <w:tcW w:w="160" w:type="dxa"/>
            <w:vAlign w:val="bottom"/>
          </w:tcPr>
          <w:p>
            <w:pPr>
              <w:spacing w:after="0"/>
              <w:rPr>
                <w:sz w:val="17"/>
                <w:szCs w:val="17"/>
                <w:color w:val="auto"/>
              </w:rPr>
            </w:pPr>
          </w:p>
        </w:tc>
      </w:tr>
      <w:tr>
        <w:trPr>
          <w:trHeight w:val="215"/>
        </w:trPr>
        <w:tc>
          <w:tcPr>
            <w:tcW w:w="1820" w:type="dxa"/>
            <w:vAlign w:val="bottom"/>
            <w:gridSpan w:val="3"/>
          </w:tcPr>
          <w:p>
            <w:pPr>
              <w:spacing w:after="0"/>
              <w:rPr>
                <w:sz w:val="20"/>
                <w:szCs w:val="20"/>
                <w:color w:val="auto"/>
              </w:rPr>
            </w:pPr>
            <w:r>
              <w:rPr>
                <w:rFonts w:ascii="Arial" w:cs="Arial" w:eastAsia="Arial" w:hAnsi="Arial"/>
                <w:sz w:val="17"/>
                <w:szCs w:val="17"/>
                <w:color w:val="auto"/>
              </w:rPr>
              <w:t>Officer</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2014</w:t>
            </w:r>
          </w:p>
        </w:tc>
        <w:tc>
          <w:tcPr>
            <w:tcW w:w="1100" w:type="dxa"/>
            <w:vAlign w:val="bottom"/>
            <w:gridSpan w:val="3"/>
          </w:tcPr>
          <w:p>
            <w:pPr>
              <w:jc w:val="right"/>
              <w:ind w:right="20"/>
              <w:spacing w:after="0" w:line="214" w:lineRule="exact"/>
              <w:rPr>
                <w:sz w:val="20"/>
                <w:szCs w:val="20"/>
                <w:color w:val="auto"/>
              </w:rPr>
            </w:pPr>
            <w:r>
              <w:rPr>
                <w:rFonts w:ascii="Arial" w:cs="Arial" w:eastAsia="Arial" w:hAnsi="Arial"/>
                <w:sz w:val="15"/>
                <w:szCs w:val="15"/>
                <w:color w:val="auto"/>
              </w:rPr>
              <w:t>$444,010</w:t>
            </w:r>
            <w:r>
              <w:rPr>
                <w:rFonts w:ascii="Arial" w:cs="Arial" w:eastAsia="Arial" w:hAnsi="Arial"/>
                <w:sz w:val="24"/>
                <w:szCs w:val="24"/>
                <w:color w:val="auto"/>
                <w:vertAlign w:val="superscript"/>
              </w:rPr>
              <w:t>(10)</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$489,521</w:t>
            </w:r>
          </w:p>
        </w:tc>
        <w:tc>
          <w:tcPr>
            <w:tcW w:w="220" w:type="dxa"/>
            <w:vAlign w:val="bottom"/>
          </w:tcPr>
          <w:p>
            <w:pPr>
              <w:spacing w:after="0"/>
              <w:rPr>
                <w:sz w:val="18"/>
                <w:szCs w:val="18"/>
                <w:color w:val="auto"/>
              </w:rPr>
            </w:pPr>
          </w:p>
        </w:tc>
        <w:tc>
          <w:tcPr>
            <w:tcW w:w="1380" w:type="dxa"/>
            <w:vAlign w:val="bottom"/>
            <w:gridSpan w:val="2"/>
          </w:tcPr>
          <w:p>
            <w:pPr>
              <w:jc w:val="right"/>
              <w:ind w:right="40"/>
              <w:spacing w:after="0" w:line="214" w:lineRule="exact"/>
              <w:rPr>
                <w:sz w:val="20"/>
                <w:szCs w:val="20"/>
                <w:color w:val="auto"/>
              </w:rPr>
            </w:pPr>
            <w:r>
              <w:rPr>
                <w:rFonts w:ascii="Arial" w:cs="Arial" w:eastAsia="Arial" w:hAnsi="Arial"/>
                <w:sz w:val="15"/>
                <w:szCs w:val="15"/>
                <w:color w:val="auto"/>
              </w:rPr>
              <w:t>$378,432</w:t>
            </w:r>
            <w:r>
              <w:rPr>
                <w:rFonts w:ascii="Arial" w:cs="Arial" w:eastAsia="Arial" w:hAnsi="Arial"/>
                <w:sz w:val="24"/>
                <w:szCs w:val="24"/>
                <w:color w:val="auto"/>
                <w:vertAlign w:val="superscript"/>
              </w:rPr>
              <w:t>(11)</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$1,311,963</w:t>
            </w:r>
          </w:p>
        </w:tc>
        <w:tc>
          <w:tcPr>
            <w:tcW w:w="160" w:type="dxa"/>
            <w:vAlign w:val="bottom"/>
          </w:tcPr>
          <w:p>
            <w:pPr>
              <w:spacing w:after="0"/>
              <w:rPr>
                <w:sz w:val="18"/>
                <w:szCs w:val="18"/>
                <w:color w:val="auto"/>
              </w:rPr>
            </w:pPr>
          </w:p>
        </w:tc>
      </w:tr>
      <w:tr>
        <w:trPr>
          <w:trHeight w:val="436"/>
        </w:trPr>
        <w:tc>
          <w:tcPr>
            <w:tcW w:w="20" w:type="dxa"/>
            <w:vAlign w:val="bottom"/>
          </w:tcPr>
          <w:p>
            <w:pPr>
              <w:spacing w:after="0"/>
              <w:rPr>
                <w:sz w:val="24"/>
                <w:szCs w:val="24"/>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Michelle D. Esterman</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$223,564</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$1,009,418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$218,012</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$82,553</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$1,585,217</w:t>
            </w:r>
          </w:p>
        </w:tc>
        <w:tc>
          <w:tcPr>
            <w:tcW w:w="160" w:type="dxa"/>
            <w:vAlign w:val="bottom"/>
            <w:shd w:val="clear" w:color="auto" w:fill="CCEEFF"/>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1800" w:type="dxa"/>
            <w:vAlign w:val="bottom"/>
            <w:gridSpan w:val="2"/>
            <w:shd w:val="clear" w:color="auto" w:fill="CCEEFF"/>
          </w:tcPr>
          <w:p>
            <w:pPr>
              <w:spacing w:after="0" w:line="246" w:lineRule="exact"/>
              <w:rPr>
                <w:sz w:val="20"/>
                <w:szCs w:val="20"/>
                <w:color w:val="auto"/>
              </w:rPr>
            </w:pPr>
            <w:r>
              <w:rPr>
                <w:rFonts w:ascii="Arial" w:cs="Arial" w:eastAsia="Arial" w:hAnsi="Arial"/>
                <w:sz w:val="17"/>
                <w:szCs w:val="17"/>
                <w:color w:val="auto"/>
                <w:w w:val="89"/>
              </w:rPr>
              <w:t>Chief Financial Officer</w:t>
            </w:r>
            <w:r>
              <w:rPr>
                <w:rFonts w:ascii="Arial" w:cs="Arial" w:eastAsia="Arial" w:hAnsi="Arial"/>
                <w:sz w:val="27"/>
                <w:szCs w:val="27"/>
                <w:color w:val="auto"/>
                <w:w w:val="89"/>
                <w:vertAlign w:val="superscript"/>
              </w:rPr>
              <w:t>(12)</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$311,619</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$269,938</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$73,153</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$654,710</w:t>
            </w:r>
          </w:p>
        </w:tc>
        <w:tc>
          <w:tcPr>
            <w:tcW w:w="160" w:type="dxa"/>
            <w:vAlign w:val="bottom"/>
            <w:shd w:val="clear" w:color="auto" w:fill="CCEEFF"/>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2014</w:t>
            </w:r>
          </w:p>
        </w:tc>
        <w:tc>
          <w:tcPr>
            <w:tcW w:w="1100" w:type="dxa"/>
            <w:vAlign w:val="bottom"/>
            <w:gridSpan w:val="3"/>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$364,948</w:t>
            </w:r>
            <w:r>
              <w:rPr>
                <w:rFonts w:ascii="Arial" w:cs="Arial" w:eastAsia="Arial" w:hAnsi="Arial"/>
                <w:sz w:val="23"/>
                <w:szCs w:val="23"/>
                <w:color w:val="auto"/>
                <w:vertAlign w:val="superscript"/>
              </w:rPr>
              <w:t>(13)</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$250,277</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$51,234</w:t>
            </w:r>
            <w:r>
              <w:rPr>
                <w:rFonts w:ascii="Arial" w:cs="Arial" w:eastAsia="Arial" w:hAnsi="Arial"/>
                <w:sz w:val="23"/>
                <w:szCs w:val="23"/>
                <w:color w:val="auto"/>
                <w:vertAlign w:val="superscript"/>
              </w:rPr>
              <w:t>(14)</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$666,459</w:t>
            </w:r>
          </w:p>
        </w:tc>
        <w:tc>
          <w:tcPr>
            <w:tcW w:w="160" w:type="dxa"/>
            <w:vAlign w:val="bottom"/>
            <w:shd w:val="clear" w:color="auto" w:fill="CCEEFF"/>
          </w:tcPr>
          <w:p>
            <w:pPr>
              <w:spacing w:after="0"/>
              <w:rPr>
                <w:sz w:val="17"/>
                <w:szCs w:val="17"/>
                <w:color w:val="auto"/>
              </w:rPr>
            </w:pPr>
          </w:p>
        </w:tc>
      </w:tr>
      <w:tr>
        <w:trPr>
          <w:trHeight w:val="429"/>
        </w:trPr>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Joseph A. Davila</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r>
      <w:tr>
        <w:trPr>
          <w:trHeight w:val="206"/>
        </w:trPr>
        <w:tc>
          <w:tcPr>
            <w:tcW w:w="1820" w:type="dxa"/>
            <w:vAlign w:val="bottom"/>
            <w:gridSpan w:val="3"/>
          </w:tcPr>
          <w:p>
            <w:pPr>
              <w:spacing w:after="0"/>
              <w:rPr>
                <w:sz w:val="20"/>
                <w:szCs w:val="20"/>
                <w:color w:val="auto"/>
              </w:rPr>
            </w:pPr>
            <w:r>
              <w:rPr>
                <w:rFonts w:ascii="Arial" w:cs="Arial" w:eastAsia="Arial" w:hAnsi="Arial"/>
                <w:sz w:val="17"/>
                <w:szCs w:val="17"/>
                <w:color w:val="auto"/>
              </w:rPr>
              <w:t>President, Mortgage</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15"/>
        </w:trPr>
        <w:tc>
          <w:tcPr>
            <w:tcW w:w="1820" w:type="dxa"/>
            <w:vAlign w:val="bottom"/>
            <w:gridSpan w:val="3"/>
          </w:tcPr>
          <w:p>
            <w:pPr>
              <w:spacing w:after="0"/>
              <w:rPr>
                <w:sz w:val="20"/>
                <w:szCs w:val="20"/>
                <w:color w:val="auto"/>
              </w:rPr>
            </w:pPr>
            <w:r>
              <w:rPr>
                <w:rFonts w:ascii="Arial" w:cs="Arial" w:eastAsia="Arial" w:hAnsi="Arial"/>
                <w:sz w:val="17"/>
                <w:szCs w:val="17"/>
                <w:color w:val="auto"/>
              </w:rPr>
              <w:t>Services</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2014</w:t>
            </w:r>
          </w:p>
        </w:tc>
        <w:tc>
          <w:tcPr>
            <w:tcW w:w="1100" w:type="dxa"/>
            <w:vAlign w:val="bottom"/>
            <w:gridSpan w:val="3"/>
          </w:tcPr>
          <w:p>
            <w:pPr>
              <w:jc w:val="right"/>
              <w:ind w:right="20"/>
              <w:spacing w:after="0" w:line="214" w:lineRule="exact"/>
              <w:rPr>
                <w:sz w:val="20"/>
                <w:szCs w:val="20"/>
                <w:color w:val="auto"/>
              </w:rPr>
            </w:pPr>
            <w:r>
              <w:rPr>
                <w:rFonts w:ascii="Arial" w:cs="Arial" w:eastAsia="Arial" w:hAnsi="Arial"/>
                <w:sz w:val="15"/>
                <w:szCs w:val="15"/>
                <w:color w:val="auto"/>
              </w:rPr>
              <w:t>$365,521</w:t>
            </w:r>
            <w:r>
              <w:rPr>
                <w:rFonts w:ascii="Arial" w:cs="Arial" w:eastAsia="Arial" w:hAnsi="Arial"/>
                <w:sz w:val="24"/>
                <w:szCs w:val="24"/>
                <w:color w:val="auto"/>
                <w:vertAlign w:val="superscript"/>
              </w:rPr>
              <w:t>(15)</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$730,306</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$287,676</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line="214" w:lineRule="exact"/>
              <w:rPr>
                <w:sz w:val="20"/>
                <w:szCs w:val="20"/>
                <w:color w:val="auto"/>
              </w:rPr>
            </w:pPr>
            <w:r>
              <w:rPr>
                <w:rFonts w:ascii="Arial" w:cs="Arial" w:eastAsia="Arial" w:hAnsi="Arial"/>
                <w:sz w:val="15"/>
                <w:szCs w:val="15"/>
                <w:color w:val="auto"/>
              </w:rPr>
              <w:t>$66,266</w:t>
            </w:r>
            <w:r>
              <w:rPr>
                <w:rFonts w:ascii="Arial" w:cs="Arial" w:eastAsia="Arial" w:hAnsi="Arial"/>
                <w:sz w:val="24"/>
                <w:szCs w:val="24"/>
                <w:color w:val="auto"/>
                <w:vertAlign w:val="superscript"/>
              </w:rPr>
              <w:t>(16)</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$1,449,769</w:t>
            </w:r>
          </w:p>
        </w:tc>
        <w:tc>
          <w:tcPr>
            <w:tcW w:w="160" w:type="dxa"/>
            <w:vAlign w:val="bottom"/>
          </w:tcPr>
          <w:p>
            <w:pPr>
              <w:spacing w:after="0"/>
              <w:rPr>
                <w:sz w:val="18"/>
                <w:szCs w:val="18"/>
                <w:color w:val="auto"/>
              </w:rPr>
            </w:pPr>
          </w:p>
        </w:tc>
      </w:tr>
      <w:tr>
        <w:trPr>
          <w:trHeight w:val="436"/>
        </w:trPr>
        <w:tc>
          <w:tcPr>
            <w:tcW w:w="20" w:type="dxa"/>
            <w:vAlign w:val="bottom"/>
          </w:tcPr>
          <w:p>
            <w:pPr>
              <w:spacing w:after="0"/>
              <w:rPr>
                <w:sz w:val="24"/>
                <w:szCs w:val="24"/>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Mark J. Hynes</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President, Technology</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2014</w:t>
            </w:r>
          </w:p>
        </w:tc>
        <w:tc>
          <w:tcPr>
            <w:tcW w:w="1100" w:type="dxa"/>
            <w:vAlign w:val="bottom"/>
            <w:gridSpan w:val="3"/>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$326,521</w:t>
            </w:r>
            <w:r>
              <w:rPr>
                <w:rFonts w:ascii="Arial" w:cs="Arial" w:eastAsia="Arial" w:hAnsi="Arial"/>
                <w:sz w:val="23"/>
                <w:szCs w:val="23"/>
                <w:color w:val="auto"/>
                <w:vertAlign w:val="superscript"/>
              </w:rPr>
              <w:t>(17)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$217,820</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$53,727</w:t>
            </w:r>
            <w:r>
              <w:rPr>
                <w:rFonts w:ascii="Arial" w:cs="Arial" w:eastAsia="Arial" w:hAnsi="Arial"/>
                <w:sz w:val="23"/>
                <w:szCs w:val="23"/>
                <w:color w:val="auto"/>
                <w:vertAlign w:val="superscript"/>
              </w:rPr>
              <w:t>(18)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$598,068</w:t>
            </w:r>
          </w:p>
        </w:tc>
        <w:tc>
          <w:tcPr>
            <w:tcW w:w="160" w:type="dxa"/>
            <w:vAlign w:val="bottom"/>
            <w:shd w:val="clear" w:color="auto" w:fill="CCEEFF"/>
          </w:tcPr>
          <w:p>
            <w:pPr>
              <w:spacing w:after="0"/>
              <w:rPr>
                <w:sz w:val="17"/>
                <w:szCs w:val="17"/>
                <w:color w:val="auto"/>
              </w:rPr>
            </w:pPr>
          </w:p>
        </w:tc>
      </w:tr>
    </w:tbl>
    <w:p>
      <w:pPr>
        <w:spacing w:after="0" w:line="89" w:lineRule="exact"/>
        <w:rPr>
          <w:sz w:val="20"/>
          <w:szCs w:val="20"/>
          <w:color w:val="auto"/>
        </w:rPr>
      </w:pPr>
    </w:p>
    <w:p>
      <w:pPr>
        <w:ind w:left="1660" w:hanging="515"/>
        <w:spacing w:after="0"/>
        <w:tabs>
          <w:tab w:leader="none" w:pos="1660" w:val="left"/>
        </w:tabs>
        <w:numPr>
          <w:ilvl w:val="0"/>
          <w:numId w:val="37"/>
        </w:numPr>
        <w:rPr>
          <w:rFonts w:ascii="Arial" w:cs="Arial" w:eastAsia="Arial" w:hAnsi="Arial"/>
          <w:sz w:val="28"/>
          <w:szCs w:val="28"/>
          <w:color w:val="auto"/>
          <w:vertAlign w:val="superscript"/>
        </w:rPr>
      </w:pPr>
      <w:r>
        <w:rPr>
          <w:rFonts w:ascii="Arial" w:cs="Arial" w:eastAsia="Arial" w:hAnsi="Arial"/>
          <w:sz w:val="17"/>
          <w:szCs w:val="17"/>
          <w:color w:val="auto"/>
        </w:rPr>
        <w:t>Represents amounts earned in corresponding year.</w:t>
      </w:r>
    </w:p>
    <w:p>
      <w:pPr>
        <w:spacing w:after="0" w:line="211" w:lineRule="exact"/>
        <w:rPr>
          <w:rFonts w:ascii="Arial" w:cs="Arial" w:eastAsia="Arial" w:hAnsi="Arial"/>
          <w:sz w:val="28"/>
          <w:szCs w:val="28"/>
          <w:color w:val="auto"/>
          <w:vertAlign w:val="superscript"/>
        </w:rPr>
      </w:pPr>
    </w:p>
    <w:p>
      <w:pPr>
        <w:ind w:left="1660" w:right="80" w:hanging="515"/>
        <w:spacing w:after="0" w:line="210" w:lineRule="auto"/>
        <w:tabs>
          <w:tab w:leader="none" w:pos="1660" w:val="left"/>
        </w:tabs>
        <w:numPr>
          <w:ilvl w:val="0"/>
          <w:numId w:val="37"/>
        </w:numPr>
        <w:rPr>
          <w:rFonts w:ascii="Arial" w:cs="Arial" w:eastAsia="Arial" w:hAnsi="Arial"/>
          <w:sz w:val="28"/>
          <w:szCs w:val="28"/>
          <w:color w:val="auto"/>
          <w:vertAlign w:val="superscript"/>
        </w:rPr>
      </w:pPr>
      <w:r>
        <w:rPr>
          <w:rFonts w:ascii="Arial" w:cs="Arial" w:eastAsia="Arial" w:hAnsi="Arial"/>
          <w:sz w:val="17"/>
          <w:szCs w:val="17"/>
          <w:color w:val="auto"/>
        </w:rPr>
        <w:t>Represents the grant date fair value of restricted common stock in AAMC, our former subsidiary, (the "AAMC Restricted Stock") granted to our named executive officers on December 11, 2012. We determined the grant date fair value of these stock awards using a Monte Carlo simulation valuation methodology.</w:t>
      </w:r>
    </w:p>
    <w:p>
      <w:pPr>
        <w:spacing w:after="0" w:line="200" w:lineRule="exact"/>
        <w:rPr>
          <w:rFonts w:ascii="Arial" w:cs="Arial" w:eastAsia="Arial" w:hAnsi="Arial"/>
          <w:sz w:val="28"/>
          <w:szCs w:val="28"/>
          <w:color w:val="auto"/>
          <w:vertAlign w:val="superscript"/>
        </w:rPr>
      </w:pPr>
    </w:p>
    <w:p>
      <w:pPr>
        <w:ind w:left="1660" w:right="140" w:hanging="515"/>
        <w:spacing w:after="0" w:line="237" w:lineRule="auto"/>
        <w:tabs>
          <w:tab w:leader="none" w:pos="1660" w:val="left"/>
        </w:tabs>
        <w:numPr>
          <w:ilvl w:val="0"/>
          <w:numId w:val="37"/>
        </w:numPr>
        <w:rPr>
          <w:rFonts w:ascii="Arial" w:cs="Arial" w:eastAsia="Arial" w:hAnsi="Arial"/>
          <w:sz w:val="25"/>
          <w:szCs w:val="25"/>
          <w:color w:val="auto"/>
          <w:vertAlign w:val="superscript"/>
        </w:rPr>
      </w:pPr>
      <w:r>
        <w:rPr>
          <w:rFonts w:ascii="Arial" w:cs="Arial" w:eastAsia="Arial" w:hAnsi="Arial"/>
          <w:sz w:val="15"/>
          <w:szCs w:val="15"/>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2012 and 2014 using a Black-Scholes option-pricing model and a binomial option pricing model utilizing the following assumptions: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Service-Based Awards - Black-Scholes Option Pricing Model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left="116"/>
              <w:spacing w:after="0" w:line="188" w:lineRule="exact"/>
              <w:rPr>
                <w:sz w:val="20"/>
                <w:szCs w:val="20"/>
                <w:color w:val="auto"/>
              </w:rPr>
            </w:pPr>
            <w:r>
              <w:rPr>
                <w:rFonts w:ascii="Arial" w:cs="Arial" w:eastAsia="Arial" w:hAnsi="Arial"/>
                <w:sz w:val="17"/>
                <w:szCs w:val="17"/>
                <w:b w:val="1"/>
                <w:bCs w:val="1"/>
                <w:color w:val="auto"/>
                <w:w w:val="87"/>
              </w:rPr>
              <w:t>Expected</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0"/>
              </w:rPr>
              <w:t>Risk-Free</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c>
          <w:tcPr>
            <w:tcW w:w="1720" w:type="dxa"/>
            <w:vAlign w:val="bottom"/>
          </w:tcPr>
          <w:p>
            <w:pPr>
              <w:spacing w:after="0"/>
              <w:rPr>
                <w:sz w:val="16"/>
                <w:szCs w:val="16"/>
                <w:color w:val="auto"/>
              </w:rPr>
            </w:pPr>
          </w:p>
        </w:tc>
      </w:tr>
      <w:tr>
        <w:trPr>
          <w:trHeight w:val="206"/>
        </w:trPr>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88"/>
              </w:rPr>
              <w:t>Performance</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0"/>
              </w:rPr>
              <w:t>Volatility</w:t>
            </w:r>
          </w:p>
        </w:tc>
        <w:tc>
          <w:tcPr>
            <w:tcW w:w="160" w:type="dxa"/>
            <w:vAlign w:val="bottom"/>
          </w:tcPr>
          <w:p>
            <w:pPr>
              <w:spacing w:after="0"/>
              <w:rPr>
                <w:sz w:val="17"/>
                <w:szCs w:val="17"/>
                <w:color w:val="auto"/>
              </w:rPr>
            </w:pPr>
          </w:p>
        </w:tc>
        <w:tc>
          <w:tcPr>
            <w:tcW w:w="1100" w:type="dxa"/>
            <w:vAlign w:val="bottom"/>
          </w:tcPr>
          <w:p>
            <w:pPr>
              <w:jc w:val="center"/>
              <w:ind w:left="116"/>
              <w:spacing w:after="0"/>
              <w:rPr>
                <w:sz w:val="20"/>
                <w:szCs w:val="20"/>
                <w:color w:val="auto"/>
              </w:rPr>
            </w:pPr>
            <w:r>
              <w:rPr>
                <w:rFonts w:ascii="Arial" w:cs="Arial" w:eastAsia="Arial" w:hAnsi="Arial"/>
                <w:sz w:val="17"/>
                <w:szCs w:val="17"/>
                <w:b w:val="1"/>
                <w:bCs w:val="1"/>
                <w:color w:val="auto"/>
                <w:w w:val="91"/>
              </w:rPr>
              <w:t>Dividend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85"/>
              </w:rPr>
              <w:t>Exercise Price</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87"/>
              </w:rPr>
              <w:t>Interest</w:t>
            </w:r>
          </w:p>
        </w:tc>
        <w:tc>
          <w:tcPr>
            <w:tcW w:w="160" w:type="dxa"/>
            <w:vAlign w:val="bottom"/>
          </w:tcPr>
          <w:p>
            <w:pPr>
              <w:spacing w:after="0"/>
              <w:rPr>
                <w:sz w:val="17"/>
                <w:szCs w:val="17"/>
                <w:color w:val="auto"/>
              </w:rPr>
            </w:pPr>
          </w:p>
        </w:tc>
        <w:tc>
          <w:tcPr>
            <w:tcW w:w="2940" w:type="dxa"/>
            <w:vAlign w:val="bottom"/>
            <w:gridSpan w:val="2"/>
          </w:tcPr>
          <w:p>
            <w:pPr>
              <w:jc w:val="center"/>
              <w:ind w:right="1700"/>
              <w:spacing w:after="0"/>
              <w:rPr>
                <w:sz w:val="20"/>
                <w:szCs w:val="20"/>
                <w:color w:val="auto"/>
              </w:rPr>
            </w:pPr>
            <w:r>
              <w:rPr>
                <w:rFonts w:ascii="Arial" w:cs="Arial" w:eastAsia="Arial" w:hAnsi="Arial"/>
                <w:sz w:val="17"/>
                <w:szCs w:val="17"/>
                <w:b w:val="1"/>
                <w:bCs w:val="1"/>
                <w:color w:val="auto"/>
                <w:w w:val="91"/>
              </w:rPr>
              <w:t>Term in</w:t>
            </w:r>
          </w:p>
        </w:tc>
      </w:tr>
      <w:tr>
        <w:trPr>
          <w:trHeight w:val="218"/>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Year</w:t>
            </w:r>
          </w:p>
        </w:tc>
        <w:tc>
          <w:tcPr>
            <w:tcW w:w="52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center"/>
              <w:ind w:left="116"/>
              <w:spacing w:after="0"/>
              <w:rPr>
                <w:sz w:val="20"/>
                <w:szCs w:val="20"/>
                <w:color w:val="auto"/>
              </w:rPr>
            </w:pPr>
            <w:r>
              <w:rPr>
                <w:rFonts w:ascii="Arial" w:cs="Arial" w:eastAsia="Arial" w:hAnsi="Arial"/>
                <w:sz w:val="17"/>
                <w:szCs w:val="17"/>
                <w:b w:val="1"/>
                <w:bCs w:val="1"/>
                <w:color w:val="auto"/>
                <w:w w:val="97"/>
              </w:rPr>
              <w:t>Yield (%)</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Rate (%)</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Years</w:t>
            </w:r>
          </w:p>
        </w:tc>
        <w:tc>
          <w:tcPr>
            <w:tcW w:w="1720" w:type="dxa"/>
            <w:vAlign w:val="bottom"/>
          </w:tcPr>
          <w:p>
            <w:pPr>
              <w:spacing w:after="0"/>
              <w:rPr>
                <w:sz w:val="18"/>
                <w:szCs w:val="18"/>
                <w:color w:val="auto"/>
              </w:rPr>
            </w:pPr>
          </w:p>
        </w:tc>
      </w:tr>
      <w:tr>
        <w:trPr>
          <w:trHeight w:val="200"/>
        </w:trPr>
        <w:tc>
          <w:tcPr>
            <w:tcW w:w="1720" w:type="dxa"/>
            <w:vAlign w:val="bottom"/>
          </w:tcPr>
          <w:p>
            <w:pPr>
              <w:spacing w:after="0"/>
              <w:rPr>
                <w:sz w:val="17"/>
                <w:szCs w:val="17"/>
                <w:color w:val="auto"/>
              </w:rPr>
            </w:pPr>
          </w:p>
        </w:tc>
        <w:tc>
          <w:tcPr>
            <w:tcW w:w="128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w w:val="89"/>
              </w:rPr>
              <w:t>2012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16"/>
              <w:spacing w:after="0"/>
              <w:rPr>
                <w:sz w:val="20"/>
                <w:szCs w:val="20"/>
                <w:color w:val="auto"/>
              </w:rPr>
            </w:pPr>
            <w:r>
              <w:rPr>
                <w:rFonts w:ascii="Arial" w:cs="Arial" w:eastAsia="Arial" w:hAnsi="Arial"/>
                <w:sz w:val="17"/>
                <w:szCs w:val="17"/>
                <w:color w:val="auto"/>
                <w:w w:val="93"/>
              </w:rPr>
              <w:t>35%</w:t>
            </w:r>
          </w:p>
        </w:tc>
        <w:tc>
          <w:tcPr>
            <w:tcW w:w="1260" w:type="dxa"/>
            <w:vAlign w:val="bottom"/>
            <w:gridSpan w:val="2"/>
            <w:shd w:val="clear" w:color="auto" w:fill="CCEEFF"/>
          </w:tcPr>
          <w:p>
            <w:pPr>
              <w:jc w:val="center"/>
              <w:ind w:left="276"/>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center"/>
              <w:ind w:left="376"/>
              <w:spacing w:after="0"/>
              <w:rPr>
                <w:sz w:val="20"/>
                <w:szCs w:val="20"/>
                <w:color w:val="auto"/>
              </w:rPr>
            </w:pPr>
            <w:r>
              <w:rPr>
                <w:rFonts w:ascii="Arial" w:cs="Arial" w:eastAsia="Arial" w:hAnsi="Arial"/>
                <w:sz w:val="17"/>
                <w:szCs w:val="17"/>
                <w:color w:val="auto"/>
                <w:w w:val="88"/>
              </w:rPr>
              <w:t>$63.43</w:t>
            </w:r>
          </w:p>
        </w:tc>
        <w:tc>
          <w:tcPr>
            <w:tcW w:w="13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91"/>
              </w:rPr>
              <w:t>1.17%</w:t>
            </w:r>
          </w:p>
        </w:tc>
        <w:tc>
          <w:tcPr>
            <w:tcW w:w="13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0"/>
              </w:rPr>
              <w:t>6.25</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280" w:type="dxa"/>
            <w:vAlign w:val="bottom"/>
            <w:gridSpan w:val="2"/>
          </w:tcPr>
          <w:p>
            <w:pPr>
              <w:jc w:val="center"/>
              <w:ind w:left="296"/>
              <w:spacing w:after="0"/>
              <w:rPr>
                <w:sz w:val="20"/>
                <w:szCs w:val="20"/>
                <w:color w:val="auto"/>
              </w:rPr>
            </w:pPr>
            <w:r>
              <w:rPr>
                <w:rFonts w:ascii="Arial" w:cs="Arial" w:eastAsia="Arial" w:hAnsi="Arial"/>
                <w:sz w:val="17"/>
                <w:szCs w:val="17"/>
                <w:color w:val="auto"/>
                <w:w w:val="89"/>
              </w:rPr>
              <w:t>2013</w:t>
            </w:r>
          </w:p>
        </w:tc>
        <w:tc>
          <w:tcPr>
            <w:tcW w:w="520" w:type="dxa"/>
            <w:vAlign w:val="bottom"/>
          </w:tcPr>
          <w:p>
            <w:pPr>
              <w:spacing w:after="0"/>
              <w:rPr>
                <w:sz w:val="17"/>
                <w:szCs w:val="17"/>
                <w:color w:val="auto"/>
              </w:rPr>
            </w:pPr>
          </w:p>
        </w:tc>
        <w:tc>
          <w:tcPr>
            <w:tcW w:w="740" w:type="dxa"/>
            <w:vAlign w:val="bottom"/>
          </w:tcPr>
          <w:p>
            <w:pPr>
              <w:jc w:val="center"/>
              <w:ind w:left="36"/>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center"/>
              <w:ind w:left="276"/>
              <w:spacing w:after="0"/>
              <w:rPr>
                <w:sz w:val="20"/>
                <w:szCs w:val="20"/>
                <w:color w:val="auto"/>
              </w:rPr>
            </w:pPr>
            <w:r>
              <w:rPr>
                <w:rFonts w:ascii="Arial" w:cs="Arial" w:eastAsia="Arial" w:hAnsi="Arial"/>
                <w:sz w:val="17"/>
                <w:szCs w:val="17"/>
                <w:color w:val="auto"/>
              </w:rPr>
              <w:t>-</w:t>
            </w:r>
          </w:p>
        </w:tc>
        <w:tc>
          <w:tcPr>
            <w:tcW w:w="1440" w:type="dxa"/>
            <w:vAlign w:val="bottom"/>
            <w:gridSpan w:val="3"/>
          </w:tcPr>
          <w:p>
            <w:pPr>
              <w:jc w:val="center"/>
              <w:ind w:left="376"/>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128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w w:val="89"/>
              </w:rPr>
              <w:t>2014</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16"/>
              <w:spacing w:after="0"/>
              <w:rPr>
                <w:sz w:val="20"/>
                <w:szCs w:val="20"/>
                <w:color w:val="auto"/>
              </w:rPr>
            </w:pPr>
            <w:r>
              <w:rPr>
                <w:rFonts w:ascii="Arial" w:cs="Arial" w:eastAsia="Arial" w:hAnsi="Arial"/>
                <w:sz w:val="17"/>
                <w:szCs w:val="17"/>
                <w:color w:val="auto"/>
                <w:w w:val="93"/>
              </w:rPr>
              <w:t>38%</w:t>
            </w:r>
          </w:p>
        </w:tc>
        <w:tc>
          <w:tcPr>
            <w:tcW w:w="1260" w:type="dxa"/>
            <w:vAlign w:val="bottom"/>
            <w:gridSpan w:val="2"/>
            <w:shd w:val="clear" w:color="auto" w:fill="CCEEFF"/>
          </w:tcPr>
          <w:p>
            <w:pPr>
              <w:jc w:val="center"/>
              <w:ind w:left="276"/>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center"/>
              <w:ind w:left="376"/>
              <w:spacing w:after="0"/>
              <w:rPr>
                <w:sz w:val="20"/>
                <w:szCs w:val="20"/>
                <w:color w:val="auto"/>
              </w:rPr>
            </w:pPr>
            <w:r>
              <w:rPr>
                <w:rFonts w:ascii="Arial" w:cs="Arial" w:eastAsia="Arial" w:hAnsi="Arial"/>
                <w:sz w:val="17"/>
                <w:szCs w:val="17"/>
                <w:color w:val="auto"/>
                <w:w w:val="87"/>
              </w:rPr>
              <w:t>$105.11</w:t>
            </w:r>
          </w:p>
        </w:tc>
        <w:tc>
          <w:tcPr>
            <w:tcW w:w="13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91"/>
              </w:rPr>
              <w:t>1.80%</w:t>
            </w:r>
          </w:p>
        </w:tc>
        <w:tc>
          <w:tcPr>
            <w:tcW w:w="13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0"/>
              </w:rPr>
              <w:t>6.25</w:t>
            </w:r>
          </w:p>
        </w:tc>
        <w:tc>
          <w:tcPr>
            <w:tcW w:w="1720" w:type="dxa"/>
            <w:vAlign w:val="bottom"/>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6"/>
              <w:spacing w:after="0"/>
              <w:rPr>
                <w:sz w:val="20"/>
                <w:szCs w:val="20"/>
                <w:color w:val="auto"/>
              </w:rPr>
            </w:pPr>
            <w:r>
              <w:rPr>
                <w:rFonts w:ascii="Arial" w:cs="Arial" w:eastAsia="Arial" w:hAnsi="Arial"/>
                <w:sz w:val="17"/>
                <w:szCs w:val="17"/>
                <w:color w:val="auto"/>
                <w:w w:val="93"/>
              </w:rPr>
              <w:t>40%</w:t>
            </w:r>
          </w:p>
        </w:tc>
        <w:tc>
          <w:tcPr>
            <w:tcW w:w="1260" w:type="dxa"/>
            <w:vAlign w:val="bottom"/>
            <w:gridSpan w:val="2"/>
            <w:shd w:val="clear" w:color="auto" w:fill="CCEEFF"/>
          </w:tcPr>
          <w:p>
            <w:pPr>
              <w:jc w:val="center"/>
              <w:ind w:left="276"/>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center"/>
              <w:ind w:left="376"/>
              <w:spacing w:after="0"/>
              <w:rPr>
                <w:sz w:val="20"/>
                <w:szCs w:val="20"/>
                <w:color w:val="auto"/>
              </w:rPr>
            </w:pPr>
            <w:r>
              <w:rPr>
                <w:rFonts w:ascii="Arial" w:cs="Arial" w:eastAsia="Arial" w:hAnsi="Arial"/>
                <w:sz w:val="17"/>
                <w:szCs w:val="17"/>
                <w:color w:val="auto"/>
                <w:w w:val="88"/>
              </w:rPr>
              <w:t>$72.78</w:t>
            </w:r>
          </w:p>
        </w:tc>
        <w:tc>
          <w:tcPr>
            <w:tcW w:w="13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91"/>
              </w:rPr>
              <w:t>1.86%</w:t>
            </w:r>
          </w:p>
        </w:tc>
        <w:tc>
          <w:tcPr>
            <w:tcW w:w="13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0"/>
              </w:rPr>
              <w:t>6.25</w:t>
            </w:r>
          </w:p>
        </w:tc>
        <w:tc>
          <w:tcPr>
            <w:tcW w:w="1720" w:type="dxa"/>
            <w:vAlign w:val="bottom"/>
          </w:tcPr>
          <w:p>
            <w:pPr>
              <w:spacing w:after="0"/>
              <w:rPr>
                <w:sz w:val="18"/>
                <w:szCs w:val="18"/>
                <w:color w:val="auto"/>
              </w:rPr>
            </w:pPr>
          </w:p>
        </w:tc>
      </w:tr>
      <w:tr>
        <w:trPr>
          <w:trHeight w:val="411"/>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41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7"/>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2" w:name="page43"/>
    <w:bookmarkEnd w:id="42"/>
    <w:p>
      <w:pPr>
        <w:ind w:left="2575"/>
        <w:spacing w:after="0"/>
        <w:rPr>
          <w:sz w:val="20"/>
          <w:szCs w:val="20"/>
          <w:color w:val="auto"/>
        </w:rPr>
      </w:pPr>
      <w:r>
        <w:rPr>
          <w:rFonts w:ascii="Arial" w:cs="Arial" w:eastAsia="Arial" w:hAnsi="Arial"/>
          <w:sz w:val="17"/>
          <w:szCs w:val="17"/>
          <w:b w:val="1"/>
          <w:bCs w:val="1"/>
          <w:color w:val="auto"/>
        </w:rPr>
        <w:t>Market-Based Awards - Binomial Option Pricing Model</w:t>
      </w:r>
    </w:p>
    <w:p>
      <w:pPr>
        <w:spacing w:after="0" w:line="22" w:lineRule="exact"/>
        <w:rPr>
          <w:sz w:val="20"/>
          <w:szCs w:val="20"/>
          <w:color w:val="auto"/>
        </w:rPr>
      </w:pPr>
    </w:p>
    <w:tbl>
      <w:tblPr>
        <w:tblLayout w:type="fixed"/>
        <w:tblInd w:w="575" w:type="dxa"/>
        <w:tblCellMar>
          <w:top w:w="0" w:type="dxa"/>
          <w:left w:w="0" w:type="dxa"/>
          <w:bottom w:w="0" w:type="dxa"/>
          <w:right w:w="0" w:type="dxa"/>
        </w:tblCellMar>
      </w:tblPr>
      <w:tr>
        <w:trPr>
          <w:trHeight w:val="188"/>
        </w:trPr>
        <w:tc>
          <w:tcPr>
            <w:tcW w:w="5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9"/>
              </w:rPr>
              <w:t>Expected</w:t>
            </w: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88" w:lineRule="exact"/>
              <w:rPr>
                <w:sz w:val="20"/>
                <w:szCs w:val="20"/>
                <w:color w:val="auto"/>
              </w:rPr>
            </w:pPr>
            <w:r>
              <w:rPr>
                <w:rFonts w:ascii="Arial" w:cs="Arial" w:eastAsia="Arial" w:hAnsi="Arial"/>
                <w:sz w:val="17"/>
                <w:szCs w:val="17"/>
                <w:b w:val="1"/>
                <w:bCs w:val="1"/>
                <w:color w:val="auto"/>
                <w:w w:val="90"/>
              </w:rPr>
              <w:t>Risk-Free</w:t>
            </w: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1"/>
              </w:rPr>
              <w:t>Contract</w:t>
            </w:r>
          </w:p>
        </w:tc>
      </w:tr>
      <w:tr>
        <w:trPr>
          <w:trHeight w:val="206"/>
        </w:trPr>
        <w:tc>
          <w:tcPr>
            <w:tcW w:w="21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8"/>
              </w:rPr>
              <w:t>Performance</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0"/>
              </w:rPr>
              <w:t>Volatility</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89"/>
              </w:rPr>
              <w:t>Dividend</w:t>
            </w:r>
          </w:p>
        </w:tc>
        <w:tc>
          <w:tcPr>
            <w:tcW w:w="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85"/>
              </w:rPr>
              <w:t>Exercise Price</w:t>
            </w:r>
          </w:p>
        </w:tc>
        <w:tc>
          <w:tcPr>
            <w:tcW w:w="16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Interest</w:t>
            </w: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91"/>
              </w:rPr>
              <w:t>Term in</w:t>
            </w:r>
          </w:p>
        </w:tc>
      </w:tr>
      <w:tr>
        <w:trPr>
          <w:trHeight w:val="218"/>
        </w:trPr>
        <w:tc>
          <w:tcPr>
            <w:tcW w:w="54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Year</w:t>
            </w:r>
          </w:p>
        </w:tc>
        <w:tc>
          <w:tcPr>
            <w:tcW w:w="6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Yield (%)</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6"/>
              </w:rPr>
              <w:t>Rate (%)</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Years</w:t>
            </w:r>
          </w:p>
        </w:tc>
      </w:tr>
      <w:tr>
        <w:trPr>
          <w:trHeight w:val="200"/>
        </w:trPr>
        <w:tc>
          <w:tcPr>
            <w:tcW w:w="1440" w:type="dxa"/>
            <w:vAlign w:val="bottom"/>
            <w:gridSpan w:val="2"/>
            <w:shd w:val="clear" w:color="auto" w:fill="CCEEFF"/>
          </w:tcPr>
          <w:p>
            <w:pPr>
              <w:jc w:val="center"/>
              <w:ind w:left="456"/>
              <w:spacing w:after="0"/>
              <w:rPr>
                <w:sz w:val="20"/>
                <w:szCs w:val="20"/>
                <w:color w:val="auto"/>
              </w:rPr>
            </w:pPr>
            <w:r>
              <w:rPr>
                <w:rFonts w:ascii="Arial" w:cs="Arial" w:eastAsia="Arial" w:hAnsi="Arial"/>
                <w:sz w:val="17"/>
                <w:szCs w:val="17"/>
                <w:color w:val="auto"/>
                <w:w w:val="89"/>
              </w:rPr>
              <w:t>2012</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88"/>
              </w:rPr>
              <w:t>35%</w:t>
            </w:r>
          </w:p>
        </w:tc>
        <w:tc>
          <w:tcPr>
            <w:tcW w:w="170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74"/>
              </w:rPr>
              <w:t>-</w:t>
            </w:r>
          </w:p>
        </w:tc>
        <w:tc>
          <w:tcPr>
            <w:tcW w:w="12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88"/>
              </w:rPr>
              <w:t>$63.43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- 2.04%</w:t>
            </w:r>
          </w:p>
        </w:tc>
        <w:tc>
          <w:tcPr>
            <w:tcW w:w="80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84"/>
              </w:rPr>
              <w:t>14</w:t>
            </w:r>
          </w:p>
        </w:tc>
      </w:tr>
      <w:tr>
        <w:trPr>
          <w:trHeight w:val="206"/>
        </w:trPr>
        <w:tc>
          <w:tcPr>
            <w:tcW w:w="1440" w:type="dxa"/>
            <w:vAlign w:val="bottom"/>
            <w:gridSpan w:val="2"/>
          </w:tcPr>
          <w:p>
            <w:pPr>
              <w:jc w:val="center"/>
              <w:ind w:left="456"/>
              <w:spacing w:after="0"/>
              <w:rPr>
                <w:sz w:val="20"/>
                <w:szCs w:val="20"/>
                <w:color w:val="auto"/>
              </w:rPr>
            </w:pPr>
            <w:r>
              <w:rPr>
                <w:rFonts w:ascii="Arial" w:cs="Arial" w:eastAsia="Arial" w:hAnsi="Arial"/>
                <w:sz w:val="17"/>
                <w:szCs w:val="17"/>
                <w:color w:val="auto"/>
                <w:w w:val="89"/>
              </w:rPr>
              <w:t>2013</w:t>
            </w:r>
          </w:p>
        </w:tc>
        <w:tc>
          <w:tcPr>
            <w:tcW w:w="680" w:type="dxa"/>
            <w:vAlign w:val="bottom"/>
          </w:tcPr>
          <w:p>
            <w:pPr>
              <w:spacing w:after="0"/>
              <w:rPr>
                <w:sz w:val="17"/>
                <w:szCs w:val="17"/>
                <w:color w:val="auto"/>
              </w:rPr>
            </w:pPr>
          </w:p>
        </w:tc>
        <w:tc>
          <w:tcPr>
            <w:tcW w:w="740" w:type="dxa"/>
            <w:vAlign w:val="bottom"/>
          </w:tcPr>
          <w:p>
            <w:pPr>
              <w:jc w:val="center"/>
              <w:ind w:left="36"/>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center"/>
              <w:ind w:left="102"/>
              <w:spacing w:after="0"/>
              <w:rPr>
                <w:sz w:val="20"/>
                <w:szCs w:val="20"/>
                <w:color w:val="auto"/>
              </w:rPr>
            </w:pPr>
            <w:r>
              <w:rPr>
                <w:rFonts w:ascii="Arial" w:cs="Arial" w:eastAsia="Arial" w:hAnsi="Arial"/>
                <w:sz w:val="16"/>
                <w:szCs w:val="16"/>
                <w:color w:val="auto"/>
                <w:w w:val="74"/>
              </w:rPr>
              <w:t>-</w:t>
            </w:r>
          </w:p>
        </w:tc>
        <w:tc>
          <w:tcPr>
            <w:tcW w:w="1260" w:type="dxa"/>
            <w:vAlign w:val="bottom"/>
            <w:gridSpan w:val="2"/>
          </w:tcPr>
          <w:p>
            <w:pPr>
              <w:jc w:val="center"/>
              <w:ind w:left="19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r>
      <w:tr>
        <w:trPr>
          <w:trHeight w:val="206"/>
        </w:trPr>
        <w:tc>
          <w:tcPr>
            <w:tcW w:w="1440" w:type="dxa"/>
            <w:vAlign w:val="bottom"/>
            <w:gridSpan w:val="2"/>
            <w:shd w:val="clear" w:color="auto" w:fill="CCEEFF"/>
          </w:tcPr>
          <w:p>
            <w:pPr>
              <w:jc w:val="center"/>
              <w:ind w:left="456"/>
              <w:spacing w:after="0"/>
              <w:rPr>
                <w:sz w:val="20"/>
                <w:szCs w:val="20"/>
                <w:color w:val="auto"/>
              </w:rPr>
            </w:pPr>
            <w:r>
              <w:rPr>
                <w:rFonts w:ascii="Arial" w:cs="Arial" w:eastAsia="Arial" w:hAnsi="Arial"/>
                <w:sz w:val="17"/>
                <w:szCs w:val="17"/>
                <w:color w:val="auto"/>
                <w:w w:val="89"/>
              </w:rPr>
              <w:t>2014</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88"/>
              </w:rPr>
              <w:t>40%</w:t>
            </w:r>
          </w:p>
        </w:tc>
        <w:tc>
          <w:tcPr>
            <w:tcW w:w="170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74"/>
              </w:rPr>
              <w:t>-</w:t>
            </w:r>
          </w:p>
        </w:tc>
        <w:tc>
          <w:tcPr>
            <w:tcW w:w="12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88"/>
              </w:rPr>
              <w:t>$72.78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- 2.38%</w:t>
            </w:r>
          </w:p>
        </w:tc>
        <w:tc>
          <w:tcPr>
            <w:tcW w:w="80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84"/>
              </w:rPr>
              <w:t>14</w:t>
            </w:r>
          </w:p>
        </w:tc>
      </w:tr>
    </w:tbl>
    <w:p>
      <w:pPr>
        <w:spacing w:after="0" w:line="197" w:lineRule="exact"/>
        <w:rPr>
          <w:sz w:val="20"/>
          <w:szCs w:val="20"/>
          <w:color w:val="auto"/>
        </w:rPr>
      </w:pPr>
    </w:p>
    <w:p>
      <w:pPr>
        <w:ind w:left="515" w:right="140" w:hanging="515"/>
        <w:spacing w:after="0" w:line="210" w:lineRule="auto"/>
        <w:tabs>
          <w:tab w:leader="none" w:pos="515" w:val="left"/>
        </w:tabs>
        <w:numPr>
          <w:ilvl w:val="0"/>
          <w:numId w:val="38"/>
        </w:numPr>
        <w:rPr>
          <w:rFonts w:ascii="Arial" w:cs="Arial" w:eastAsia="Arial" w:hAnsi="Arial"/>
          <w:sz w:val="28"/>
          <w:szCs w:val="28"/>
          <w:color w:val="auto"/>
          <w:vertAlign w:val="superscript"/>
        </w:rPr>
      </w:pPr>
      <w:r>
        <w:rPr>
          <w:rFonts w:ascii="Arial" w:cs="Arial" w:eastAsia="Arial" w:hAnsi="Arial"/>
          <w:sz w:val="17"/>
          <w:szCs w:val="17"/>
          <w:color w:val="auto"/>
        </w:rPr>
        <w:t>Outstanding Altisource stock options were adjusted to reflect the distribution of AAMC and Residential stock to Altisource shareholders in two spin-off transactions completed on December 21, 2012. All holders of Altisource stock option awards, including AAMC employees and those who remained with Altisource after the spin-off transactions, received the following:</w:t>
      </w:r>
    </w:p>
    <w:p>
      <w:pPr>
        <w:spacing w:after="0" w:line="200" w:lineRule="exact"/>
        <w:rPr>
          <w:rFonts w:ascii="Arial" w:cs="Arial" w:eastAsia="Arial" w:hAnsi="Arial"/>
          <w:sz w:val="28"/>
          <w:szCs w:val="28"/>
          <w:color w:val="auto"/>
          <w:vertAlign w:val="superscript"/>
        </w:rPr>
      </w:pPr>
    </w:p>
    <w:p>
      <w:pPr>
        <w:spacing w:after="0" w:line="232" w:lineRule="exact"/>
        <w:rPr>
          <w:rFonts w:ascii="Arial" w:cs="Arial" w:eastAsia="Arial" w:hAnsi="Arial"/>
          <w:sz w:val="28"/>
          <w:szCs w:val="28"/>
          <w:color w:val="auto"/>
          <w:vertAlign w:val="superscript"/>
        </w:rPr>
      </w:pPr>
    </w:p>
    <w:p>
      <w:pPr>
        <w:ind w:left="1035" w:hanging="520"/>
        <w:spacing w:after="0" w:line="263" w:lineRule="auto"/>
        <w:tabs>
          <w:tab w:leader="none" w:pos="1035" w:val="left"/>
        </w:tabs>
        <w:numPr>
          <w:ilvl w:val="1"/>
          <w:numId w:val="38"/>
        </w:numPr>
        <w:rPr>
          <w:rFonts w:ascii="Arial" w:cs="Arial" w:eastAsia="Arial" w:hAnsi="Arial"/>
          <w:sz w:val="17"/>
          <w:szCs w:val="17"/>
          <w:color w:val="auto"/>
        </w:rPr>
      </w:pPr>
      <w:r>
        <w:rPr>
          <w:rFonts w:ascii="Arial" w:cs="Arial" w:eastAsia="Arial" w:hAnsi="Arial"/>
          <w:sz w:val="17"/>
          <w:szCs w:val="17"/>
          <w:color w:val="auto"/>
        </w:rPr>
        <w:t>New AAMC stock options to acquire the number of shares of AAMC equal to the product of (a) the number of Altisource stock options held on the date of the spin-off of AAMC and (b) the distribution ratio of one (1) share of AAMC common stock for every ten (10) shares of Altisource common stock;</w:t>
      </w:r>
    </w:p>
    <w:p>
      <w:pPr>
        <w:spacing w:after="0" w:line="194" w:lineRule="exact"/>
        <w:rPr>
          <w:rFonts w:ascii="Arial" w:cs="Arial" w:eastAsia="Arial" w:hAnsi="Arial"/>
          <w:sz w:val="17"/>
          <w:szCs w:val="17"/>
          <w:color w:val="auto"/>
        </w:rPr>
      </w:pPr>
    </w:p>
    <w:p>
      <w:pPr>
        <w:ind w:left="1035" w:hanging="520"/>
        <w:spacing w:after="0" w:line="263" w:lineRule="auto"/>
        <w:tabs>
          <w:tab w:leader="none" w:pos="1035" w:val="left"/>
        </w:tabs>
        <w:numPr>
          <w:ilvl w:val="1"/>
          <w:numId w:val="38"/>
        </w:numPr>
        <w:rPr>
          <w:rFonts w:ascii="Arial" w:cs="Arial" w:eastAsia="Arial" w:hAnsi="Arial"/>
          <w:sz w:val="17"/>
          <w:szCs w:val="17"/>
          <w:color w:val="auto"/>
        </w:rPr>
      </w:pPr>
      <w:r>
        <w:rPr>
          <w:rFonts w:ascii="Arial" w:cs="Arial" w:eastAsia="Arial" w:hAnsi="Arial"/>
          <w:sz w:val="17"/>
          <w:szCs w:val="17"/>
          <w:color w:val="auto"/>
        </w:rPr>
        <w:t>New Residential stock options to acquire the number of shares of Residential equal to the product of (a) the number of Altisource stock options held on the date of the spin-off of Residential and (b) the distribution ratio of one (1) share of Residential common stock for every three (3) shares of Altisource common stock and</w:t>
      </w:r>
    </w:p>
    <w:p>
      <w:pPr>
        <w:spacing w:after="0" w:line="194" w:lineRule="exact"/>
        <w:rPr>
          <w:rFonts w:ascii="Arial" w:cs="Arial" w:eastAsia="Arial" w:hAnsi="Arial"/>
          <w:sz w:val="17"/>
          <w:szCs w:val="17"/>
          <w:color w:val="auto"/>
        </w:rPr>
      </w:pPr>
    </w:p>
    <w:p>
      <w:pPr>
        <w:ind w:left="1035" w:right="320" w:hanging="520"/>
        <w:spacing w:after="0" w:line="274" w:lineRule="auto"/>
        <w:tabs>
          <w:tab w:leader="none" w:pos="1035" w:val="left"/>
        </w:tabs>
        <w:numPr>
          <w:ilvl w:val="1"/>
          <w:numId w:val="38"/>
        </w:numPr>
        <w:rPr>
          <w:rFonts w:ascii="Arial" w:cs="Arial" w:eastAsia="Arial" w:hAnsi="Arial"/>
          <w:sz w:val="17"/>
          <w:szCs w:val="17"/>
          <w:color w:val="auto"/>
        </w:rPr>
      </w:pPr>
      <w:r>
        <w:rPr>
          <w:rFonts w:ascii="Arial" w:cs="Arial" w:eastAsia="Arial" w:hAnsi="Arial"/>
          <w:sz w:val="17"/>
          <w:szCs w:val="17"/>
          <w:color w:val="auto"/>
        </w:rPr>
        <w:t>Adjusted Altisource stock options for the same number of shares of Altisource common stock with a reduced exercise price per stock option.</w:t>
      </w:r>
    </w:p>
    <w:p>
      <w:pPr>
        <w:spacing w:after="0" w:line="172" w:lineRule="exact"/>
        <w:rPr>
          <w:sz w:val="20"/>
          <w:szCs w:val="20"/>
          <w:color w:val="auto"/>
        </w:rPr>
      </w:pPr>
    </w:p>
    <w:p>
      <w:pPr>
        <w:ind w:left="515" w:right="100"/>
        <w:spacing w:after="0" w:line="260" w:lineRule="auto"/>
        <w:rPr>
          <w:sz w:val="20"/>
          <w:szCs w:val="20"/>
          <w:color w:val="auto"/>
        </w:rPr>
      </w:pPr>
      <w:r>
        <w:rPr>
          <w:rFonts w:ascii="Arial" w:cs="Arial" w:eastAsia="Arial" w:hAnsi="Arial"/>
          <w:sz w:val="17"/>
          <w:szCs w:val="17"/>
          <w:color w:val="auto"/>
        </w:rPr>
        <w:t>We determined the exercise price of the new AAMC and Residential stock options and the adjusted Altisource stock options in a manner so that the fair value of the adjusted Altisource stock award and the new AAMC and Residential stock options immediately following the spin-offs was equivalent to the fair value of such Altisource stock award immediately prior to the spin-offs. No incremental share-based compensation was recognized as a result of this adjustment.</w:t>
      </w:r>
    </w:p>
    <w:p>
      <w:pPr>
        <w:spacing w:after="0" w:line="196" w:lineRule="exact"/>
        <w:rPr>
          <w:sz w:val="20"/>
          <w:szCs w:val="20"/>
          <w:color w:val="auto"/>
        </w:rPr>
      </w:pPr>
    </w:p>
    <w:p>
      <w:pPr>
        <w:ind w:left="515" w:right="60" w:hanging="515"/>
        <w:spacing w:after="0" w:line="194" w:lineRule="auto"/>
        <w:tabs>
          <w:tab w:leader="none" w:pos="515"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Consists of the cash portion of annual incentive compensation related to performance measures satisfied in the year indicated and awarded in the first quarter of the following year.</w:t>
      </w:r>
    </w:p>
    <w:p>
      <w:pPr>
        <w:spacing w:after="0" w:line="199" w:lineRule="exact"/>
        <w:rPr>
          <w:rFonts w:ascii="Arial" w:cs="Arial" w:eastAsia="Arial" w:hAnsi="Arial"/>
          <w:sz w:val="28"/>
          <w:szCs w:val="28"/>
          <w:color w:val="auto"/>
          <w:vertAlign w:val="superscript"/>
        </w:rPr>
      </w:pPr>
    </w:p>
    <w:p>
      <w:pPr>
        <w:ind w:left="515" w:right="340" w:hanging="515"/>
        <w:spacing w:after="0" w:line="210" w:lineRule="auto"/>
        <w:tabs>
          <w:tab w:leader="none" w:pos="515"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Consists of contributions paid by Altisource to each executive officer for housing allowances, personal use of company car(s), settling-in allowances, education allowances, goods and services allowances, travel allowances, medical benefits and tax-related allowances as detailed below.</w:t>
      </w:r>
    </w:p>
    <w:p>
      <w:pPr>
        <w:spacing w:after="0" w:line="200" w:lineRule="exact"/>
        <w:rPr>
          <w:rFonts w:ascii="Arial" w:cs="Arial" w:eastAsia="Arial" w:hAnsi="Arial"/>
          <w:sz w:val="28"/>
          <w:szCs w:val="28"/>
          <w:color w:val="auto"/>
          <w:vertAlign w:val="superscript"/>
        </w:rPr>
      </w:pPr>
    </w:p>
    <w:p>
      <w:pPr>
        <w:ind w:left="515" w:right="140" w:hanging="515"/>
        <w:spacing w:after="0" w:line="210" w:lineRule="auto"/>
        <w:tabs>
          <w:tab w:leader="none" w:pos="515"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Mr. Shepro's annual base salary was $553,500 from January 1, 2014 through May 31, 2014 and $780,000 from June 1, 2014 through December 31, 2014. Mr. Shepro's salary is paid in euros using an exchange rate of 0.74139 euros to the U.S. dollar pursuant to his Luxembourg employment agreement.</w:t>
      </w:r>
    </w:p>
    <w:p>
      <w:pPr>
        <w:spacing w:after="0" w:line="213" w:lineRule="exact"/>
        <w:rPr>
          <w:rFonts w:ascii="Arial" w:cs="Arial" w:eastAsia="Arial" w:hAnsi="Arial"/>
          <w:sz w:val="28"/>
          <w:szCs w:val="28"/>
          <w:color w:val="auto"/>
          <w:vertAlign w:val="superscript"/>
        </w:rPr>
      </w:pPr>
    </w:p>
    <w:p>
      <w:pPr>
        <w:ind w:left="515" w:right="160" w:hanging="515"/>
        <w:spacing w:after="0" w:line="194" w:lineRule="auto"/>
        <w:tabs>
          <w:tab w:leader="none" w:pos="515"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Mr. Shepro's incentive compensation for 2014 was paid in euros. For purposes of the table, his incentive compensation was converted into U.S. dollars at an exchange rate of 0.8960 euros to the U.S. dollar, the exchange rate on the date of payment.</w:t>
      </w:r>
    </w:p>
    <w:p>
      <w:pPr>
        <w:spacing w:after="0" w:line="199" w:lineRule="exact"/>
        <w:rPr>
          <w:rFonts w:ascii="Arial" w:cs="Arial" w:eastAsia="Arial" w:hAnsi="Arial"/>
          <w:sz w:val="28"/>
          <w:szCs w:val="28"/>
          <w:color w:val="auto"/>
          <w:vertAlign w:val="superscript"/>
        </w:rPr>
      </w:pPr>
    </w:p>
    <w:p>
      <w:pPr>
        <w:ind w:left="515" w:right="40" w:hanging="515"/>
        <w:spacing w:after="0" w:line="257" w:lineRule="auto"/>
        <w:tabs>
          <w:tab w:leader="none" w:pos="515" w:val="left"/>
        </w:tabs>
        <w:numPr>
          <w:ilvl w:val="0"/>
          <w:numId w:val="39"/>
        </w:numPr>
        <w:rPr>
          <w:rFonts w:ascii="Arial" w:cs="Arial" w:eastAsia="Arial" w:hAnsi="Arial"/>
          <w:sz w:val="25"/>
          <w:szCs w:val="25"/>
          <w:color w:val="auto"/>
          <w:vertAlign w:val="superscript"/>
        </w:rPr>
      </w:pPr>
      <w:r>
        <w:rPr>
          <w:rFonts w:ascii="Arial" w:cs="Arial" w:eastAsia="Arial" w:hAnsi="Arial"/>
          <w:sz w:val="15"/>
          <w:szCs w:val="15"/>
          <w:color w:val="auto"/>
        </w:rPr>
        <w:t>Includes $112,684 for housing allowance, $15,658 for personal use of two company cars, $76,269 for education allowance, $23,666 for goods and services allowance, $16,008 for travel allowance, $30,235 for medical benefits, $148,310 for tax normalization allowance for 2012 earnings, $41,925 in advance for tax normalization allowances for 2013 and 2014 earnings and $12,348 for tax preparation services. Mr. Shepro's other compensation is paid in euros. For purposes of the table, his other compensation is converted into U.S. dollars at the average daily exchange rate for the year in which such compensation was earned. In 2014, the average daily exchange rate was 0.7519 euros to the U.S. dollar.</w:t>
      </w:r>
    </w:p>
    <w:p>
      <w:pPr>
        <w:spacing w:after="0" w:line="190"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75"/>
          </w:cols>
          <w:pgMar w:left="1385" w:top="539" w:right="239" w:bottom="1440" w:gutter="0" w:footer="0" w:header="0"/>
        </w:sectPr>
      </w:pPr>
    </w:p>
    <w:bookmarkStart w:id="43" w:name="page44"/>
    <w:bookmarkEnd w:id="43"/>
    <w:p>
      <w:pPr>
        <w:ind w:left="515" w:right="140" w:hanging="515"/>
        <w:spacing w:after="0" w:line="210" w:lineRule="auto"/>
        <w:tabs>
          <w:tab w:leader="none" w:pos="515"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Mr. Wilcox's annual base salary was $435,625 from January 1, 2014 through May 31, 2014 and $450,000 from June 1, 2014 through December 31, 2014. Mr. Wilcox's salary is paid in euros using an exchange rate of 0.74139 euros to the U.S. dollar pursuant to his Luxembourg employment agreement.</w:t>
      </w:r>
    </w:p>
    <w:p>
      <w:pPr>
        <w:spacing w:after="0" w:line="213" w:lineRule="exact"/>
        <w:rPr>
          <w:rFonts w:ascii="Arial" w:cs="Arial" w:eastAsia="Arial" w:hAnsi="Arial"/>
          <w:sz w:val="28"/>
          <w:szCs w:val="28"/>
          <w:color w:val="auto"/>
          <w:vertAlign w:val="superscript"/>
        </w:rPr>
      </w:pPr>
    </w:p>
    <w:p>
      <w:pPr>
        <w:ind w:left="515" w:hanging="515"/>
        <w:spacing w:after="0" w:line="237" w:lineRule="auto"/>
        <w:tabs>
          <w:tab w:leader="none" w:pos="515" w:val="left"/>
        </w:tabs>
        <w:numPr>
          <w:ilvl w:val="0"/>
          <w:numId w:val="40"/>
        </w:numPr>
        <w:rPr>
          <w:rFonts w:ascii="Arial" w:cs="Arial" w:eastAsia="Arial" w:hAnsi="Arial"/>
          <w:sz w:val="27"/>
          <w:szCs w:val="27"/>
          <w:color w:val="auto"/>
          <w:vertAlign w:val="superscript"/>
        </w:rPr>
      </w:pPr>
      <w:r>
        <w:rPr>
          <w:rFonts w:ascii="Arial" w:cs="Arial" w:eastAsia="Arial" w:hAnsi="Arial"/>
          <w:sz w:val="16"/>
          <w:szCs w:val="16"/>
          <w:color w:val="auto"/>
        </w:rPr>
        <w:t>Includes $110,031 for housing allowance, $3,385 for personal use of a company car, $23,666 for goods and services allowance, $6,623 for travel allowance, $9,754 for medical benefits, $109,249 for tax normalization allowance for 2012 earnings, $105,574 in advance for tax normalization allowances for 2013 and 2014 earnings and $10,150 for tax preparation services. Mr. Wilcox's other compensation is paid in euros. For purposes of the table, his other compensation is converted into U.S. dollars at the average daily exchange rate for the year in which such compensation was earned. In 2014, the average daily exchange rate was 0.7519 euros to the U.S. dollar.</w:t>
      </w:r>
    </w:p>
    <w:p>
      <w:pPr>
        <w:spacing w:after="0" w:line="94" w:lineRule="exact"/>
        <w:rPr>
          <w:rFonts w:ascii="Arial" w:cs="Arial" w:eastAsia="Arial" w:hAnsi="Arial"/>
          <w:sz w:val="27"/>
          <w:szCs w:val="27"/>
          <w:color w:val="auto"/>
          <w:vertAlign w:val="superscript"/>
        </w:rPr>
      </w:pPr>
    </w:p>
    <w:p>
      <w:pPr>
        <w:ind w:left="515" w:hanging="515"/>
        <w:spacing w:after="0"/>
        <w:tabs>
          <w:tab w:leader="none" w:pos="515"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Ms. Esterman joined the Company as Chief Financial Officer effective March 12, 2012.</w:t>
      </w:r>
    </w:p>
    <w:p>
      <w:pPr>
        <w:spacing w:after="0" w:line="198" w:lineRule="exact"/>
        <w:rPr>
          <w:rFonts w:ascii="Arial" w:cs="Arial" w:eastAsia="Arial" w:hAnsi="Arial"/>
          <w:sz w:val="28"/>
          <w:szCs w:val="28"/>
          <w:color w:val="auto"/>
          <w:vertAlign w:val="superscript"/>
        </w:rPr>
      </w:pPr>
    </w:p>
    <w:p>
      <w:pPr>
        <w:ind w:left="515" w:right="120" w:hanging="515"/>
        <w:spacing w:after="0" w:line="210" w:lineRule="auto"/>
        <w:tabs>
          <w:tab w:leader="none" w:pos="515"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Ms. Esterman's annual base salary was $322,875 from January 1, 2014 through May 31, 2014 and $395,000 from June 1, 2014 through December 31, 2014. Ms. Esterman's salary is paid in euros using an exchange rate of 0.748 euros to the U.S. dollar pursuant to her Luxembourg employment agreement.</w:t>
      </w:r>
    </w:p>
    <w:p>
      <w:pPr>
        <w:spacing w:after="0" w:line="213" w:lineRule="exact"/>
        <w:rPr>
          <w:rFonts w:ascii="Arial" w:cs="Arial" w:eastAsia="Arial" w:hAnsi="Arial"/>
          <w:sz w:val="28"/>
          <w:szCs w:val="28"/>
          <w:color w:val="auto"/>
          <w:vertAlign w:val="superscript"/>
        </w:rPr>
      </w:pPr>
    </w:p>
    <w:p>
      <w:pPr>
        <w:ind w:left="515" w:right="60" w:hanging="515"/>
        <w:spacing w:after="0" w:line="269" w:lineRule="auto"/>
        <w:tabs>
          <w:tab w:leader="none" w:pos="515"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Includes $34,530 for housing allowance, $5,804 for personal use of a company car and $10,900 for tax preparation services. Ms. Esterman's other compensation is paid in euros. For purposes of the table, her other compensation is converted into U.S. dollars at the average daily exchange rate for the year in which such compensation was earned. In 2014, the average daily exchange rate was 0.7519 euros to the U.S. dollar.</w:t>
      </w:r>
    </w:p>
    <w:p>
      <w:pPr>
        <w:spacing w:after="0" w:line="179" w:lineRule="exact"/>
        <w:rPr>
          <w:rFonts w:ascii="Arial" w:cs="Arial" w:eastAsia="Arial" w:hAnsi="Arial"/>
          <w:sz w:val="22"/>
          <w:szCs w:val="22"/>
          <w:color w:val="auto"/>
          <w:vertAlign w:val="superscript"/>
        </w:rPr>
      </w:pPr>
    </w:p>
    <w:p>
      <w:pPr>
        <w:ind w:left="515" w:right="340" w:hanging="515"/>
        <w:spacing w:after="0" w:line="210" w:lineRule="auto"/>
        <w:tabs>
          <w:tab w:leader="none" w:pos="515"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Mr. Davila's annual base salary was $358,750 from January 1, 2014 through July 31, 2014 and $375,000 from August 1, 2014 through December 31, 2014. Mr. Davila's salary is paid in euros using an exchange rate of 0.701 euros to the U.S. dollar pursuant to his Luxembourg employment agreement.</w:t>
      </w:r>
    </w:p>
    <w:p>
      <w:pPr>
        <w:spacing w:after="0" w:line="200" w:lineRule="exact"/>
        <w:rPr>
          <w:rFonts w:ascii="Arial" w:cs="Arial" w:eastAsia="Arial" w:hAnsi="Arial"/>
          <w:sz w:val="28"/>
          <w:szCs w:val="28"/>
          <w:color w:val="auto"/>
          <w:vertAlign w:val="superscript"/>
        </w:rPr>
      </w:pPr>
    </w:p>
    <w:p>
      <w:pPr>
        <w:jc w:val="both"/>
        <w:ind w:left="515" w:right="40" w:hanging="515"/>
        <w:spacing w:after="0" w:line="237" w:lineRule="auto"/>
        <w:tabs>
          <w:tab w:leader="none" w:pos="515"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Includes $47,737 for education allowance, $13,001 for travel allowance and $5,528 for tax preparation services. Mr. Davila's other compensation is paid in euros. For purposes of the table, his other compensation is converted into U.S. dollars at the average daily exchange rate for the year in which such compensation was earned. In 2014, the average daily exchange rate was 0.7519 euros to the U.S. dollar.</w:t>
      </w:r>
    </w:p>
    <w:p>
      <w:pPr>
        <w:spacing w:after="0" w:line="212" w:lineRule="exact"/>
        <w:rPr>
          <w:rFonts w:ascii="Arial" w:cs="Arial" w:eastAsia="Arial" w:hAnsi="Arial"/>
          <w:sz w:val="25"/>
          <w:szCs w:val="25"/>
          <w:color w:val="auto"/>
          <w:vertAlign w:val="superscript"/>
        </w:rPr>
      </w:pPr>
    </w:p>
    <w:p>
      <w:pPr>
        <w:ind w:left="515" w:right="420" w:hanging="515"/>
        <w:spacing w:after="0" w:line="210" w:lineRule="auto"/>
        <w:tabs>
          <w:tab w:leader="none" w:pos="515"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Mr. Hynes' annual base salary was $250,000 from January 1, 2014 through March 16, 2014 and $325,000 from March 17, 2014 through December 31, 2014, Mr. Hynes' salary is paid in euros using an exchange rate of 0.740 euros to the U.S. dollar pursuant to his Luxembourg employment agreement.</w:t>
      </w:r>
    </w:p>
    <w:p>
      <w:pPr>
        <w:spacing w:after="0" w:line="200" w:lineRule="exact"/>
        <w:rPr>
          <w:rFonts w:ascii="Arial" w:cs="Arial" w:eastAsia="Arial" w:hAnsi="Arial"/>
          <w:sz w:val="28"/>
          <w:szCs w:val="28"/>
          <w:color w:val="auto"/>
          <w:vertAlign w:val="superscript"/>
        </w:rPr>
      </w:pPr>
    </w:p>
    <w:p>
      <w:pPr>
        <w:ind w:left="515" w:hanging="515"/>
        <w:spacing w:after="0" w:line="237" w:lineRule="auto"/>
        <w:tabs>
          <w:tab w:leader="none" w:pos="515"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Includes $26,600 for housing allowance, $17,285 for education allowance and $9,842 for settling-in allowance. Mr. Hynes' other compensation is paid in euros. For purposes of the table, his other compensation is converted into U.S. dollars at the average daily exchange rate for the year in which such compensation was earned. In 2014, the average daily exchange rate was 0.7519 euros to the U.S. dollar.</w:t>
      </w:r>
    </w:p>
    <w:p>
      <w:pPr>
        <w:spacing w:after="0" w:line="200" w:lineRule="exact"/>
        <w:rPr>
          <w:sz w:val="20"/>
          <w:szCs w:val="20"/>
          <w:color w:val="auto"/>
        </w:rPr>
      </w:pPr>
    </w:p>
    <w:p>
      <w:pPr>
        <w:ind w:left="515" w:right="240"/>
        <w:spacing w:after="0" w:line="274" w:lineRule="auto"/>
        <w:rPr>
          <w:sz w:val="20"/>
          <w:szCs w:val="20"/>
          <w:color w:val="auto"/>
        </w:rPr>
      </w:pPr>
      <w:r>
        <w:rPr>
          <w:rFonts w:ascii="Arial" w:cs="Arial" w:eastAsia="Arial" w:hAnsi="Arial"/>
          <w:sz w:val="17"/>
          <w:szCs w:val="17"/>
          <w:color w:val="auto"/>
        </w:rPr>
        <w:t>For more information about the elements of compensation paid to our named executive officers, see "Compensation Discussion and Analysis" above.</w:t>
      </w:r>
    </w:p>
    <w:p>
      <w:pPr>
        <w:spacing w:after="0" w:line="172"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75"/>
          </w:cols>
          <w:pgMar w:left="1385" w:top="131"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Grants of Plan Based Awards for 2014</w:t>
      </w:r>
    </w:p>
    <w:p>
      <w:pPr>
        <w:spacing w:after="0" w:line="221" w:lineRule="exact"/>
        <w:rPr>
          <w:sz w:val="20"/>
          <w:szCs w:val="20"/>
          <w:color w:val="auto"/>
        </w:rPr>
      </w:pPr>
    </w:p>
    <w:p>
      <w:pPr>
        <w:ind w:right="780"/>
        <w:spacing w:after="0" w:line="274" w:lineRule="auto"/>
        <w:rPr>
          <w:sz w:val="20"/>
          <w:szCs w:val="20"/>
          <w:color w:val="auto"/>
        </w:rPr>
      </w:pPr>
      <w:r>
        <w:rPr>
          <w:rFonts w:ascii="Arial" w:cs="Arial" w:eastAsia="Arial" w:hAnsi="Arial"/>
          <w:sz w:val="17"/>
          <w:szCs w:val="17"/>
          <w:color w:val="auto"/>
        </w:rPr>
        <w:t>The following table provides information related to non-equity incentive plan compensation and equity incentive plan awards pursuant to our annual incentive compensation and our 2009 Equity Incentive Plan by the individuals named in the Summary Compensation Table.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gridSpan w:val="6"/>
            <w:vMerge w:val="restart"/>
          </w:tcPr>
          <w:p>
            <w:pPr>
              <w:jc w:val="center"/>
              <w:ind w:right="100"/>
              <w:spacing w:after="0"/>
              <w:rPr>
                <w:sz w:val="20"/>
                <w:szCs w:val="20"/>
                <w:color w:val="auto"/>
              </w:rPr>
            </w:pPr>
            <w:r>
              <w:rPr>
                <w:rFonts w:ascii="Arial" w:cs="Arial" w:eastAsia="Arial" w:hAnsi="Arial"/>
                <w:sz w:val="13"/>
                <w:szCs w:val="13"/>
                <w:b w:val="1"/>
                <w:bCs w:val="1"/>
                <w:color w:val="auto"/>
                <w:w w:val="90"/>
              </w:rPr>
              <w:t>Estimated Future Payouts Under</w:t>
            </w:r>
          </w:p>
        </w:tc>
        <w:tc>
          <w:tcPr>
            <w:tcW w:w="8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80" w:type="dxa"/>
            <w:vAlign w:val="bottom"/>
            <w:gridSpan w:val="6"/>
            <w:vMerge w:val="continue"/>
          </w:tcPr>
          <w:p>
            <w:pPr>
              <w:spacing w:after="0"/>
              <w:rPr>
                <w:sz w:val="7"/>
                <w:szCs w:val="7"/>
                <w:color w:val="auto"/>
              </w:rPr>
            </w:pPr>
          </w:p>
        </w:tc>
        <w:tc>
          <w:tcPr>
            <w:tcW w:w="800" w:type="dxa"/>
            <w:vAlign w:val="bottom"/>
            <w:vMerge w:val="restart"/>
          </w:tcPr>
          <w:p>
            <w:pPr>
              <w:jc w:val="center"/>
              <w:spacing w:after="0" w:line="142"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7"/>
                <w:szCs w:val="7"/>
                <w:color w:val="auto"/>
              </w:rPr>
            </w:pPr>
          </w:p>
        </w:tc>
        <w:tc>
          <w:tcPr>
            <w:tcW w:w="900" w:type="dxa"/>
            <w:vAlign w:val="bottom"/>
            <w:gridSpan w:val="2"/>
            <w:vMerge w:val="restart"/>
          </w:tcPr>
          <w:p>
            <w:pPr>
              <w:jc w:val="center"/>
              <w:ind w:right="100"/>
              <w:spacing w:after="0" w:line="142" w:lineRule="exact"/>
              <w:rPr>
                <w:sz w:val="20"/>
                <w:szCs w:val="20"/>
                <w:color w:val="auto"/>
              </w:rPr>
            </w:pPr>
            <w:r>
              <w:rPr>
                <w:rFonts w:ascii="Arial" w:cs="Arial" w:eastAsia="Arial" w:hAnsi="Arial"/>
                <w:sz w:val="13"/>
                <w:szCs w:val="13"/>
                <w:b w:val="1"/>
                <w:bCs w:val="1"/>
                <w:color w:val="auto"/>
                <w:w w:val="85"/>
              </w:rPr>
              <w:t>Exercise or</w:t>
            </w:r>
          </w:p>
        </w:tc>
        <w:tc>
          <w:tcPr>
            <w:tcW w:w="104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80" w:type="dxa"/>
            <w:vAlign w:val="bottom"/>
            <w:gridSpan w:val="6"/>
            <w:vMerge w:val="restart"/>
          </w:tcPr>
          <w:p>
            <w:pPr>
              <w:jc w:val="center"/>
              <w:ind w:right="100"/>
              <w:spacing w:after="0" w:line="165" w:lineRule="exact"/>
              <w:rPr>
                <w:sz w:val="20"/>
                <w:szCs w:val="20"/>
                <w:color w:val="auto"/>
              </w:rPr>
            </w:pPr>
            <w:r>
              <w:rPr>
                <w:rFonts w:ascii="Arial" w:cs="Arial" w:eastAsia="Arial" w:hAnsi="Arial"/>
                <w:sz w:val="12"/>
                <w:szCs w:val="12"/>
                <w:b w:val="1"/>
                <w:bCs w:val="1"/>
                <w:color w:val="auto"/>
                <w:w w:val="97"/>
              </w:rPr>
              <w:t>Non-Equity Incentive Plan Awards</w:t>
            </w:r>
            <w:r>
              <w:rPr>
                <w:rFonts w:ascii="Arial" w:cs="Arial" w:eastAsia="Arial" w:hAnsi="Arial"/>
                <w:sz w:val="19"/>
                <w:szCs w:val="19"/>
                <w:b w:val="1"/>
                <w:bCs w:val="1"/>
                <w:color w:val="auto"/>
                <w:w w:val="97"/>
                <w:vertAlign w:val="superscript"/>
              </w:rPr>
              <w:t>(1)</w:t>
            </w: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80" w:type="dxa"/>
            <w:vAlign w:val="bottom"/>
            <w:gridSpan w:val="6"/>
            <w:vMerge w:val="continue"/>
          </w:tcPr>
          <w:p>
            <w:pPr>
              <w:spacing w:after="0"/>
              <w:rPr>
                <w:sz w:val="11"/>
                <w:szCs w:val="11"/>
                <w:color w:val="auto"/>
              </w:rPr>
            </w:pPr>
          </w:p>
        </w:tc>
        <w:tc>
          <w:tcPr>
            <w:tcW w:w="80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09" w:lineRule="exact"/>
              <w:rPr>
                <w:sz w:val="20"/>
                <w:szCs w:val="20"/>
                <w:color w:val="auto"/>
              </w:rPr>
            </w:pPr>
            <w:r>
              <w:rPr>
                <w:rFonts w:ascii="Arial" w:cs="Arial" w:eastAsia="Arial" w:hAnsi="Arial"/>
                <w:sz w:val="12"/>
                <w:szCs w:val="12"/>
                <w:b w:val="1"/>
                <w:bCs w:val="1"/>
                <w:color w:val="auto"/>
                <w:w w:val="91"/>
              </w:rPr>
              <w:t>Base Price</w:t>
            </w:r>
          </w:p>
        </w:tc>
        <w:tc>
          <w:tcPr>
            <w:tcW w:w="1040" w:type="dxa"/>
            <w:vAlign w:val="bottom"/>
            <w:gridSpan w:val="2"/>
          </w:tcPr>
          <w:p>
            <w:pPr>
              <w:jc w:val="center"/>
              <w:ind w:right="200"/>
              <w:spacing w:after="0" w:line="109" w:lineRule="exact"/>
              <w:rPr>
                <w:sz w:val="20"/>
                <w:szCs w:val="20"/>
                <w:color w:val="auto"/>
              </w:rPr>
            </w:pPr>
            <w:r>
              <w:rPr>
                <w:rFonts w:ascii="Arial" w:cs="Arial" w:eastAsia="Arial" w:hAnsi="Arial"/>
                <w:sz w:val="12"/>
                <w:szCs w:val="12"/>
                <w:b w:val="1"/>
                <w:bCs w:val="1"/>
                <w:color w:val="auto"/>
                <w:w w:val="92"/>
              </w:rPr>
              <w:t>of Stock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of Option</w:t>
            </w: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and Option</w:t>
            </w:r>
          </w:p>
        </w:tc>
        <w:tc>
          <w:tcPr>
            <w:tcW w:w="0" w:type="dxa"/>
            <w:vAlign w:val="bottom"/>
          </w:tcPr>
          <w:p>
            <w:pPr>
              <w:spacing w:after="0"/>
              <w:rPr>
                <w:sz w:val="1"/>
                <w:szCs w:val="1"/>
                <w:color w:val="auto"/>
              </w:rPr>
            </w:pPr>
          </w:p>
        </w:tc>
      </w:tr>
      <w:tr>
        <w:trPr>
          <w:trHeight w:val="154"/>
        </w:trPr>
        <w:tc>
          <w:tcPr>
            <w:tcW w:w="256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Grant Date</w:t>
            </w:r>
          </w:p>
        </w:tc>
        <w:tc>
          <w:tcPr>
            <w:tcW w:w="780" w:type="dxa"/>
            <w:vAlign w:val="bottom"/>
          </w:tcPr>
          <w:p>
            <w:pPr>
              <w:jc w:val="right"/>
              <w:ind w:right="49"/>
              <w:spacing w:after="0"/>
              <w:rPr>
                <w:sz w:val="20"/>
                <w:szCs w:val="20"/>
                <w:color w:val="auto"/>
              </w:rPr>
            </w:pPr>
            <w:r>
              <w:rPr>
                <w:rFonts w:ascii="Arial" w:cs="Arial" w:eastAsia="Arial" w:hAnsi="Arial"/>
                <w:sz w:val="13"/>
                <w:szCs w:val="13"/>
                <w:b w:val="1"/>
                <w:bCs w:val="1"/>
                <w:color w:val="auto"/>
              </w:rPr>
              <w:t>Threshold</w:t>
            </w:r>
          </w:p>
        </w:tc>
        <w:tc>
          <w:tcPr>
            <w:tcW w:w="80" w:type="dxa"/>
            <w:vAlign w:val="bottom"/>
          </w:tcPr>
          <w:p>
            <w:pPr>
              <w:spacing w:after="0"/>
              <w:rPr>
                <w:sz w:val="13"/>
                <w:szCs w:val="13"/>
                <w:color w:val="auto"/>
              </w:rPr>
            </w:pPr>
          </w:p>
        </w:tc>
        <w:tc>
          <w:tcPr>
            <w:tcW w:w="920" w:type="dxa"/>
            <w:vAlign w:val="bottom"/>
          </w:tcPr>
          <w:p>
            <w:pPr>
              <w:jc w:val="right"/>
              <w:ind w:right="216"/>
              <w:spacing w:after="0"/>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b w:val="1"/>
                <w:bCs w:val="1"/>
                <w:color w:val="auto"/>
              </w:rPr>
              <w:t>Maximum</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Awards</w:t>
            </w: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$514,219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$1,028,438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$1,542,657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56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$222,005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$444,010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$666,015</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$236,250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$354,375</w:t>
            </w: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560" w:type="dxa"/>
            <w:vAlign w:val="bottom"/>
            <w:gridSpan w:val="3"/>
          </w:tcPr>
          <w:p>
            <w:pPr>
              <w:spacing w:after="0"/>
              <w:rPr>
                <w:sz w:val="20"/>
                <w:szCs w:val="20"/>
                <w:color w:val="auto"/>
              </w:rPr>
            </w:pPr>
            <w:r>
              <w:rPr>
                <w:rFonts w:ascii="Arial" w:cs="Arial" w:eastAsia="Arial" w:hAnsi="Arial"/>
                <w:sz w:val="17"/>
                <w:szCs w:val="17"/>
                <w:color w:val="auto"/>
              </w:rPr>
              <w:t>Joseph A. Davila</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$129,167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$258,333</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$387,500</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5/15/14</w:t>
            </w:r>
            <w:r>
              <w:rPr>
                <w:rFonts w:ascii="Arial" w:cs="Arial" w:eastAsia="Arial" w:hAnsi="Arial"/>
                <w:sz w:val="13"/>
                <w:szCs w:val="13"/>
                <w:color w:val="auto"/>
              </w:rPr>
              <w:t>(2)</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105.11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$78,365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0" w:type="dxa"/>
            <w:vAlign w:val="bottom"/>
          </w:tcPr>
          <w:p>
            <w:pPr>
              <w:jc w:val="right"/>
              <w:spacing w:after="0" w:line="27" w:lineRule="exact"/>
              <w:rPr>
                <w:sz w:val="20"/>
                <w:szCs w:val="20"/>
                <w:color w:val="auto"/>
              </w:rPr>
            </w:pPr>
            <w:r>
              <w:rPr>
                <w:rFonts w:ascii="Arial" w:cs="Arial" w:eastAsia="Arial" w:hAnsi="Arial"/>
                <w:sz w:val="3"/>
                <w:szCs w:val="3"/>
                <w:color w:val="auto"/>
              </w:rPr>
              <w:t>11/11/14</w:t>
            </w:r>
          </w:p>
        </w:tc>
        <w:tc>
          <w:tcPr>
            <w:tcW w:w="180" w:type="dxa"/>
            <w:vAlign w:val="bottom"/>
          </w:tcPr>
          <w:p>
            <w:pPr>
              <w:spacing w:after="0"/>
              <w:rPr>
                <w:sz w:val="2"/>
                <w:szCs w:val="2"/>
                <w:color w:val="auto"/>
              </w:rPr>
            </w:pPr>
          </w:p>
        </w:tc>
        <w:tc>
          <w:tcPr>
            <w:tcW w:w="78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1000" w:type="dxa"/>
            <w:vAlign w:val="bottom"/>
            <w:gridSpan w:val="2"/>
          </w:tcPr>
          <w:p>
            <w:pPr>
              <w:jc w:val="right"/>
              <w:spacing w:after="0" w:line="27" w:lineRule="exact"/>
              <w:rPr>
                <w:sz w:val="20"/>
                <w:szCs w:val="20"/>
                <w:color w:val="auto"/>
              </w:rPr>
            </w:pPr>
            <w:r>
              <w:rPr>
                <w:rFonts w:ascii="Arial" w:cs="Arial" w:eastAsia="Arial" w:hAnsi="Arial"/>
                <w:sz w:val="3"/>
                <w:szCs w:val="3"/>
                <w:color w:val="auto"/>
              </w:rPr>
              <w:t>-</w:t>
            </w:r>
          </w:p>
        </w:tc>
        <w:tc>
          <w:tcPr>
            <w:tcW w:w="1020" w:type="dxa"/>
            <w:vAlign w:val="bottom"/>
            <w:gridSpan w:val="2"/>
          </w:tcPr>
          <w:p>
            <w:pPr>
              <w:jc w:val="right"/>
              <w:spacing w:after="0" w:line="27" w:lineRule="exact"/>
              <w:rPr>
                <w:sz w:val="20"/>
                <w:szCs w:val="20"/>
                <w:color w:val="auto"/>
              </w:rPr>
            </w:pPr>
            <w:r>
              <w:rPr>
                <w:rFonts w:ascii="Arial" w:cs="Arial" w:eastAsia="Arial" w:hAnsi="Arial"/>
                <w:sz w:val="3"/>
                <w:szCs w:val="3"/>
                <w:color w:val="auto"/>
              </w:rPr>
              <w:t>-</w:t>
            </w:r>
          </w:p>
        </w:tc>
        <w:tc>
          <w:tcPr>
            <w:tcW w:w="80" w:type="dxa"/>
            <w:vAlign w:val="bottom"/>
          </w:tcPr>
          <w:p>
            <w:pPr>
              <w:spacing w:after="0"/>
              <w:rPr>
                <w:sz w:val="2"/>
                <w:szCs w:val="2"/>
                <w:color w:val="auto"/>
              </w:rPr>
            </w:pPr>
          </w:p>
        </w:tc>
        <w:tc>
          <w:tcPr>
            <w:tcW w:w="800" w:type="dxa"/>
            <w:vAlign w:val="bottom"/>
          </w:tcPr>
          <w:p>
            <w:pPr>
              <w:jc w:val="right"/>
              <w:spacing w:after="0" w:line="27" w:lineRule="exact"/>
              <w:rPr>
                <w:sz w:val="20"/>
                <w:szCs w:val="20"/>
                <w:color w:val="auto"/>
              </w:rPr>
            </w:pPr>
            <w:r>
              <w:rPr>
                <w:rFonts w:ascii="Arial" w:cs="Arial" w:eastAsia="Arial" w:hAnsi="Arial"/>
                <w:sz w:val="3"/>
                <w:szCs w:val="3"/>
                <w:color w:val="auto"/>
              </w:rPr>
              <w:t>25,000</w:t>
            </w:r>
          </w:p>
        </w:tc>
        <w:tc>
          <w:tcPr>
            <w:tcW w:w="920" w:type="dxa"/>
            <w:vAlign w:val="bottom"/>
            <w:gridSpan w:val="2"/>
          </w:tcPr>
          <w:p>
            <w:pPr>
              <w:jc w:val="right"/>
              <w:spacing w:after="0" w:line="27" w:lineRule="exact"/>
              <w:rPr>
                <w:sz w:val="20"/>
                <w:szCs w:val="20"/>
                <w:color w:val="auto"/>
              </w:rPr>
            </w:pPr>
            <w:r>
              <w:rPr>
                <w:rFonts w:ascii="Arial" w:cs="Arial" w:eastAsia="Arial" w:hAnsi="Arial"/>
                <w:sz w:val="3"/>
                <w:szCs w:val="3"/>
                <w:color w:val="auto"/>
              </w:rPr>
              <w:t>72.78</w:t>
            </w:r>
          </w:p>
        </w:tc>
        <w:tc>
          <w:tcPr>
            <w:tcW w:w="80" w:type="dxa"/>
            <w:vAlign w:val="bottom"/>
          </w:tcPr>
          <w:p>
            <w:pPr>
              <w:spacing w:after="0"/>
              <w:rPr>
                <w:sz w:val="2"/>
                <w:szCs w:val="2"/>
                <w:color w:val="auto"/>
              </w:rPr>
            </w:pPr>
          </w:p>
        </w:tc>
        <w:tc>
          <w:tcPr>
            <w:tcW w:w="840" w:type="dxa"/>
            <w:vAlign w:val="bottom"/>
          </w:tcPr>
          <w:p>
            <w:pPr>
              <w:jc w:val="right"/>
              <w:spacing w:after="0" w:line="27" w:lineRule="exact"/>
              <w:rPr>
                <w:sz w:val="20"/>
                <w:szCs w:val="20"/>
                <w:color w:val="auto"/>
              </w:rPr>
            </w:pPr>
            <w:r>
              <w:rPr>
                <w:rFonts w:ascii="Arial" w:cs="Arial" w:eastAsia="Arial" w:hAnsi="Arial"/>
                <w:sz w:val="3"/>
                <w:szCs w:val="3"/>
                <w:color w:val="auto"/>
              </w:rPr>
              <w:t>$651,941</w:t>
            </w: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 J. Hynes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$375,000</w:t>
            </w: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60" w:hanging="515"/>
        <w:spacing w:after="0" w:line="210" w:lineRule="auto"/>
        <w:tabs>
          <w:tab w:leader="none" w:pos="1660"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These amounts represent the possible non-equity compensation that may have been earned by each respective executive officer in 2014 under the different achievement levels presented on their personal scorecards which are more fully discussed in our Compensation Discussion and Analysis.</w:t>
      </w:r>
    </w:p>
    <w:p>
      <w:pPr>
        <w:spacing w:after="0" w:line="213" w:lineRule="exact"/>
        <w:rPr>
          <w:rFonts w:ascii="Arial" w:cs="Arial" w:eastAsia="Arial" w:hAnsi="Arial"/>
          <w:sz w:val="28"/>
          <w:szCs w:val="28"/>
          <w:color w:val="auto"/>
          <w:vertAlign w:val="superscript"/>
        </w:rPr>
      </w:pPr>
    </w:p>
    <w:p>
      <w:pPr>
        <w:ind w:left="1660" w:hanging="515"/>
        <w:spacing w:after="0" w:line="246" w:lineRule="auto"/>
        <w:tabs>
          <w:tab w:leader="none" w:pos="1660"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Granted pursuant to our 2009 Equity Incentive Plan. The vesting schedule for these options has a service-based component, in which 25% vest in equal increments over four years, and a performance-based component, in which up to 75% of the options could vest in equal increments, with 25% vesting on the date when the Board of Directors determines that the performance criteria have been achieved for fiscal year 2014 and the remaining 75% vesting over the next three years. The performance-based options would commence vesting if both of the following performance criteria have been achieved for fiscal year 2014: (i) Altisource's Origination Services division earns $23.5 million of adjusted pre-tax income and (ii) the division's adjusted pre-tax income margin as a percentage of service revenue is at least 25%. On February 10, 2015, the Board of Directors determined that the performance criteria for fiscal year 2014 were not achieved.</w:t>
      </w:r>
    </w:p>
    <w:p>
      <w:pPr>
        <w:spacing w:after="0" w:line="198" w:lineRule="exact"/>
        <w:rPr>
          <w:rFonts w:ascii="Arial" w:cs="Arial" w:eastAsia="Arial" w:hAnsi="Arial"/>
          <w:sz w:val="27"/>
          <w:szCs w:val="27"/>
          <w:color w:val="auto"/>
          <w:vertAlign w:val="superscript"/>
        </w:rPr>
      </w:pPr>
    </w:p>
    <w:p>
      <w:pPr>
        <w:ind w:left="1660" w:right="60" w:hanging="515"/>
        <w:spacing w:after="0" w:line="246" w:lineRule="auto"/>
        <w:tabs>
          <w:tab w:leader="none" w:pos="1660"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Granted pursuant to our 2009 Equity Incentive Plan.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performance-based options would commence vesting if the stock price realizes a compounded annual gain of at least 20% over the exercise price, so long as the stock price is at least double the exercise price. The remaining third of the performance-based options would commence vesting if the stock price realizes a 25% compounded annual gain, so long as it is at least triple the exercise price.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outstanding equity awards as of December 31, 2014 for the individuals named in the Summary Compensation Table.</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7"/>
                <w:szCs w:val="17"/>
                <w:b w:val="1"/>
                <w:bCs w:val="1"/>
                <w:color w:val="auto"/>
                <w:w w:val="97"/>
              </w:rPr>
              <w:t>Option Awards</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320"/>
              <w:spacing w:after="0" w:line="187" w:lineRule="exact"/>
              <w:rPr>
                <w:sz w:val="20"/>
                <w:szCs w:val="20"/>
                <w:color w:val="auto"/>
              </w:rPr>
            </w:pPr>
            <w:r>
              <w:rPr>
                <w:rFonts w:ascii="Arial" w:cs="Arial" w:eastAsia="Arial" w:hAnsi="Arial"/>
                <w:sz w:val="17"/>
                <w:szCs w:val="17"/>
                <w:b w:val="1"/>
                <w:bCs w:val="1"/>
                <w:color w:val="auto"/>
                <w:w w:val="92"/>
              </w:rPr>
              <w:t>Equity</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Incentive</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Plan Awards: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w:t>
            </w:r>
          </w:p>
        </w:tc>
        <w:tc>
          <w:tcPr>
            <w:tcW w:w="300" w:type="dxa"/>
            <w:vAlign w:val="bottom"/>
          </w:tcPr>
          <w:p>
            <w:pPr>
              <w:spacing w:after="0"/>
              <w:rPr>
                <w:sz w:val="17"/>
                <w:szCs w:val="17"/>
                <w:color w:val="auto"/>
              </w:rPr>
            </w:pPr>
          </w:p>
        </w:tc>
        <w:tc>
          <w:tcPr>
            <w:tcW w:w="1800" w:type="dxa"/>
            <w:vAlign w:val="bottom"/>
            <w:gridSpan w:val="2"/>
          </w:tcPr>
          <w:p>
            <w:pPr>
              <w:jc w:val="center"/>
              <w:ind w:right="223"/>
              <w:spacing w:after="0"/>
              <w:rPr>
                <w:sz w:val="20"/>
                <w:szCs w:val="20"/>
                <w:color w:val="auto"/>
              </w:rPr>
            </w:pPr>
            <w:r>
              <w:rPr>
                <w:rFonts w:ascii="Arial" w:cs="Arial" w:eastAsia="Arial" w:hAnsi="Arial"/>
                <w:sz w:val="17"/>
                <w:szCs w:val="17"/>
                <w:b w:val="1"/>
                <w:bCs w:val="1"/>
                <w:color w:val="auto"/>
                <w:w w:val="91"/>
              </w:rPr>
              <w:t>Number of</w:t>
            </w:r>
          </w:p>
        </w:tc>
        <w:tc>
          <w:tcPr>
            <w:tcW w:w="15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Number of</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6"/>
              </w:rPr>
              <w:t>Securities</w:t>
            </w:r>
          </w:p>
        </w:tc>
        <w:tc>
          <w:tcPr>
            <w:tcW w:w="300" w:type="dxa"/>
            <w:vAlign w:val="bottom"/>
          </w:tcPr>
          <w:p>
            <w:pPr>
              <w:spacing w:after="0"/>
              <w:rPr>
                <w:sz w:val="17"/>
                <w:szCs w:val="17"/>
                <w:color w:val="auto"/>
              </w:rPr>
            </w:pPr>
          </w:p>
        </w:tc>
        <w:tc>
          <w:tcPr>
            <w:tcW w:w="1800" w:type="dxa"/>
            <w:vAlign w:val="bottom"/>
            <w:gridSpan w:val="2"/>
          </w:tcPr>
          <w:p>
            <w:pPr>
              <w:jc w:val="center"/>
              <w:ind w:right="223"/>
              <w:spacing w:after="0"/>
              <w:rPr>
                <w:sz w:val="20"/>
                <w:szCs w:val="20"/>
                <w:color w:val="auto"/>
              </w:rPr>
            </w:pPr>
            <w:r>
              <w:rPr>
                <w:rFonts w:ascii="Arial" w:cs="Arial" w:eastAsia="Arial" w:hAnsi="Arial"/>
                <w:sz w:val="17"/>
                <w:szCs w:val="17"/>
                <w:b w:val="1"/>
                <w:bCs w:val="1"/>
                <w:color w:val="auto"/>
                <w:w w:val="86"/>
              </w:rPr>
              <w:t>Securities</w:t>
            </w:r>
          </w:p>
        </w:tc>
        <w:tc>
          <w:tcPr>
            <w:tcW w:w="15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Securities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2"/>
              </w:rPr>
              <w:t>Underlying</w:t>
            </w:r>
          </w:p>
        </w:tc>
        <w:tc>
          <w:tcPr>
            <w:tcW w:w="300" w:type="dxa"/>
            <w:vAlign w:val="bottom"/>
          </w:tcPr>
          <w:p>
            <w:pPr>
              <w:spacing w:after="0"/>
              <w:rPr>
                <w:sz w:val="17"/>
                <w:szCs w:val="17"/>
                <w:color w:val="auto"/>
              </w:rPr>
            </w:pPr>
          </w:p>
        </w:tc>
        <w:tc>
          <w:tcPr>
            <w:tcW w:w="1800" w:type="dxa"/>
            <w:vAlign w:val="bottom"/>
            <w:gridSpan w:val="2"/>
          </w:tcPr>
          <w:p>
            <w:pPr>
              <w:jc w:val="center"/>
              <w:ind w:right="243"/>
              <w:spacing w:after="0"/>
              <w:rPr>
                <w:sz w:val="20"/>
                <w:szCs w:val="20"/>
                <w:color w:val="auto"/>
              </w:rPr>
            </w:pPr>
            <w:r>
              <w:rPr>
                <w:rFonts w:ascii="Arial" w:cs="Arial" w:eastAsia="Arial" w:hAnsi="Arial"/>
                <w:sz w:val="17"/>
                <w:szCs w:val="17"/>
                <w:b w:val="1"/>
                <w:bCs w:val="1"/>
                <w:color w:val="auto"/>
                <w:w w:val="90"/>
              </w:rPr>
              <w:t>Underlying</w:t>
            </w:r>
          </w:p>
        </w:tc>
        <w:tc>
          <w:tcPr>
            <w:tcW w:w="15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Underlying</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center"/>
              <w:ind w:left="216"/>
              <w:spacing w:after="0"/>
              <w:rPr>
                <w:sz w:val="20"/>
                <w:szCs w:val="20"/>
                <w:color w:val="auto"/>
              </w:rPr>
            </w:pPr>
            <w:r>
              <w:rPr>
                <w:rFonts w:ascii="Arial" w:cs="Arial" w:eastAsia="Arial" w:hAnsi="Arial"/>
                <w:sz w:val="17"/>
                <w:szCs w:val="17"/>
                <w:b w:val="1"/>
                <w:bCs w:val="1"/>
                <w:color w:val="auto"/>
                <w:w w:val="85"/>
              </w:rPr>
              <w:t>Unexercised</w:t>
            </w:r>
          </w:p>
        </w:tc>
        <w:tc>
          <w:tcPr>
            <w:tcW w:w="300" w:type="dxa"/>
            <w:vAlign w:val="bottom"/>
          </w:tcPr>
          <w:p>
            <w:pPr>
              <w:spacing w:after="0"/>
              <w:rPr>
                <w:sz w:val="17"/>
                <w:szCs w:val="17"/>
                <w:color w:val="auto"/>
              </w:rPr>
            </w:pPr>
          </w:p>
        </w:tc>
        <w:tc>
          <w:tcPr>
            <w:tcW w:w="1800" w:type="dxa"/>
            <w:vAlign w:val="bottom"/>
            <w:gridSpan w:val="2"/>
          </w:tcPr>
          <w:p>
            <w:pPr>
              <w:jc w:val="center"/>
              <w:ind w:right="243"/>
              <w:spacing w:after="0"/>
              <w:rPr>
                <w:sz w:val="20"/>
                <w:szCs w:val="20"/>
                <w:color w:val="auto"/>
              </w:rPr>
            </w:pPr>
            <w:r>
              <w:rPr>
                <w:rFonts w:ascii="Arial" w:cs="Arial" w:eastAsia="Arial" w:hAnsi="Arial"/>
                <w:sz w:val="17"/>
                <w:szCs w:val="17"/>
                <w:b w:val="1"/>
                <w:bCs w:val="1"/>
                <w:color w:val="auto"/>
                <w:w w:val="86"/>
              </w:rPr>
              <w:t>Unexercised</w:t>
            </w:r>
          </w:p>
        </w:tc>
        <w:tc>
          <w:tcPr>
            <w:tcW w:w="15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Unexercised</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1"/>
              </w:rPr>
              <w:t>Option</w:t>
            </w:r>
          </w:p>
        </w:tc>
        <w:tc>
          <w:tcPr>
            <w:tcW w:w="3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Option</w:t>
            </w:r>
          </w:p>
        </w:tc>
      </w:tr>
      <w:tr>
        <w:trPr>
          <w:trHeight w:val="207"/>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0"/>
              </w:rPr>
              <w:t>Options</w:t>
            </w:r>
          </w:p>
        </w:tc>
        <w:tc>
          <w:tcPr>
            <w:tcW w:w="300" w:type="dxa"/>
            <w:vAlign w:val="bottom"/>
          </w:tcPr>
          <w:p>
            <w:pPr>
              <w:spacing w:after="0"/>
              <w:rPr>
                <w:sz w:val="18"/>
                <w:szCs w:val="18"/>
                <w:color w:val="auto"/>
              </w:rPr>
            </w:pPr>
          </w:p>
        </w:tc>
        <w:tc>
          <w:tcPr>
            <w:tcW w:w="1800" w:type="dxa"/>
            <w:vAlign w:val="bottom"/>
            <w:gridSpan w:val="2"/>
          </w:tcPr>
          <w:p>
            <w:pPr>
              <w:jc w:val="center"/>
              <w:ind w:right="243"/>
              <w:spacing w:after="0"/>
              <w:rPr>
                <w:sz w:val="20"/>
                <w:szCs w:val="20"/>
                <w:color w:val="auto"/>
              </w:rPr>
            </w:pPr>
            <w:r>
              <w:rPr>
                <w:rFonts w:ascii="Arial" w:cs="Arial" w:eastAsia="Arial" w:hAnsi="Arial"/>
                <w:sz w:val="17"/>
                <w:szCs w:val="17"/>
                <w:b w:val="1"/>
                <w:bCs w:val="1"/>
                <w:color w:val="auto"/>
                <w:w w:val="87"/>
              </w:rPr>
              <w:t>Options</w:t>
            </w:r>
          </w:p>
        </w:tc>
        <w:tc>
          <w:tcPr>
            <w:tcW w:w="15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Unearned</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85"/>
              </w:rPr>
              <w:t>Exercise</w:t>
            </w:r>
          </w:p>
        </w:tc>
        <w:tc>
          <w:tcPr>
            <w:tcW w:w="3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Expiration</w:t>
            </w:r>
          </w:p>
        </w:tc>
      </w:tr>
      <w:tr>
        <w:trPr>
          <w:trHeight w:val="256"/>
        </w:trPr>
        <w:tc>
          <w:tcPr>
            <w:tcW w:w="2100" w:type="dxa"/>
            <w:vAlign w:val="bottom"/>
            <w:gridSpan w:val="3"/>
          </w:tcPr>
          <w:p>
            <w:pPr>
              <w:ind w:left="860"/>
              <w:spacing w:after="0"/>
              <w:rPr>
                <w:sz w:val="20"/>
                <w:szCs w:val="20"/>
                <w:color w:val="auto"/>
              </w:rPr>
            </w:pPr>
            <w:r>
              <w:rPr>
                <w:rFonts w:ascii="Arial" w:cs="Arial" w:eastAsia="Arial" w:hAnsi="Arial"/>
                <w:sz w:val="17"/>
                <w:szCs w:val="17"/>
                <w:b w:val="1"/>
                <w:bCs w:val="1"/>
                <w:color w:val="auto"/>
              </w:rPr>
              <w:t>Name</w:t>
            </w:r>
          </w:p>
        </w:tc>
        <w:tc>
          <w:tcPr>
            <w:tcW w:w="3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6"/>
              </w:rPr>
              <w:t>Exercisable</w:t>
            </w:r>
          </w:p>
        </w:tc>
        <w:tc>
          <w:tcPr>
            <w:tcW w:w="300" w:type="dxa"/>
            <w:vAlign w:val="bottom"/>
          </w:tcPr>
          <w:p>
            <w:pPr>
              <w:spacing w:after="0"/>
              <w:rPr>
                <w:sz w:val="22"/>
                <w:szCs w:val="22"/>
                <w:color w:val="auto"/>
              </w:rPr>
            </w:pPr>
          </w:p>
        </w:tc>
        <w:tc>
          <w:tcPr>
            <w:tcW w:w="1800" w:type="dxa"/>
            <w:vAlign w:val="bottom"/>
            <w:gridSpan w:val="2"/>
          </w:tcPr>
          <w:p>
            <w:pPr>
              <w:jc w:val="center"/>
              <w:ind w:right="243"/>
              <w:spacing w:after="0" w:line="257" w:lineRule="exact"/>
              <w:rPr>
                <w:sz w:val="20"/>
                <w:szCs w:val="20"/>
                <w:color w:val="auto"/>
              </w:rPr>
            </w:pPr>
            <w:r>
              <w:rPr>
                <w:rFonts w:ascii="Arial" w:cs="Arial" w:eastAsia="Arial" w:hAnsi="Arial"/>
                <w:sz w:val="17"/>
                <w:szCs w:val="17"/>
                <w:b w:val="1"/>
                <w:bCs w:val="1"/>
                <w:color w:val="auto"/>
                <w:w w:val="84"/>
              </w:rPr>
              <w:t>Unexercisable</w:t>
            </w:r>
            <w:r>
              <w:rPr>
                <w:rFonts w:ascii="Arial" w:cs="Arial" w:eastAsia="Arial" w:hAnsi="Arial"/>
                <w:sz w:val="27"/>
                <w:szCs w:val="27"/>
                <w:b w:val="1"/>
                <w:bCs w:val="1"/>
                <w:color w:val="auto"/>
                <w:w w:val="84"/>
                <w:vertAlign w:val="superscript"/>
              </w:rPr>
              <w:t>(1)</w:t>
            </w:r>
          </w:p>
        </w:tc>
        <w:tc>
          <w:tcPr>
            <w:tcW w:w="1560" w:type="dxa"/>
            <w:vAlign w:val="bottom"/>
            <w:gridSpan w:val="2"/>
          </w:tcPr>
          <w:p>
            <w:pPr>
              <w:jc w:val="center"/>
              <w:ind w:right="300"/>
              <w:spacing w:after="0" w:line="257" w:lineRule="exact"/>
              <w:rPr>
                <w:sz w:val="20"/>
                <w:szCs w:val="20"/>
                <w:color w:val="auto"/>
              </w:rPr>
            </w:pPr>
            <w:r>
              <w:rPr>
                <w:rFonts w:ascii="Arial" w:cs="Arial" w:eastAsia="Arial" w:hAnsi="Arial"/>
                <w:sz w:val="17"/>
                <w:szCs w:val="17"/>
                <w:b w:val="1"/>
                <w:bCs w:val="1"/>
                <w:color w:val="auto"/>
                <w:w w:val="85"/>
              </w:rPr>
              <w:t>Options</w:t>
            </w:r>
            <w:r>
              <w:rPr>
                <w:rFonts w:ascii="Arial" w:cs="Arial" w:eastAsia="Arial" w:hAnsi="Arial"/>
                <w:sz w:val="27"/>
                <w:szCs w:val="27"/>
                <w:b w:val="1"/>
                <w:bCs w:val="1"/>
                <w:color w:val="auto"/>
                <w:w w:val="85"/>
                <w:vertAlign w:val="superscript"/>
              </w:rPr>
              <w:t>(2)</w:t>
            </w:r>
          </w:p>
        </w:tc>
        <w:tc>
          <w:tcPr>
            <w:tcW w:w="780" w:type="dxa"/>
            <w:vAlign w:val="bottom"/>
          </w:tcPr>
          <w:p>
            <w:pPr>
              <w:jc w:val="center"/>
              <w:spacing w:after="0" w:line="257" w:lineRule="exact"/>
              <w:rPr>
                <w:sz w:val="20"/>
                <w:szCs w:val="20"/>
                <w:color w:val="auto"/>
              </w:rPr>
            </w:pPr>
            <w:r>
              <w:rPr>
                <w:rFonts w:ascii="Arial" w:cs="Arial" w:eastAsia="Arial" w:hAnsi="Arial"/>
                <w:sz w:val="17"/>
                <w:szCs w:val="17"/>
                <w:b w:val="1"/>
                <w:bCs w:val="1"/>
                <w:color w:val="auto"/>
                <w:w w:val="84"/>
              </w:rPr>
              <w:t>Price</w:t>
            </w:r>
            <w:r>
              <w:rPr>
                <w:rFonts w:ascii="Arial" w:cs="Arial" w:eastAsia="Arial" w:hAnsi="Arial"/>
                <w:sz w:val="27"/>
                <w:szCs w:val="27"/>
                <w:b w:val="1"/>
                <w:bCs w:val="1"/>
                <w:color w:val="auto"/>
                <w:w w:val="84"/>
                <w:vertAlign w:val="superscript"/>
              </w:rPr>
              <w:t>(3)</w:t>
            </w:r>
          </w:p>
        </w:tc>
        <w:tc>
          <w:tcPr>
            <w:tcW w:w="300" w:type="dxa"/>
            <w:vAlign w:val="bottom"/>
          </w:tcPr>
          <w:p>
            <w:pPr>
              <w:spacing w:after="0"/>
              <w:rPr>
                <w:sz w:val="22"/>
                <w:szCs w:val="22"/>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Date</w:t>
            </w: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8"/>
        </w:trPr>
        <w:tc>
          <w:tcPr>
            <w:tcW w:w="2100" w:type="dxa"/>
            <w:vAlign w:val="bottom"/>
            <w:gridSpan w:val="3"/>
            <w:shd w:val="clear" w:color="auto" w:fill="CCEEFF"/>
          </w:tcPr>
          <w:p>
            <w:pPr>
              <w:spacing w:after="0" w:line="237"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6,026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1/31/2015</w:t>
            </w:r>
          </w:p>
        </w:tc>
        <w:tc>
          <w:tcPr>
            <w:tcW w:w="160" w:type="dxa"/>
            <w:vAlign w:val="bottom"/>
            <w:shd w:val="clear" w:color="auto" w:fill="CCEEFF"/>
          </w:tcPr>
          <w:p>
            <w:pPr>
              <w:spacing w:after="0"/>
              <w:rPr>
                <w:sz w:val="20"/>
                <w:szCs w:val="20"/>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1/31/2016</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5/10/2017</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137,500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w w:val="81"/>
              </w:rPr>
              <w:t>(5)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shd w:val="clear" w:color="auto" w:fill="CCEEFF"/>
          </w:tcPr>
          <w:p>
            <w:pPr>
              <w:spacing w:after="0"/>
              <w:rPr>
                <w:sz w:val="17"/>
                <w:szCs w:val="17"/>
                <w:color w:val="auto"/>
              </w:rPr>
            </w:pPr>
          </w:p>
        </w:tc>
      </w:tr>
      <w:tr>
        <w:trPr>
          <w:trHeight w:val="468"/>
        </w:trPr>
        <w:tc>
          <w:tcPr>
            <w:tcW w:w="2100" w:type="dxa"/>
            <w:vAlign w:val="bottom"/>
            <w:gridSpan w:val="3"/>
          </w:tcPr>
          <w:p>
            <w:pPr>
              <w:spacing w:after="0"/>
              <w:rPr>
                <w:sz w:val="20"/>
                <w:szCs w:val="20"/>
                <w:color w:val="auto"/>
              </w:rPr>
            </w:pPr>
            <w:r>
              <w:rPr>
                <w:rFonts w:ascii="Arial" w:cs="Arial" w:eastAsia="Arial" w:hAnsi="Arial"/>
                <w:sz w:val="17"/>
                <w:szCs w:val="17"/>
                <w:color w:val="auto"/>
              </w:rPr>
              <w:t>Kevin J. Wilcox</w:t>
            </w:r>
            <w:r>
              <w:rPr>
                <w:rFonts w:ascii="Arial" w:cs="Arial" w:eastAsia="Arial" w:hAnsi="Arial"/>
                <w:sz w:val="27"/>
                <w:szCs w:val="27"/>
                <w:color w:val="auto"/>
                <w:vertAlign w:val="superscript"/>
              </w:rPr>
              <w:t>(4)</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5,948</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$11.02</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1/31/2016</w:t>
            </w:r>
          </w:p>
        </w:tc>
        <w:tc>
          <w:tcPr>
            <w:tcW w:w="160" w:type="dxa"/>
            <w:vAlign w:val="bottom"/>
          </w:tcPr>
          <w:p>
            <w:pPr>
              <w:spacing w:after="0"/>
              <w:rPr>
                <w:sz w:val="24"/>
                <w:szCs w:val="24"/>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8,130</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$13.58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5/10/2017</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51,667</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103,334</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51,667</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30,000</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60,000</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tcPr>
          <w:p>
            <w:pPr>
              <w:spacing w:after="0"/>
              <w:rPr>
                <w:sz w:val="17"/>
                <w:szCs w:val="17"/>
                <w:color w:val="auto"/>
              </w:rPr>
            </w:pPr>
          </w:p>
        </w:tc>
      </w:tr>
      <w:tr>
        <w:trPr>
          <w:trHeight w:val="214"/>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22,500</w:t>
            </w:r>
          </w:p>
        </w:tc>
        <w:tc>
          <w:tcPr>
            <w:tcW w:w="2100" w:type="dxa"/>
            <w:vAlign w:val="bottom"/>
            <w:gridSpan w:val="3"/>
          </w:tcPr>
          <w:p>
            <w:pPr>
              <w:jc w:val="right"/>
              <w:ind w:right="63"/>
              <w:spacing w:after="0"/>
              <w:rPr>
                <w:sz w:val="20"/>
                <w:szCs w:val="20"/>
                <w:color w:val="auto"/>
              </w:rPr>
            </w:pPr>
            <w:r>
              <w:rPr>
                <w:rFonts w:ascii="Arial" w:cs="Arial" w:eastAsia="Arial" w:hAnsi="Arial"/>
                <w:sz w:val="17"/>
                <w:szCs w:val="17"/>
                <w:color w:val="auto"/>
              </w:rPr>
              <w:t>7,500</w:t>
            </w:r>
            <w:r>
              <w:rPr>
                <w:rFonts w:ascii="Arial" w:cs="Arial" w:eastAsia="Arial" w:hAnsi="Arial"/>
                <w:sz w:val="13"/>
                <w:szCs w:val="13"/>
                <w:color w:val="auto"/>
              </w:rPr>
              <w:t>(5)</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tcPr>
          <w:p>
            <w:pPr>
              <w:spacing w:after="0"/>
              <w:rPr>
                <w:sz w:val="18"/>
                <w:szCs w:val="18"/>
                <w:color w:val="auto"/>
              </w:rPr>
            </w:pPr>
          </w:p>
        </w:tc>
      </w:tr>
      <w:tr>
        <w:trPr>
          <w:trHeight w:val="477"/>
        </w:trPr>
        <w:tc>
          <w:tcPr>
            <w:tcW w:w="2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Michelle D. Esterman</w:t>
            </w:r>
            <w:r>
              <w:rPr>
                <w:rFonts w:ascii="Arial" w:cs="Arial" w:eastAsia="Arial" w:hAnsi="Arial"/>
                <w:sz w:val="27"/>
                <w:szCs w:val="27"/>
                <w:color w:val="auto"/>
                <w:vertAlign w:val="superscript"/>
              </w:rPr>
              <w:t>(4)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7,313</w:t>
            </w:r>
          </w:p>
        </w:tc>
        <w:tc>
          <w:tcPr>
            <w:tcW w:w="2100" w:type="dxa"/>
            <w:vAlign w:val="bottom"/>
            <w:gridSpan w:val="3"/>
            <w:shd w:val="clear" w:color="auto" w:fill="CCEEFF"/>
          </w:tcPr>
          <w:p>
            <w:pPr>
              <w:jc w:val="right"/>
              <w:ind w:right="63"/>
              <w:spacing w:after="0"/>
              <w:rPr>
                <w:sz w:val="20"/>
                <w:szCs w:val="20"/>
                <w:color w:val="auto"/>
              </w:rPr>
            </w:pPr>
            <w:r>
              <w:rPr>
                <w:rFonts w:ascii="Arial" w:cs="Arial" w:eastAsia="Arial" w:hAnsi="Arial"/>
                <w:sz w:val="17"/>
                <w:szCs w:val="17"/>
                <w:color w:val="auto"/>
              </w:rPr>
              <w:t>7,312</w:t>
            </w:r>
            <w:r>
              <w:rPr>
                <w:rFonts w:ascii="Arial" w:cs="Arial" w:eastAsia="Arial" w:hAnsi="Arial"/>
                <w:sz w:val="13"/>
                <w:szCs w:val="13"/>
                <w:color w:val="auto"/>
              </w:rPr>
              <w:t>(6)</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3/12/2022</w:t>
            </w:r>
          </w:p>
        </w:tc>
        <w:tc>
          <w:tcPr>
            <w:tcW w:w="160" w:type="dxa"/>
            <w:vAlign w:val="bottom"/>
            <w:shd w:val="clear" w:color="auto" w:fill="CCEEFF"/>
          </w:tcPr>
          <w:p>
            <w:pPr>
              <w:spacing w:after="0"/>
              <w:rPr>
                <w:sz w:val="24"/>
                <w:szCs w:val="24"/>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21,938</w:t>
            </w:r>
          </w:p>
        </w:tc>
        <w:tc>
          <w:tcPr>
            <w:tcW w:w="2100" w:type="dxa"/>
            <w:vAlign w:val="bottom"/>
            <w:gridSpan w:val="3"/>
            <w:shd w:val="clear" w:color="auto" w:fill="CCEEFF"/>
          </w:tcPr>
          <w:p>
            <w:pPr>
              <w:jc w:val="right"/>
              <w:ind w:right="63"/>
              <w:spacing w:after="0"/>
              <w:rPr>
                <w:sz w:val="20"/>
                <w:szCs w:val="20"/>
                <w:color w:val="auto"/>
              </w:rPr>
            </w:pPr>
            <w:r>
              <w:rPr>
                <w:rFonts w:ascii="Arial" w:cs="Arial" w:eastAsia="Arial" w:hAnsi="Arial"/>
                <w:sz w:val="17"/>
                <w:szCs w:val="17"/>
                <w:color w:val="auto"/>
              </w:rPr>
              <w:t>7,312</w:t>
            </w:r>
            <w:r>
              <w:rPr>
                <w:rFonts w:ascii="Arial" w:cs="Arial" w:eastAsia="Arial" w:hAnsi="Arial"/>
                <w:sz w:val="13"/>
                <w:szCs w:val="13"/>
                <w:color w:val="auto"/>
              </w:rPr>
              <w:t>(7)</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3/12/2022</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14,625</w:t>
            </w:r>
            <w:r>
              <w:rPr>
                <w:rFonts w:ascii="Arial" w:cs="Arial" w:eastAsia="Arial" w:hAnsi="Arial"/>
                <w:sz w:val="13"/>
                <w:szCs w:val="13"/>
                <w:color w:val="auto"/>
              </w:rPr>
              <w:t>(8)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3/12/2022</w:t>
            </w:r>
          </w:p>
        </w:tc>
        <w:tc>
          <w:tcPr>
            <w:tcW w:w="160" w:type="dxa"/>
            <w:vAlign w:val="bottom"/>
            <w:shd w:val="clear" w:color="auto" w:fill="CCEEFF"/>
          </w:tcPr>
          <w:p>
            <w:pPr>
              <w:spacing w:after="0"/>
              <w:rPr>
                <w:sz w:val="17"/>
                <w:szCs w:val="17"/>
                <w:color w:val="auto"/>
              </w:rPr>
            </w:pPr>
          </w:p>
        </w:tc>
      </w:tr>
      <w:tr>
        <w:trPr>
          <w:trHeight w:val="429"/>
        </w:trPr>
        <w:tc>
          <w:tcPr>
            <w:tcW w:w="2100" w:type="dxa"/>
            <w:vAlign w:val="bottom"/>
            <w:gridSpan w:val="3"/>
          </w:tcPr>
          <w:p>
            <w:pPr>
              <w:spacing w:after="0"/>
              <w:rPr>
                <w:sz w:val="20"/>
                <w:szCs w:val="20"/>
                <w:color w:val="auto"/>
              </w:rPr>
            </w:pPr>
            <w:r>
              <w:rPr>
                <w:rFonts w:ascii="Arial" w:cs="Arial" w:eastAsia="Arial" w:hAnsi="Arial"/>
                <w:sz w:val="17"/>
                <w:szCs w:val="17"/>
                <w:color w:val="auto"/>
              </w:rPr>
              <w:t>Joseph A. Davila</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4,688</w:t>
            </w:r>
          </w:p>
        </w:tc>
        <w:tc>
          <w:tcPr>
            <w:tcW w:w="2100" w:type="dxa"/>
            <w:vAlign w:val="bottom"/>
            <w:gridSpan w:val="3"/>
          </w:tcPr>
          <w:p>
            <w:pPr>
              <w:jc w:val="right"/>
              <w:ind w:right="63"/>
              <w:spacing w:after="0"/>
              <w:rPr>
                <w:sz w:val="20"/>
                <w:szCs w:val="20"/>
                <w:color w:val="auto"/>
              </w:rPr>
            </w:pPr>
            <w:r>
              <w:rPr>
                <w:rFonts w:ascii="Arial" w:cs="Arial" w:eastAsia="Arial" w:hAnsi="Arial"/>
                <w:sz w:val="17"/>
                <w:szCs w:val="17"/>
                <w:color w:val="auto"/>
              </w:rPr>
              <w:t>1,562</w:t>
            </w:r>
            <w:r>
              <w:rPr>
                <w:rFonts w:ascii="Arial" w:cs="Arial" w:eastAsia="Arial" w:hAnsi="Arial"/>
                <w:sz w:val="13"/>
                <w:szCs w:val="13"/>
                <w:color w:val="auto"/>
              </w:rPr>
              <w:t>(9)</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$32.55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7/28/2021</w:t>
            </w:r>
          </w:p>
        </w:tc>
        <w:tc>
          <w:tcPr>
            <w:tcW w:w="160" w:type="dxa"/>
            <w:vAlign w:val="bottom"/>
          </w:tcPr>
          <w:p>
            <w:pPr>
              <w:spacing w:after="0"/>
              <w:rPr>
                <w:sz w:val="24"/>
                <w:szCs w:val="24"/>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9,375</w:t>
            </w:r>
          </w:p>
        </w:tc>
        <w:tc>
          <w:tcPr>
            <w:tcW w:w="2100" w:type="dxa"/>
            <w:vAlign w:val="bottom"/>
            <w:gridSpan w:val="3"/>
          </w:tcPr>
          <w:p>
            <w:pPr>
              <w:jc w:val="right"/>
              <w:ind w:right="3"/>
              <w:spacing w:after="0"/>
              <w:rPr>
                <w:sz w:val="20"/>
                <w:szCs w:val="20"/>
                <w:color w:val="auto"/>
              </w:rPr>
            </w:pPr>
            <w:r>
              <w:rPr>
                <w:rFonts w:ascii="Arial" w:cs="Arial" w:eastAsia="Arial" w:hAnsi="Arial"/>
                <w:sz w:val="17"/>
                <w:szCs w:val="17"/>
                <w:color w:val="auto"/>
              </w:rPr>
              <w:t>3,125</w:t>
            </w:r>
            <w:r>
              <w:rPr>
                <w:rFonts w:ascii="Arial" w:cs="Arial" w:eastAsia="Arial" w:hAnsi="Arial"/>
                <w:sz w:val="13"/>
                <w:szCs w:val="13"/>
                <w:color w:val="auto"/>
              </w:rPr>
              <w:t>(10)</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$32.55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7/28/2021</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4,688</w:t>
            </w:r>
          </w:p>
        </w:tc>
        <w:tc>
          <w:tcPr>
            <w:tcW w:w="2100" w:type="dxa"/>
            <w:vAlign w:val="bottom"/>
            <w:gridSpan w:val="3"/>
          </w:tcPr>
          <w:p>
            <w:pPr>
              <w:jc w:val="right"/>
              <w:ind w:right="3"/>
              <w:spacing w:after="0"/>
              <w:rPr>
                <w:sz w:val="20"/>
                <w:szCs w:val="20"/>
                <w:color w:val="auto"/>
              </w:rPr>
            </w:pPr>
            <w:r>
              <w:rPr>
                <w:rFonts w:ascii="Arial" w:cs="Arial" w:eastAsia="Arial" w:hAnsi="Arial"/>
                <w:sz w:val="17"/>
                <w:szCs w:val="17"/>
                <w:color w:val="auto"/>
              </w:rPr>
              <w:t>1,562</w:t>
            </w:r>
            <w:r>
              <w:rPr>
                <w:rFonts w:ascii="Arial" w:cs="Arial" w:eastAsia="Arial" w:hAnsi="Arial"/>
                <w:sz w:val="13"/>
                <w:szCs w:val="13"/>
                <w:color w:val="auto"/>
              </w:rPr>
              <w:t>(11)</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$32.55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7/28/2021</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469</w:t>
            </w:r>
          </w:p>
        </w:tc>
        <w:tc>
          <w:tcPr>
            <w:tcW w:w="2100" w:type="dxa"/>
            <w:vAlign w:val="bottom"/>
            <w:gridSpan w:val="3"/>
          </w:tcPr>
          <w:p>
            <w:pPr>
              <w:jc w:val="right"/>
              <w:ind w:right="3"/>
              <w:spacing w:after="0"/>
              <w:rPr>
                <w:sz w:val="20"/>
                <w:szCs w:val="20"/>
                <w:color w:val="auto"/>
              </w:rPr>
            </w:pPr>
            <w:r>
              <w:rPr>
                <w:rFonts w:ascii="Arial" w:cs="Arial" w:eastAsia="Arial" w:hAnsi="Arial"/>
                <w:sz w:val="17"/>
                <w:szCs w:val="17"/>
                <w:color w:val="auto"/>
              </w:rPr>
              <w:t>1,406</w:t>
            </w:r>
            <w:r>
              <w:rPr>
                <w:rFonts w:ascii="Arial" w:cs="Arial" w:eastAsia="Arial" w:hAnsi="Arial"/>
                <w:sz w:val="13"/>
                <w:szCs w:val="13"/>
                <w:color w:val="auto"/>
              </w:rPr>
              <w:t>(12)</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$95.12</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5/15/2023</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100" w:type="dxa"/>
            <w:vAlign w:val="bottom"/>
            <w:gridSpan w:val="3"/>
          </w:tcPr>
          <w:p>
            <w:pPr>
              <w:jc w:val="right"/>
              <w:ind w:right="3"/>
              <w:spacing w:after="0"/>
              <w:rPr>
                <w:sz w:val="20"/>
                <w:szCs w:val="20"/>
                <w:color w:val="auto"/>
              </w:rPr>
            </w:pPr>
            <w:r>
              <w:rPr>
                <w:rFonts w:ascii="Arial" w:cs="Arial" w:eastAsia="Arial" w:hAnsi="Arial"/>
                <w:sz w:val="17"/>
                <w:szCs w:val="17"/>
                <w:color w:val="auto"/>
              </w:rPr>
              <w:t>1,875</w:t>
            </w:r>
            <w:r>
              <w:rPr>
                <w:rFonts w:ascii="Arial" w:cs="Arial" w:eastAsia="Arial" w:hAnsi="Arial"/>
                <w:sz w:val="13"/>
                <w:szCs w:val="13"/>
                <w:color w:val="auto"/>
              </w:rPr>
              <w:t>(13)</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$105.11</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5/15/2024</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5,625</w:t>
            </w:r>
            <w:r>
              <w:rPr>
                <w:rFonts w:ascii="Arial" w:cs="Arial" w:eastAsia="Arial" w:hAnsi="Arial"/>
                <w:sz w:val="13"/>
                <w:szCs w:val="13"/>
                <w:color w:val="auto"/>
              </w:rPr>
              <w:t>(14)</w:t>
            </w:r>
          </w:p>
        </w:tc>
        <w:tc>
          <w:tcPr>
            <w:tcW w:w="780" w:type="dxa"/>
            <w:vAlign w:val="bottom"/>
          </w:tcPr>
          <w:p>
            <w:pPr>
              <w:jc w:val="right"/>
              <w:spacing w:after="0"/>
              <w:rPr>
                <w:sz w:val="20"/>
                <w:szCs w:val="20"/>
                <w:color w:val="auto"/>
              </w:rPr>
            </w:pPr>
            <w:r>
              <w:rPr>
                <w:rFonts w:ascii="Arial" w:cs="Arial" w:eastAsia="Arial" w:hAnsi="Arial"/>
                <w:sz w:val="17"/>
                <w:szCs w:val="17"/>
                <w:color w:val="auto"/>
              </w:rPr>
              <w:t>$105.11</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5/15/2024</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100" w:type="dxa"/>
            <w:vAlign w:val="bottom"/>
            <w:gridSpan w:val="3"/>
          </w:tcPr>
          <w:p>
            <w:pPr>
              <w:jc w:val="right"/>
              <w:ind w:right="3"/>
              <w:spacing w:after="0"/>
              <w:rPr>
                <w:sz w:val="20"/>
                <w:szCs w:val="20"/>
                <w:color w:val="auto"/>
              </w:rPr>
            </w:pPr>
            <w:r>
              <w:rPr>
                <w:rFonts w:ascii="Arial" w:cs="Arial" w:eastAsia="Arial" w:hAnsi="Arial"/>
                <w:sz w:val="17"/>
                <w:szCs w:val="17"/>
                <w:color w:val="auto"/>
              </w:rPr>
              <w:t>6,250</w:t>
            </w:r>
            <w:r>
              <w:rPr>
                <w:rFonts w:ascii="Arial" w:cs="Arial" w:eastAsia="Arial" w:hAnsi="Arial"/>
                <w:sz w:val="13"/>
                <w:szCs w:val="13"/>
                <w:color w:val="auto"/>
              </w:rPr>
              <w:t>(15)</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$72.78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11/11/2024</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12,500</w:t>
            </w:r>
            <w:r>
              <w:rPr>
                <w:rFonts w:ascii="Arial" w:cs="Arial" w:eastAsia="Arial" w:hAnsi="Arial"/>
                <w:sz w:val="13"/>
                <w:szCs w:val="13"/>
                <w:color w:val="auto"/>
              </w:rPr>
              <w:t>(16)</w:t>
            </w:r>
          </w:p>
        </w:tc>
        <w:tc>
          <w:tcPr>
            <w:tcW w:w="780" w:type="dxa"/>
            <w:vAlign w:val="bottom"/>
          </w:tcPr>
          <w:p>
            <w:pPr>
              <w:jc w:val="right"/>
              <w:spacing w:after="0"/>
              <w:rPr>
                <w:sz w:val="20"/>
                <w:szCs w:val="20"/>
                <w:color w:val="auto"/>
              </w:rPr>
            </w:pPr>
            <w:r>
              <w:rPr>
                <w:rFonts w:ascii="Arial" w:cs="Arial" w:eastAsia="Arial" w:hAnsi="Arial"/>
                <w:sz w:val="17"/>
                <w:szCs w:val="17"/>
                <w:color w:val="auto"/>
              </w:rPr>
              <w:t>$72.78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11/11/2024</w:t>
            </w:r>
          </w:p>
        </w:tc>
        <w:tc>
          <w:tcPr>
            <w:tcW w:w="160" w:type="dxa"/>
            <w:vAlign w:val="bottom"/>
          </w:tcPr>
          <w:p>
            <w:pPr>
              <w:spacing w:after="0"/>
              <w:rPr>
                <w:sz w:val="17"/>
                <w:szCs w:val="17"/>
                <w:color w:val="auto"/>
              </w:rPr>
            </w:pPr>
          </w:p>
        </w:tc>
      </w:tr>
      <w:tr>
        <w:trPr>
          <w:trHeight w:val="214"/>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6,250</w:t>
            </w:r>
            <w:r>
              <w:rPr>
                <w:rFonts w:ascii="Arial" w:cs="Arial" w:eastAsia="Arial" w:hAnsi="Arial"/>
                <w:sz w:val="13"/>
                <w:szCs w:val="13"/>
                <w:color w:val="auto"/>
              </w:rPr>
              <w:t>(17)</w:t>
            </w:r>
          </w:p>
        </w:tc>
        <w:tc>
          <w:tcPr>
            <w:tcW w:w="780" w:type="dxa"/>
            <w:vAlign w:val="bottom"/>
          </w:tcPr>
          <w:p>
            <w:pPr>
              <w:jc w:val="right"/>
              <w:spacing w:after="0"/>
              <w:rPr>
                <w:sz w:val="20"/>
                <w:szCs w:val="20"/>
                <w:color w:val="auto"/>
              </w:rPr>
            </w:pPr>
            <w:r>
              <w:rPr>
                <w:rFonts w:ascii="Arial" w:cs="Arial" w:eastAsia="Arial" w:hAnsi="Arial"/>
                <w:sz w:val="17"/>
                <w:szCs w:val="17"/>
                <w:color w:val="auto"/>
              </w:rPr>
              <w:t>$72.78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11/11/2024</w:t>
            </w:r>
          </w:p>
        </w:tc>
        <w:tc>
          <w:tcPr>
            <w:tcW w:w="160" w:type="dxa"/>
            <w:vAlign w:val="bottom"/>
          </w:tcPr>
          <w:p>
            <w:pPr>
              <w:spacing w:after="0"/>
              <w:rPr>
                <w:sz w:val="18"/>
                <w:szCs w:val="18"/>
                <w:color w:val="auto"/>
              </w:rPr>
            </w:pPr>
          </w:p>
        </w:tc>
      </w:tr>
      <w:tr>
        <w:trPr>
          <w:trHeight w:val="437"/>
        </w:trPr>
        <w:tc>
          <w:tcPr>
            <w:tcW w:w="2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Mark J. Hynes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1/25/2020</w:t>
            </w:r>
          </w:p>
        </w:tc>
        <w:tc>
          <w:tcPr>
            <w:tcW w:w="160" w:type="dxa"/>
            <w:vAlign w:val="bottom"/>
            <w:shd w:val="clear" w:color="auto" w:fill="CCEEFF"/>
          </w:tcPr>
          <w:p>
            <w:pPr>
              <w:spacing w:after="0"/>
              <w:rPr>
                <w:sz w:val="24"/>
                <w:szCs w:val="24"/>
                <w:color w:val="auto"/>
              </w:rPr>
            </w:pPr>
          </w:p>
        </w:tc>
      </w:tr>
      <w:tr>
        <w:trPr>
          <w:trHeight w:val="208"/>
        </w:trPr>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1/25/2020</w:t>
            </w:r>
          </w:p>
        </w:tc>
        <w:tc>
          <w:tcPr>
            <w:tcW w:w="160" w:type="dxa"/>
            <w:vAlign w:val="bottom"/>
            <w:shd w:val="clear" w:color="auto" w:fill="CCEEFF"/>
          </w:tcPr>
          <w:p>
            <w:pPr>
              <w:spacing w:after="0"/>
              <w:rPr>
                <w:sz w:val="18"/>
                <w:szCs w:val="18"/>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210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rPr>
              <w:t>5,000</w:t>
            </w:r>
            <w:r>
              <w:rPr>
                <w:rFonts w:ascii="Arial" w:cs="Arial" w:eastAsia="Arial" w:hAnsi="Arial"/>
                <w:sz w:val="13"/>
                <w:szCs w:val="13"/>
                <w:color w:val="auto"/>
              </w:rPr>
              <w:t>(18)</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1/25/2020</w:t>
            </w:r>
          </w:p>
        </w:tc>
        <w:tc>
          <w:tcPr>
            <w:tcW w:w="160" w:type="dxa"/>
            <w:vAlign w:val="bottom"/>
            <w:shd w:val="clear" w:color="auto" w:fill="CCEEFF"/>
          </w:tcPr>
          <w:p>
            <w:pPr>
              <w:spacing w:after="0"/>
              <w:rPr>
                <w:sz w:val="17"/>
                <w:szCs w:val="17"/>
                <w:color w:val="auto"/>
              </w:rPr>
            </w:pPr>
          </w:p>
        </w:tc>
      </w:tr>
    </w:tbl>
    <w:p>
      <w:pPr>
        <w:spacing w:after="0" w:line="89" w:lineRule="exact"/>
        <w:rPr>
          <w:sz w:val="20"/>
          <w:szCs w:val="20"/>
          <w:color w:val="auto"/>
        </w:rPr>
      </w:pPr>
    </w:p>
    <w:p>
      <w:pPr>
        <w:ind w:left="1660" w:hanging="515"/>
        <w:spacing w:after="0"/>
        <w:tabs>
          <w:tab w:leader="none" w:pos="1660"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Options awarded where the performance hurdles have been achieved but remain subject to additional service-based criteria.</w:t>
      </w:r>
    </w:p>
    <w:p>
      <w:pPr>
        <w:spacing w:after="0" w:line="152" w:lineRule="exact"/>
        <w:rPr>
          <w:rFonts w:ascii="Arial" w:cs="Arial" w:eastAsia="Arial" w:hAnsi="Arial"/>
          <w:sz w:val="28"/>
          <w:szCs w:val="28"/>
          <w:color w:val="auto"/>
          <w:vertAlign w:val="superscript"/>
        </w:rPr>
      </w:pPr>
    </w:p>
    <w:p>
      <w:pPr>
        <w:ind w:left="1660" w:hanging="515"/>
        <w:spacing w:after="0" w:line="202" w:lineRule="auto"/>
        <w:tabs>
          <w:tab w:leader="none" w:pos="1660"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Options awarded where the performance hurdles have not been achieved.</w:t>
      </w:r>
    </w:p>
    <w:p>
      <w:pPr>
        <w:spacing w:after="0" w:line="200" w:lineRule="exact"/>
        <w:rPr>
          <w:rFonts w:ascii="Arial" w:cs="Arial" w:eastAsia="Arial" w:hAnsi="Arial"/>
          <w:sz w:val="28"/>
          <w:szCs w:val="28"/>
          <w:color w:val="auto"/>
          <w:vertAlign w:val="superscript"/>
        </w:rPr>
      </w:pPr>
    </w:p>
    <w:p>
      <w:pPr>
        <w:ind w:left="1660" w:hanging="515"/>
        <w:spacing w:after="0" w:line="210" w:lineRule="auto"/>
        <w:tabs>
          <w:tab w:leader="none" w:pos="1660"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The exercise price of each outstanding stock option of Altisource was adjusted to reflect the value of AAMC and Residential common stock distributed to Altisource shareholders in connection with the spin-off transactions completed on December 21, 2012. Additionally, in connection with the spin-off transactions, each</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46" w:name="page47"/>
    <w:bookmarkEnd w:id="46"/>
    <w:p>
      <w:pPr>
        <w:ind w:left="1660" w:right="100"/>
        <w:spacing w:after="0" w:line="343" w:lineRule="auto"/>
        <w:rPr>
          <w:sz w:val="20"/>
          <w:szCs w:val="20"/>
          <w:color w:val="auto"/>
        </w:rPr>
      </w:pPr>
      <w:r>
        <w:rPr>
          <w:rFonts w:ascii="Arial" w:cs="Arial" w:eastAsia="Arial" w:hAnsi="Arial"/>
          <w:sz w:val="15"/>
          <w:szCs w:val="15"/>
          <w:color w:val="auto"/>
        </w:rPr>
        <w:t>of our named executive officers received new AAMC stock options and new Residential stock options in amounts proportional to the number of Altisource stock options held on the date of the spin-off transactions, as further described in footnote 4 to our Summary Compensation Table.</w:t>
      </w:r>
    </w:p>
    <w:p>
      <w:pPr>
        <w:spacing w:after="0" w:line="125" w:lineRule="exact"/>
        <w:rPr>
          <w:sz w:val="20"/>
          <w:szCs w:val="20"/>
          <w:color w:val="auto"/>
        </w:rPr>
      </w:pPr>
    </w:p>
    <w:p>
      <w:pPr>
        <w:ind w:left="1660" w:hanging="515"/>
        <w:spacing w:after="0" w:line="269" w:lineRule="auto"/>
        <w:tabs>
          <w:tab w:leader="none" w:pos="1660"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A one-time AAMC Restricted Stock award was granted to our Chief Executive Officer, Chief Administration Officer and Chief Financial Officer pursuant to the Altisource Asset Management Corporation 2012 Equity Incentive Plan on December 11, 2012. Mr. Shepro received 29,216 shares of AAMC Restricted Stock, of which 21,912 had not vested as of December 31, 2014, with a market value as of December 31, 2014 of $6,795,349. Mr. Wilcox received 14,608 shares of AAMC Restricted Stock, of which 10,956 had not vested as of December 31, 2014, with a market value as of December 31, 2014 of $3,397,675. Ms. Esterman received 8,765 shares of AAMC Restricted Stock, of which 6,573 had not vested as of December 31, 2014, with a market value as of December 31, 2014 of $2,038,419. Awards vest in accordance with a vesting schedule (over a four-year period) if the market value of AAMC's stock meets the established market value and other criteria, which were met on January 11, 2013 (first 25%), April 26, 2013 (next 50%) and May 21, 2013 (remaining 25%).</w:t>
      </w:r>
    </w:p>
    <w:p>
      <w:pPr>
        <w:spacing w:after="0" w:line="82" w:lineRule="exact"/>
        <w:rPr>
          <w:rFonts w:ascii="Arial" w:cs="Arial" w:eastAsia="Arial" w:hAnsi="Arial"/>
          <w:sz w:val="25"/>
          <w:szCs w:val="25"/>
          <w:color w:val="auto"/>
          <w:vertAlign w:val="superscript"/>
        </w:rPr>
      </w:pPr>
    </w:p>
    <w:p>
      <w:pPr>
        <w:ind w:left="1660" w:hanging="515"/>
        <w:spacing w:after="0"/>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vest on July 2, 2015.</w:t>
      </w:r>
    </w:p>
    <w:p>
      <w:pPr>
        <w:spacing w:after="0" w:line="139" w:lineRule="exact"/>
        <w:rPr>
          <w:rFonts w:ascii="Arial" w:cs="Arial" w:eastAsia="Arial" w:hAnsi="Arial"/>
          <w:sz w:val="28"/>
          <w:szCs w:val="28"/>
          <w:color w:val="auto"/>
          <w:vertAlign w:val="superscript"/>
        </w:rPr>
      </w:pPr>
    </w:p>
    <w:p>
      <w:pPr>
        <w:ind w:left="1660" w:hanging="515"/>
        <w:spacing w:after="0" w:line="202"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vest in two (2) equal installments on March 12, 2015 and March 12, 2016.</w:t>
      </w:r>
    </w:p>
    <w:p>
      <w:pPr>
        <w:spacing w:after="0" w:line="153" w:lineRule="exact"/>
        <w:rPr>
          <w:rFonts w:ascii="Arial" w:cs="Arial" w:eastAsia="Arial" w:hAnsi="Arial"/>
          <w:sz w:val="28"/>
          <w:szCs w:val="28"/>
          <w:color w:val="auto"/>
          <w:vertAlign w:val="superscript"/>
        </w:rPr>
      </w:pPr>
    </w:p>
    <w:p>
      <w:pPr>
        <w:ind w:left="1660" w:hanging="515"/>
        <w:spacing w:after="0" w:line="193"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vest on October 24, 2015.</w:t>
      </w:r>
    </w:p>
    <w:p>
      <w:pPr>
        <w:spacing w:after="0" w:line="212" w:lineRule="exact"/>
        <w:rPr>
          <w:rFonts w:ascii="Arial" w:cs="Arial" w:eastAsia="Arial" w:hAnsi="Arial"/>
          <w:sz w:val="28"/>
          <w:szCs w:val="28"/>
          <w:color w:val="auto"/>
          <w:vertAlign w:val="superscript"/>
        </w:rPr>
      </w:pPr>
    </w:p>
    <w:p>
      <w:pPr>
        <w:ind w:left="1660" w:right="400" w:hanging="515"/>
        <w:spacing w:after="0" w:line="194"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25% of options vest upon Altisource achieving a stock price of $182.28 and an annual rate of return of 25% over the exercise price with the balance vesting 25% each subsequent anniversary thereof.</w:t>
      </w:r>
    </w:p>
    <w:p>
      <w:pPr>
        <w:spacing w:after="0" w:line="90" w:lineRule="exact"/>
        <w:rPr>
          <w:rFonts w:ascii="Arial" w:cs="Arial" w:eastAsia="Arial" w:hAnsi="Arial"/>
          <w:sz w:val="28"/>
          <w:szCs w:val="28"/>
          <w:color w:val="auto"/>
          <w:vertAlign w:val="superscript"/>
        </w:rPr>
      </w:pPr>
    </w:p>
    <w:p>
      <w:pPr>
        <w:ind w:left="1660" w:hanging="515"/>
        <w:spacing w:after="0"/>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vest on July 28, 2015.</w:t>
      </w:r>
    </w:p>
    <w:p>
      <w:pPr>
        <w:spacing w:after="0" w:line="152" w:lineRule="exact"/>
        <w:rPr>
          <w:rFonts w:ascii="Arial" w:cs="Arial" w:eastAsia="Arial" w:hAnsi="Arial"/>
          <w:sz w:val="28"/>
          <w:szCs w:val="28"/>
          <w:color w:val="auto"/>
          <w:vertAlign w:val="superscript"/>
        </w:rPr>
      </w:pPr>
    </w:p>
    <w:p>
      <w:pPr>
        <w:ind w:left="1660" w:hanging="515"/>
        <w:spacing w:after="0" w:line="193"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vest on June 18, 2015.</w:t>
      </w:r>
    </w:p>
    <w:p>
      <w:pPr>
        <w:spacing w:after="0" w:line="153" w:lineRule="exact"/>
        <w:rPr>
          <w:rFonts w:ascii="Arial" w:cs="Arial" w:eastAsia="Arial" w:hAnsi="Arial"/>
          <w:sz w:val="28"/>
          <w:szCs w:val="28"/>
          <w:color w:val="auto"/>
          <w:vertAlign w:val="superscript"/>
        </w:rPr>
      </w:pPr>
    </w:p>
    <w:p>
      <w:pPr>
        <w:ind w:left="1660" w:hanging="515"/>
        <w:spacing w:after="0" w:line="202"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vest on October 3, 2015.</w:t>
      </w:r>
    </w:p>
    <w:p>
      <w:pPr>
        <w:spacing w:after="0" w:line="141" w:lineRule="exact"/>
        <w:rPr>
          <w:rFonts w:ascii="Arial" w:cs="Arial" w:eastAsia="Arial" w:hAnsi="Arial"/>
          <w:sz w:val="28"/>
          <w:szCs w:val="28"/>
          <w:color w:val="auto"/>
          <w:vertAlign w:val="superscript"/>
        </w:rPr>
      </w:pPr>
    </w:p>
    <w:p>
      <w:pPr>
        <w:ind w:left="1660" w:hanging="515"/>
        <w:spacing w:after="0" w:line="202"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vest in three (3) equal installments on May 15, 2015, May 15, 2016 and May 15, 2017.</w:t>
      </w:r>
    </w:p>
    <w:p>
      <w:pPr>
        <w:spacing w:after="0" w:line="153" w:lineRule="exact"/>
        <w:rPr>
          <w:rFonts w:ascii="Arial" w:cs="Arial" w:eastAsia="Arial" w:hAnsi="Arial"/>
          <w:sz w:val="28"/>
          <w:szCs w:val="28"/>
          <w:color w:val="auto"/>
          <w:vertAlign w:val="superscript"/>
        </w:rPr>
      </w:pPr>
    </w:p>
    <w:p>
      <w:pPr>
        <w:ind w:left="1660" w:hanging="515"/>
        <w:spacing w:after="0" w:line="193"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vest in four (4) equal installments on May 15, 2015, May 15, 2016, May 15, 2017 and May 15, 2018.</w:t>
      </w:r>
    </w:p>
    <w:p>
      <w:pPr>
        <w:spacing w:after="0" w:line="212" w:lineRule="exact"/>
        <w:rPr>
          <w:rFonts w:ascii="Arial" w:cs="Arial" w:eastAsia="Arial" w:hAnsi="Arial"/>
          <w:sz w:val="28"/>
          <w:szCs w:val="28"/>
          <w:color w:val="auto"/>
          <w:vertAlign w:val="superscript"/>
        </w:rPr>
      </w:pPr>
    </w:p>
    <w:p>
      <w:pPr>
        <w:ind w:left="1660" w:right="220" w:hanging="515"/>
        <w:spacing w:after="0" w:line="219"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would commence vesting if both of the following performance criteria have been achieved for fiscal year 2014: (i) Altisource's Origination Services division earns $23.5 million of adjusted pre-tax income and (ii) the division's adjusted pre-tax income margin as a percentage of service revenue is at least 25%. On February 10, 2015, the Board of Directors determined that the performance criteria for fiscal year 2014 were not achieved.</w:t>
      </w:r>
    </w:p>
    <w:p>
      <w:pPr>
        <w:spacing w:after="0" w:line="103" w:lineRule="exact"/>
        <w:rPr>
          <w:rFonts w:ascii="Arial" w:cs="Arial" w:eastAsia="Arial" w:hAnsi="Arial"/>
          <w:sz w:val="28"/>
          <w:szCs w:val="28"/>
          <w:color w:val="auto"/>
          <w:vertAlign w:val="superscript"/>
        </w:rPr>
      </w:pPr>
    </w:p>
    <w:p>
      <w:pPr>
        <w:ind w:left="1660" w:hanging="515"/>
        <w:spacing w:after="0"/>
        <w:tabs>
          <w:tab w:leader="none" w:pos="1660" w:val="left"/>
        </w:tabs>
        <w:numPr>
          <w:ilvl w:val="0"/>
          <w:numId w:val="43"/>
        </w:numPr>
        <w:rPr>
          <w:rFonts w:ascii="Arial" w:cs="Arial" w:eastAsia="Arial" w:hAnsi="Arial"/>
          <w:sz w:val="27"/>
          <w:szCs w:val="27"/>
          <w:color w:val="auto"/>
          <w:vertAlign w:val="superscript"/>
        </w:rPr>
      </w:pPr>
      <w:r>
        <w:rPr>
          <w:rFonts w:ascii="Arial" w:cs="Arial" w:eastAsia="Arial" w:hAnsi="Arial"/>
          <w:sz w:val="16"/>
          <w:szCs w:val="16"/>
          <w:color w:val="auto"/>
        </w:rPr>
        <w:t>Options vest in four (4) equal installments on November 11, 2015, November 11, 2016, November 11, 2017 and November 11, 2018.</w:t>
      </w:r>
    </w:p>
    <w:p>
      <w:pPr>
        <w:spacing w:after="0" w:line="198" w:lineRule="exact"/>
        <w:rPr>
          <w:rFonts w:ascii="Arial" w:cs="Arial" w:eastAsia="Arial" w:hAnsi="Arial"/>
          <w:sz w:val="27"/>
          <w:szCs w:val="27"/>
          <w:color w:val="auto"/>
          <w:vertAlign w:val="superscript"/>
        </w:rPr>
      </w:pPr>
    </w:p>
    <w:p>
      <w:pPr>
        <w:ind w:left="1660" w:right="400" w:hanging="515"/>
        <w:spacing w:after="0" w:line="194"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25% of options vest upon Altisource achieving a stock price of $145.56 and an annual rate of return of 25% over the exercise price with the balance vesting 25% each subsequent anniversary thereof.</w:t>
      </w:r>
    </w:p>
    <w:p>
      <w:pPr>
        <w:spacing w:after="0" w:line="212" w:lineRule="exact"/>
        <w:rPr>
          <w:rFonts w:ascii="Arial" w:cs="Arial" w:eastAsia="Arial" w:hAnsi="Arial"/>
          <w:sz w:val="28"/>
          <w:szCs w:val="28"/>
          <w:color w:val="auto"/>
          <w:vertAlign w:val="superscript"/>
        </w:rPr>
      </w:pPr>
    </w:p>
    <w:p>
      <w:pPr>
        <w:ind w:left="1660" w:right="400" w:hanging="515"/>
        <w:spacing w:after="0" w:line="194"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25% of options vest upon Altisource achieving a stock price of $218.34 and an annual rate of return of 25% over the exercise price with the balance vesting 25% each subsequent anniversary thereof.</w:t>
      </w:r>
    </w:p>
    <w:p>
      <w:pPr>
        <w:spacing w:after="0" w:line="90" w:lineRule="exact"/>
        <w:rPr>
          <w:rFonts w:ascii="Arial" w:cs="Arial" w:eastAsia="Arial" w:hAnsi="Arial"/>
          <w:sz w:val="28"/>
          <w:szCs w:val="28"/>
          <w:color w:val="auto"/>
          <w:vertAlign w:val="superscript"/>
        </w:rPr>
      </w:pPr>
    </w:p>
    <w:p>
      <w:pPr>
        <w:ind w:left="1660" w:hanging="515"/>
        <w:spacing w:after="0"/>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vest on June 8, 2015.</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2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During fiscal year 2014, none of the individuals named in the Summary Compensation Table realized any amounts on the exercise of Altisource options or the vesting of Altisource restricted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7"/>
          <w:szCs w:val="17"/>
          <w:b w:val="1"/>
          <w:bCs w:val="1"/>
          <w:color w:val="auto"/>
        </w:rPr>
        <w:t>APPOINTMENT OF</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INDEPENDENT REGISTERED CERTIFIED PUBLIC ACCOUNTING FIRM</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(Proposal Two)</w:t>
      </w:r>
    </w:p>
    <w:p>
      <w:pPr>
        <w:spacing w:after="0" w:line="209"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Audit Committee of our Board of Directors has appointed Deloitte &amp; Touche LLP to be our independent registered certified public accounting firm for the year ending December 31, 2015 and Deloitte Audit S.à r.l. to be our certified auditor for all statutory accounts as required by Luxembourg law for the same period (together "Deloitte"). The Audit Committee has further recommended that such appointment be submitted for approval by our shareholders at the Annual Meeting of Shareholders.</w:t>
      </w:r>
    </w:p>
    <w:p>
      <w:pPr>
        <w:spacing w:after="0" w:line="147"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Representatives of Deloitte will be present at the Annual Meeting of Shareholders, will be given the opportunity to make a statement, if they so desire, and will be available to respond to appropriate questions from you.</w:t>
      </w:r>
    </w:p>
    <w:p>
      <w:pPr>
        <w:spacing w:after="0" w:line="168" w:lineRule="exact"/>
        <w:rPr>
          <w:sz w:val="20"/>
          <w:szCs w:val="20"/>
          <w:color w:val="auto"/>
        </w:rPr>
      </w:pPr>
    </w:p>
    <w:p>
      <w:pPr>
        <w:jc w:val="center"/>
        <w:ind w:left="300" w:right="460"/>
        <w:spacing w:after="0" w:line="261" w:lineRule="auto"/>
        <w:rPr>
          <w:sz w:val="20"/>
          <w:szCs w:val="20"/>
          <w:color w:val="auto"/>
        </w:rPr>
      </w:pPr>
      <w:r>
        <w:rPr>
          <w:rFonts w:ascii="Arial" w:cs="Arial" w:eastAsia="Arial" w:hAnsi="Arial"/>
          <w:sz w:val="17"/>
          <w:szCs w:val="17"/>
          <w:b w:val="1"/>
          <w:bCs w:val="1"/>
          <w:color w:val="auto"/>
        </w:rPr>
        <w:t>OUR BOARD OF DIRECTORS UNANIMOUSLY RECOMMENDS THAT YOU VOTE "FOR" THE APPOINTMENT OF DELOITTE &amp; TOUCHE LLP AS THE INDEPENDENT REGISTERED CERTIFIED PUBLIC ACCOUNTING FIRM FOR 2015 AND DELOITTE AUDIT S.À R.L. AS THE CERTIFIED AUDITOR FOR ALL STATUTORY ACCOUNTS AS REQUIRED BY LUXEMBOURG LAW FOR THE SAME PERIOD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Report of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w:t>
      </w:r>
    </w:p>
    <w:p>
      <w:pPr>
        <w:spacing w:after="0" w:line="229" w:lineRule="exact"/>
        <w:rPr>
          <w:sz w:val="20"/>
          <w:szCs w:val="20"/>
          <w:color w:val="auto"/>
        </w:rPr>
      </w:pPr>
    </w:p>
    <w:p>
      <w:pPr>
        <w:ind w:left="1040" w:hanging="522"/>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Reviewed and discussed with management Altisource's audited financial statements as of and for the year ended December 31, 2014;</w:t>
      </w:r>
    </w:p>
    <w:p>
      <w:pPr>
        <w:spacing w:after="0" w:line="242" w:lineRule="exact"/>
        <w:rPr>
          <w:rFonts w:ascii="Arial" w:cs="Arial" w:eastAsia="Arial" w:hAnsi="Arial"/>
          <w:sz w:val="17"/>
          <w:szCs w:val="17"/>
          <w:color w:val="auto"/>
        </w:rPr>
      </w:pPr>
    </w:p>
    <w:p>
      <w:pPr>
        <w:ind w:left="1040" w:right="120" w:hanging="522"/>
        <w:spacing w:after="0" w:line="274"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Discussed with Deloitte &amp; Touche LLP, Altisource's independent registered certified public accounting firm, the matters required to be discussed under PCAOB standards; and</w:t>
      </w:r>
    </w:p>
    <w:p>
      <w:pPr>
        <w:spacing w:after="0" w:line="184" w:lineRule="exact"/>
        <w:rPr>
          <w:rFonts w:ascii="Arial" w:cs="Arial" w:eastAsia="Arial" w:hAnsi="Arial"/>
          <w:sz w:val="17"/>
          <w:szCs w:val="17"/>
          <w:color w:val="auto"/>
        </w:rPr>
      </w:pPr>
    </w:p>
    <w:p>
      <w:pPr>
        <w:ind w:left="1040" w:hanging="522"/>
        <w:spacing w:after="0" w:line="263"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Received and reviewed the written disclosures and the letter required by the applicable requirements of the PCAOB regarding the independent registered certified public accounting firm's communications with the Audit Committee concerning independence and discussed with Deloitte &amp; Touche LLP their independence.</w:t>
      </w:r>
    </w:p>
    <w:p>
      <w:pPr>
        <w:spacing w:after="0" w:line="18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In reliance on the review and discussion referred to above, the Committee recommended to the Board of Directors that the audited financial statements be included in Altisource's annual report on Form 10-K for the year ended December 31, 2014.</w:t>
      </w:r>
    </w:p>
    <w:p>
      <w:pPr>
        <w:spacing w:after="0" w:line="16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Audit Committee:</w:t>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Roland Müller-Ineichen, Chairman</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 Michael Linn, Director</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Timo Vättö, Director</w:t>
      </w:r>
    </w:p>
    <w:p>
      <w:pPr>
        <w:spacing w:after="0" w:line="20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April [</w:t>
      </w:r>
      <w:r>
        <w:rPr>
          <w:sz w:val="20"/>
          <w:szCs w:val="20"/>
          <w:color w:val="auto"/>
        </w:rPr>
        <w:tab/>
      </w:r>
      <w:r>
        <w:rPr>
          <w:rFonts w:ascii="Arial" w:cs="Arial" w:eastAsia="Arial" w:hAnsi="Arial"/>
          <w:sz w:val="15"/>
          <w:szCs w:val="15"/>
          <w:color w:val="auto"/>
        </w:rPr>
        <w:t>], 2015</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Deloitte &amp; Touche LLP Fees</w:t>
      </w:r>
    </w:p>
    <w:p>
      <w:pPr>
        <w:spacing w:after="0" w:line="22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following table shows the aggregate fees billed to Altisource for professional services by Deloitte &amp; Touche LLP, the member firms of Deloitte Touche Tohmatsu and their respective affiliates in fiscal years 2013 and 2014:</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218"/>
        </w:trPr>
        <w:tc>
          <w:tcPr>
            <w:tcW w:w="3520" w:type="dxa"/>
            <w:vAlign w:val="bottom"/>
            <w:gridSpan w:val="2"/>
          </w:tcPr>
          <w:p>
            <w:pPr>
              <w:spacing w:after="0"/>
              <w:rPr>
                <w:sz w:val="20"/>
                <w:szCs w:val="20"/>
                <w:color w:val="auto"/>
              </w:rPr>
            </w:pPr>
            <w:r>
              <w:rPr>
                <w:rFonts w:ascii="Arial" w:cs="Arial" w:eastAsia="Arial" w:hAnsi="Arial"/>
                <w:sz w:val="17"/>
                <w:szCs w:val="17"/>
                <w:b w:val="1"/>
                <w:bCs w:val="1"/>
                <w:color w:val="auto"/>
              </w:rPr>
              <w:t>Category</w:t>
            </w:r>
          </w:p>
        </w:tc>
        <w:tc>
          <w:tcPr>
            <w:tcW w:w="2080" w:type="dxa"/>
            <w:vAlign w:val="bottom"/>
          </w:tcPr>
          <w:p>
            <w:pPr>
              <w:jc w:val="right"/>
              <w:ind w:right="776"/>
              <w:spacing w:after="0"/>
              <w:rPr>
                <w:sz w:val="20"/>
                <w:szCs w:val="20"/>
                <w:color w:val="auto"/>
              </w:rPr>
            </w:pPr>
            <w:r>
              <w:rPr>
                <w:rFonts w:ascii="Arial" w:cs="Arial" w:eastAsia="Arial" w:hAnsi="Arial"/>
                <w:sz w:val="17"/>
                <w:szCs w:val="17"/>
                <w:b w:val="1"/>
                <w:bCs w:val="1"/>
                <w:color w:val="auto"/>
              </w:rPr>
              <w:t>2013</w:t>
            </w:r>
          </w:p>
        </w:tc>
        <w:tc>
          <w:tcPr>
            <w:tcW w:w="160" w:type="dxa"/>
            <w:vAlign w:val="bottom"/>
          </w:tcPr>
          <w:p>
            <w:pPr>
              <w:spacing w:after="0"/>
              <w:rPr>
                <w:sz w:val="18"/>
                <w:szCs w:val="18"/>
                <w:color w:val="auto"/>
              </w:rPr>
            </w:pPr>
          </w:p>
        </w:tc>
        <w:tc>
          <w:tcPr>
            <w:tcW w:w="2060" w:type="dxa"/>
            <w:vAlign w:val="bottom"/>
          </w:tcPr>
          <w:p>
            <w:pPr>
              <w:jc w:val="right"/>
              <w:ind w:right="776"/>
              <w:spacing w:after="0"/>
              <w:rPr>
                <w:sz w:val="20"/>
                <w:szCs w:val="20"/>
                <w:color w:val="auto"/>
              </w:rPr>
            </w:pPr>
            <w:r>
              <w:rPr>
                <w:rFonts w:ascii="Arial" w:cs="Arial" w:eastAsia="Arial" w:hAnsi="Arial"/>
                <w:sz w:val="17"/>
                <w:szCs w:val="17"/>
                <w:b w:val="1"/>
                <w:bCs w:val="1"/>
                <w:color w:val="auto"/>
              </w:rPr>
              <w:t>2014</w:t>
            </w:r>
          </w:p>
        </w:tc>
        <w:tc>
          <w:tcPr>
            <w:tcW w:w="160" w:type="dxa"/>
            <w:vAlign w:val="bottom"/>
          </w:tcPr>
          <w:p>
            <w:pPr>
              <w:spacing w:after="0"/>
              <w:rPr>
                <w:sz w:val="18"/>
                <w:szCs w:val="18"/>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$1,366,866</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$1,536,428</w:t>
            </w:r>
          </w:p>
        </w:tc>
      </w:tr>
      <w:tr>
        <w:trPr>
          <w:trHeight w:val="206"/>
        </w:trPr>
        <w:tc>
          <w:tcPr>
            <w:tcW w:w="3520" w:type="dxa"/>
            <w:vAlign w:val="bottom"/>
            <w:gridSpan w:val="2"/>
          </w:tcPr>
          <w:p>
            <w:pPr>
              <w:spacing w:after="0"/>
              <w:rPr>
                <w:sz w:val="20"/>
                <w:szCs w:val="20"/>
                <w:color w:val="auto"/>
              </w:rPr>
            </w:pPr>
            <w:r>
              <w:rPr>
                <w:rFonts w:ascii="Arial" w:cs="Arial" w:eastAsia="Arial" w:hAnsi="Arial"/>
                <w:sz w:val="17"/>
                <w:szCs w:val="17"/>
                <w:color w:val="auto"/>
              </w:rPr>
              <w:t>Audit-Related Fees</w:t>
            </w:r>
          </w:p>
        </w:tc>
        <w:tc>
          <w:tcPr>
            <w:tcW w:w="2240" w:type="dxa"/>
            <w:vAlign w:val="bottom"/>
            <w:gridSpan w:val="2"/>
          </w:tcPr>
          <w:p>
            <w:pPr>
              <w:jc w:val="right"/>
              <w:ind w:right="160"/>
              <w:spacing w:after="0"/>
              <w:rPr>
                <w:sz w:val="20"/>
                <w:szCs w:val="20"/>
                <w:color w:val="auto"/>
              </w:rPr>
            </w:pPr>
            <w:r>
              <w:rPr>
                <w:rFonts w:ascii="Arial" w:cs="Arial" w:eastAsia="Arial" w:hAnsi="Arial"/>
                <w:sz w:val="17"/>
                <w:szCs w:val="17"/>
                <w:color w:val="auto"/>
              </w:rPr>
              <w:t>$466,520</w:t>
            </w:r>
          </w:p>
        </w:tc>
        <w:tc>
          <w:tcPr>
            <w:tcW w:w="2220" w:type="dxa"/>
            <w:vAlign w:val="bottom"/>
            <w:gridSpan w:val="2"/>
          </w:tcPr>
          <w:p>
            <w:pPr>
              <w:jc w:val="right"/>
              <w:ind w:right="140"/>
              <w:spacing w:after="0"/>
              <w:rPr>
                <w:sz w:val="20"/>
                <w:szCs w:val="20"/>
                <w:color w:val="auto"/>
              </w:rPr>
            </w:pPr>
            <w:r>
              <w:rPr>
                <w:rFonts w:ascii="Arial" w:cs="Arial" w:eastAsia="Arial" w:hAnsi="Arial"/>
                <w:sz w:val="17"/>
                <w:szCs w:val="17"/>
                <w:color w:val="auto"/>
              </w:rPr>
              <w:t>$212,216</w:t>
            </w:r>
          </w:p>
        </w:tc>
      </w:tr>
      <w:tr>
        <w:trPr>
          <w:trHeight w:val="206"/>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$303,874</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$342,135</w:t>
            </w:r>
          </w:p>
        </w:tc>
      </w:tr>
      <w:tr>
        <w:trPr>
          <w:trHeight w:val="206"/>
        </w:trPr>
        <w:tc>
          <w:tcPr>
            <w:tcW w:w="3520" w:type="dxa"/>
            <w:vAlign w:val="bottom"/>
            <w:gridSpan w:val="2"/>
          </w:tcPr>
          <w:p>
            <w:pPr>
              <w:spacing w:after="0"/>
              <w:rPr>
                <w:sz w:val="20"/>
                <w:szCs w:val="20"/>
                <w:color w:val="auto"/>
              </w:rPr>
            </w:pPr>
            <w:r>
              <w:rPr>
                <w:rFonts w:ascii="Arial" w:cs="Arial" w:eastAsia="Arial" w:hAnsi="Arial"/>
                <w:sz w:val="17"/>
                <w:szCs w:val="17"/>
                <w:color w:val="auto"/>
              </w:rPr>
              <w:t>All Other Fees</w:t>
            </w:r>
          </w:p>
        </w:tc>
        <w:tc>
          <w:tcPr>
            <w:tcW w:w="2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$2,137,260</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$2,090,779</w:t>
            </w:r>
          </w:p>
        </w:tc>
      </w:tr>
    </w:tbl>
    <w:p>
      <w:pPr>
        <w:spacing w:after="0" w:line="19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This category includes the aggregate fees and expenses billed for professional services rendered for the audits of Altisource's consolidated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for fiscal years 2013 and 2014, for the reviews of the financial statements included in Altisource's quarterly reports on Form 10-Q during fiscal years 2013 and 2014 and for services that are normally provided by the independent registered certified public accounting firm and affiliates in connection with statutory and regulatory filings or engagements for the relevant fiscal year.</w:t>
      </w:r>
    </w:p>
    <w:p>
      <w:pPr>
        <w:spacing w:after="0" w:line="18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This category includes the aggregate fees billed for fiscal years 2013 and 2014 for audit-related services by the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83"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This category includes the aggregate fees billed for fiscal years 2013 and 2014 for professional services rendered by the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for tax compliance, tax planning and tax advice.</w:t>
      </w:r>
    </w:p>
    <w:p>
      <w:pPr>
        <w:spacing w:after="0" w:line="172"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This category includes the aggregate fees billed for fiscal years 2013 and 2014 for products and services provided by the independent registered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certified public accounting firm that are not reported above under "Audit Fees," "Audit-Related Fees" or "Tax Fees."</w:t>
      </w:r>
    </w:p>
    <w:p>
      <w:pPr>
        <w:spacing w:after="0" w:line="17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fiscal years 2013 and 2014 and determined that such services and fees are compatible with the independence of Deloitte &amp; Touche LLP.</w:t>
      </w:r>
    </w:p>
    <w:p>
      <w:pPr>
        <w:spacing w:after="0" w:line="172"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fiscal years 2013 and 2014, all fees associated with the independent registered certified public accounting firm's services were pre-approved by the Audit Committee.</w:t>
      </w:r>
    </w:p>
    <w:p>
      <w:pPr>
        <w:spacing w:after="0" w:line="15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Representatives from Deloitte &amp; Touche LLP will be present at the Annual Meeting of Shareholders, will be given the opportunity to make a statement, if they desire to do so, and will be available to respond to questions from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Policy</w:t>
      </w:r>
    </w:p>
    <w:p>
      <w:pPr>
        <w:spacing w:after="0" w:line="221"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Pursuant to its charter, the Audit Committee has delegated authority to the Chairman of the Audit Committee to pre-approve all audit and permitted non-audit services to be performed by the independent auditors. The Chairman shall report any pre-approval decisions to the Audit Committee at its next scheduled meeting for ratification. The Audit Committee does not delegate its responsibilities to pre-approve services performed by the independent auditor to management.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0" w:name="page51"/>
    <w:bookmarkEnd w:id="50"/>
    <w:p>
      <w:pPr>
        <w:jc w:val="center"/>
        <w:ind w:left="320" w:right="2680"/>
        <w:spacing w:after="0" w:line="255" w:lineRule="auto"/>
        <w:rPr>
          <w:sz w:val="20"/>
          <w:szCs w:val="20"/>
          <w:color w:val="auto"/>
        </w:rPr>
      </w:pPr>
      <w:r>
        <w:rPr>
          <w:rFonts w:ascii="Arial" w:cs="Arial" w:eastAsia="Arial" w:hAnsi="Arial"/>
          <w:sz w:val="17"/>
          <w:szCs w:val="17"/>
          <w:b w:val="1"/>
          <w:bCs w:val="1"/>
          <w:color w:val="auto"/>
        </w:rPr>
        <w:t>APPROVAL OF THE COMPANY'S ANNUAL ACCOUNTS PREPARED IN ACCORDANCE WITH LUXEMBOURG GAAP FOR THE YEAR ENDED DECEMBER 31, 2014 AND ITS CONSOLIDATED FINANCIAL STATEMENTS PREPARED IN ACCORDANCE WITH U.S. GAAP INCLUDING A FOOTNOTE RECONCILIATION OF EQUITY AND NET INCOME TO IFRS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AS OF AND FOR THE YEAR ENDED DECEMBER 31, 2014</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(Proposal Three)</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Pursuant to Luxembourg law, the Luxembourg Statutory Accounts must be submitted each year to shareholders for approval at the Annual Meeting of Shareholders.</w:t>
      </w:r>
    </w:p>
    <w:p>
      <w:pPr>
        <w:spacing w:after="0" w:line="24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Luxembourg Annual Accounts are prepared in accordance with Luxembourg GAAP and consist of a balance sheet, a profit and loss account and the notes for the unconsolidated Altisource Portfolio Solutions S.A. entity. There is no statement of movements in equity or statement of cash flows included in the Luxembourg Annual Accounts under Luxembourg GAAP. Profits earned by the subsidiaries of Altisource Portfolio Solutions S.A. are not included in the Luxembourg Annual Accounts unless such amounts are distributed to Altisource Portfolio Solutions S.A. The Luxembourg Annual Accounts as of and for the year ended December 31, 2014 show total assets of $2,123.1 million and a profit for the year then ended of $1,860.4 million. Total assets as of December 31, 2014 and profit for the year then ended were impacted by a restructuring of subsidiaries of Altisource Portfolio Solutions S.A. in the third quarter of 2014.</w:t>
      </w:r>
    </w:p>
    <w:p>
      <w:pPr>
        <w:spacing w:after="0" w:line="17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2014, the Consolidated Accounts show IFRS total equity of $44.1 million and IFRS net income of $126.2 million for the year then ended.</w:t>
      </w:r>
    </w:p>
    <w:p>
      <w:pPr>
        <w:spacing w:after="0" w:line="16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49"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Altisource's Luxembourg Statutory Accounts will be available to shareholders from April 20, 2015 until the conclusion of the Annual Meeting of Shareholders at Altisource's registered office.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THAT YOU VOTE "FOR" THE APPROVAL OF THE LUXEMBOURG STATUTORY ACCOUNTS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51" w:name="page52"/>
    <w:bookmarkEnd w:id="51"/>
    <w:p>
      <w:pPr>
        <w:jc w:val="center"/>
        <w:ind w:right="-259"/>
        <w:spacing w:after="0"/>
        <w:rPr>
          <w:sz w:val="20"/>
          <w:szCs w:val="20"/>
          <w:color w:val="auto"/>
        </w:rPr>
      </w:pPr>
      <w:r>
        <w:rPr>
          <w:rFonts w:ascii="Arial" w:cs="Arial" w:eastAsia="Arial" w:hAnsi="Arial"/>
          <w:sz w:val="17"/>
          <w:szCs w:val="17"/>
          <w:b w:val="1"/>
          <w:bCs w:val="1"/>
          <w:color w:val="auto"/>
        </w:rPr>
        <w:t>RECEIPT AND APPROVAL OF THE DIRECTORS' REPORTS FOR</w:t>
      </w:r>
    </w:p>
    <w:p>
      <w:pPr>
        <w:spacing w:after="0" w:line="22"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THE LUXEMBOURG STATUTORY ACCOUNTS</w:t>
      </w:r>
    </w:p>
    <w:p>
      <w:pPr>
        <w:spacing w:after="0" w:line="1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(Proposal Four)</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82" w:lineRule="exact"/>
        <w:rPr>
          <w:sz w:val="20"/>
          <w:szCs w:val="20"/>
          <w:color w:val="auto"/>
        </w:rPr>
      </w:pPr>
    </w:p>
    <w:p>
      <w:pPr>
        <w:jc w:val="both"/>
        <w:ind w:right="240"/>
        <w:spacing w:after="0" w:line="263" w:lineRule="auto"/>
        <w:rPr>
          <w:sz w:val="20"/>
          <w:szCs w:val="20"/>
          <w:color w:val="auto"/>
        </w:rPr>
      </w:pPr>
      <w:r>
        <w:rPr>
          <w:rFonts w:ascii="Arial" w:cs="Arial" w:eastAsia="Arial" w:hAnsi="Arial"/>
          <w:sz w:val="17"/>
          <w:szCs w:val="17"/>
          <w:color w:val="auto"/>
        </w:rPr>
        <w:t>The Directors' Reports for the Luxembourg Statutory Accounts will be available to shareholders from April 20, 2015 until the conclusion of the Annual Meeting of Shareholders at Altisource's registered office. Following shareholder approval of the Luxembourg Statutory Accounts, the Directors' Reports will be filed with the Luxembourg trade registry as public documents.</w:t>
      </w:r>
    </w:p>
    <w:p>
      <w:pPr>
        <w:spacing w:after="0" w:line="178" w:lineRule="exact"/>
        <w:rPr>
          <w:sz w:val="20"/>
          <w:szCs w:val="20"/>
          <w:color w:val="auto"/>
        </w:rPr>
      </w:pPr>
    </w:p>
    <w:p>
      <w:pPr>
        <w:jc w:val="center"/>
        <w:ind w:left="500" w:right="2180"/>
        <w:spacing w:after="0" w:line="266" w:lineRule="auto"/>
        <w:rPr>
          <w:sz w:val="20"/>
          <w:szCs w:val="20"/>
          <w:color w:val="auto"/>
        </w:rPr>
      </w:pPr>
      <w:r>
        <w:rPr>
          <w:rFonts w:ascii="Arial" w:cs="Arial" w:eastAsia="Arial" w:hAnsi="Arial"/>
          <w:sz w:val="17"/>
          <w:szCs w:val="17"/>
          <w:b w:val="1"/>
          <w:bCs w:val="1"/>
          <w:color w:val="auto"/>
        </w:rPr>
        <w:t>OUR BOARD OF DIRECTORS UNANIMOUSLY RECOMMENDS THAT YOU VOTE "FOR" THE RECEIPT AND APPROVAL OF THE DIRECTORS' REPORTS FOR THE LUXEMBOURG STATUTORY ACCOUNTS</w:t>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333" w:right="479" w:bottom="1440" w:gutter="0" w:footer="0" w:header="0"/>
        </w:sectPr>
      </w:pPr>
    </w:p>
    <w:bookmarkStart w:id="52" w:name="page53"/>
    <w:bookmarkEnd w:id="52"/>
    <w:p>
      <w:pPr>
        <w:jc w:val="center"/>
        <w:ind w:right="-219"/>
        <w:spacing w:after="0"/>
        <w:rPr>
          <w:sz w:val="20"/>
          <w:szCs w:val="20"/>
          <w:color w:val="auto"/>
        </w:rPr>
      </w:pPr>
      <w:r>
        <w:rPr>
          <w:rFonts w:ascii="Arial" w:cs="Arial" w:eastAsia="Arial" w:hAnsi="Arial"/>
          <w:sz w:val="17"/>
          <w:szCs w:val="17"/>
          <w:b w:val="1"/>
          <w:bCs w:val="1"/>
          <w:color w:val="auto"/>
        </w:rPr>
        <w:t>ALLOCATION OF THE PROFITS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IN THE LUXEMBOURG ANNUAL ACCOUNTS FOR THE YEAR ENDED DECEMBER 31, 2014</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(Proposal Five)</w:t>
      </w:r>
    </w:p>
    <w:p>
      <w:pPr>
        <w:spacing w:after="0" w:line="209"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Each year, the shareholders of Altisource are required to approve the allocation of the results of the unconsolidated Altisource Portfolio Solutions S.A. entity, as determined by the Luxembourg Annual Accounts.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Luxembourg law requires that at least 5% of the net profits, if any, for the Luxembourg Annual Accounts be allocated to a legal reserve; provided, however that an allocation ceases to be compulsory when the legal reserve reaches 10% of the share capital of Altisource, but again becomes compulsory when the reserve amount falls below this threshold.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proposes that the shareholders of the Company approve the allocation of the Company's profits as follows: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Ended December 31, 2014</w:t>
      </w:r>
    </w:p>
    <w:p>
      <w:pPr>
        <w:spacing w:after="0" w:line="229" w:lineRule="exact"/>
        <w:rPr>
          <w:sz w:val="20"/>
          <w:szCs w:val="20"/>
          <w:color w:val="auto"/>
        </w:rPr>
      </w:pPr>
    </w:p>
    <w:p>
      <w:pPr>
        <w:ind w:left="1040" w:right="100" w:hanging="522"/>
        <w:spacing w:after="0" w:line="274"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 allocation to the legal reserve, as the legal reserve reached the maximum required 10% of the share capital of Altisource in 2012. Consequently, no further allocation to the legal reserve was required in 2014</w:t>
      </w:r>
    </w:p>
    <w:p>
      <w:pPr>
        <w:spacing w:after="0" w:line="197" w:lineRule="exact"/>
        <w:rPr>
          <w:rFonts w:ascii="Arial" w:cs="Arial" w:eastAsia="Arial" w:hAnsi="Arial"/>
          <w:sz w:val="17"/>
          <w:szCs w:val="17"/>
          <w:color w:val="auto"/>
        </w:rPr>
      </w:pPr>
    </w:p>
    <w:p>
      <w:pPr>
        <w:ind w:left="1040" w:hanging="522"/>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allocation of the 2014 profit of $1,860.4 million to profit brought forward</w:t>
      </w:r>
    </w:p>
    <w:p>
      <w:pPr>
        <w:spacing w:after="0" w:line="213" w:lineRule="exact"/>
        <w:rPr>
          <w:sz w:val="20"/>
          <w:szCs w:val="20"/>
          <w:color w:val="auto"/>
        </w:rPr>
      </w:pPr>
    </w:p>
    <w:p>
      <w:pPr>
        <w:jc w:val="center"/>
        <w:ind w:left="460" w:right="2060"/>
        <w:spacing w:after="0" w:line="266" w:lineRule="auto"/>
        <w:rPr>
          <w:sz w:val="20"/>
          <w:szCs w:val="20"/>
          <w:color w:val="auto"/>
        </w:rPr>
      </w:pPr>
      <w:r>
        <w:rPr>
          <w:rFonts w:ascii="Arial" w:cs="Arial" w:eastAsia="Arial" w:hAnsi="Arial"/>
          <w:sz w:val="17"/>
          <w:szCs w:val="17"/>
          <w:b w:val="1"/>
          <w:bCs w:val="1"/>
          <w:color w:val="auto"/>
        </w:rPr>
        <w:t>OUR BOARD OF DIRECTORS UNANIMOUSLY RECOMMENDS THAT YOU VOTE "FOR" THE ALLOCATION OF THE PROFITS IN THE LUXEMBOURG ANNUAL ACCOUNTS FOR THE YEAR ENDED DECEMBER 31, 2014</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20"/>
          </w:cols>
          <w:pgMar w:left="240" w:top="333" w:right="4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7"/>
          <w:szCs w:val="17"/>
          <w:b w:val="1"/>
          <w:bCs w:val="1"/>
          <w:color w:val="auto"/>
        </w:rPr>
        <w:t>DISCHARGE OF EACH OF THE CURRENT AND PAST DIRECTORS OF</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ALTISOURCE PORTFOLIO SOLUTIONS S.A.</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PERFORMANCE OF THEIR MANDATE DURING THE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YEAR ENDED DECEMBER 31, 2014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(Proposal Six)</w:t>
      </w:r>
    </w:p>
    <w:p>
      <w:pPr>
        <w:spacing w:after="0" w:line="20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Pursuant to Luxembourg law, after the approval of the Luxembourg Statutory Accounts (as discussed in Proposal Three above), the shareholders of Altisource are required to vote on whether to discharge Altisource's Directors for the performance of their mandate during the relevant fiscal year. If the shareholders grant the discharge of Directors for the relevant fiscal year, shareholders will not be able to initiate a liability claim against such Directors in connection with the performance of their mandate for the relevant fiscal year. However, such discharge will not be valid in certain instances as specified in Article 75 of the Luxembourg Law of 10 August 1915 on commercial companies, as amended. For fiscal year 2014, Altisource believes no such instances have occurred.</w:t>
      </w:r>
    </w:p>
    <w:p>
      <w:pPr>
        <w:spacing w:after="0" w:line="167" w:lineRule="exact"/>
        <w:rPr>
          <w:sz w:val="20"/>
          <w:szCs w:val="20"/>
          <w:color w:val="auto"/>
        </w:rPr>
      </w:pPr>
    </w:p>
    <w:p>
      <w:pPr>
        <w:jc w:val="center"/>
        <w:ind w:left="280" w:right="1820"/>
        <w:spacing w:after="0" w:line="261" w:lineRule="auto"/>
        <w:rPr>
          <w:sz w:val="20"/>
          <w:szCs w:val="20"/>
          <w:color w:val="auto"/>
        </w:rPr>
      </w:pPr>
      <w:r>
        <w:rPr>
          <w:rFonts w:ascii="Arial" w:cs="Arial" w:eastAsia="Arial" w:hAnsi="Arial"/>
          <w:sz w:val="17"/>
          <w:szCs w:val="17"/>
          <w:b w:val="1"/>
          <w:bCs w:val="1"/>
          <w:color w:val="auto"/>
        </w:rPr>
        <w:t>OUR BOARD OF DIRECTORS UNANIMOUSLY RECOMMENDS THAT YOU VOTE "FOR" THE DISCHARGE OF EACH OF THE CURRENT AND PAST DIRECTORS OF ALTISOURCE PORTFOLIO SOLUTIONS S.A. FOR THE PERFORMANCE OF THEIR MANDATE DURING THE YEAR ENDED DECEMBER 31, 2014</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4" w:name="page55"/>
    <w:bookmarkEnd w:id="54"/>
    <w:p>
      <w:pPr>
        <w:jc w:val="center"/>
        <w:ind w:left="360" w:right="2320"/>
        <w:spacing w:after="0" w:line="264" w:lineRule="auto"/>
        <w:rPr>
          <w:sz w:val="20"/>
          <w:szCs w:val="20"/>
          <w:color w:val="auto"/>
        </w:rPr>
      </w:pPr>
      <w:r>
        <w:rPr>
          <w:rFonts w:ascii="Arial" w:cs="Arial" w:eastAsia="Arial" w:hAnsi="Arial"/>
          <w:sz w:val="17"/>
          <w:szCs w:val="17"/>
          <w:b w:val="1"/>
          <w:bCs w:val="1"/>
          <w:color w:val="auto"/>
        </w:rPr>
        <w:t xml:space="preserve">RATIFICATION OF NON-MANAGEMENT DIRECTORS' COMPENSATION FOR THE 2014 TO 2015 SERVICE YEAR AND APPROVAL OF CHANGES TO NON-MANAGEMENT DIRECTORS' COMPENSATION </w:t>
      </w:r>
      <w:r>
        <w:rPr>
          <w:rFonts w:ascii="Arial" w:cs="Arial" w:eastAsia="Arial" w:hAnsi="Arial"/>
          <w:sz w:val="17"/>
          <w:szCs w:val="17"/>
          <w:color w:val="auto"/>
        </w:rPr>
        <w:t>(Proposal Seven)</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Luxembourg law requires the Company to submit changes in Directors' compensation to our shareholders for approval.</w:t>
      </w:r>
    </w:p>
    <w:p>
      <w:pPr>
        <w:spacing w:after="0" w:line="217" w:lineRule="exact"/>
        <w:rPr>
          <w:sz w:val="20"/>
          <w:szCs w:val="20"/>
          <w:color w:val="auto"/>
        </w:rPr>
      </w:pPr>
    </w:p>
    <w:p>
      <w:pPr>
        <w:ind w:right="260"/>
        <w:spacing w:after="0" w:line="343" w:lineRule="auto"/>
        <w:rPr>
          <w:sz w:val="20"/>
          <w:szCs w:val="20"/>
          <w:color w:val="auto"/>
        </w:rPr>
      </w:pPr>
      <w:r>
        <w:rPr>
          <w:rFonts w:ascii="Arial" w:cs="Arial" w:eastAsia="Arial" w:hAnsi="Arial"/>
          <w:sz w:val="15"/>
          <w:szCs w:val="15"/>
          <w:color w:val="auto"/>
        </w:rPr>
        <w:t>As discussed in the "Board of Directors Compensation" section of this proxy statement, the Compensation Committee wishes to establish Director pay levels that are consistent with those of our peer group companies to ensure we can attract and retain the best possible candidates for our Board of Directors.</w:t>
      </w:r>
    </w:p>
    <w:p>
      <w:pPr>
        <w:spacing w:after="0" w:line="125"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For the 2014 to 2015 service year, the Compensation Committee has recommended that (i) the annual cash retainer to our non-management Directors be increased from $49,000 to $54,000 and (ii) the value of the annual award of shares of common stock to our non-management Directors be increased from $45,000 to $60,000, as determined on the first day of the service year by the average of the high and low prices of the common stock as reported on the NASDAQ Global Select Market. Additionally, the Compensation Committee has recommended that (i) annual cash compensation to committee chairpersons (other than the Audit Committee chairperson and Compliance Committee chairperson) be increased from $5,000 to $7,500, (ii) annual cash compensation to Audit Committee members (other than the Audit Committee chairperson) be increased from $5,000 to $7,500, (iii) annual cash compensation to the Audit Committee chairperson be increased from $12,500 to $15,000 and (iv) annual cash compensation to the Compliance Committee chairperson be increased from $10,000 to $12,500. The proposed compensation was approved by our Compensation Committee on May 21, 2014, subject to ratification at the 2015 Annual Meeting of Shareholders.</w:t>
      </w:r>
    </w:p>
    <w:p>
      <w:pPr>
        <w:spacing w:after="0" w:line="16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Beginning in the 2015 to 2016 service year, the Compensation Committee recommends that the value of the annual award of shares of common stock to our non-management Directors be increased from $60,000 to $75,000, as determined on the first day of the service year by the average of the high and low prices of the common stock as reported on the NASDAQ Global Select Market. Additionally, the Compensation Committee has recommended that (i) the annual cash retainer to the Board of Directors chairperson be increased from $50,000 to $85,000, (ii) the annual cash retainer to the Executive Committee chairperson be set at $15,000, (iii) annual cash compensation to the Audit Committee chairperson be increased from $15,000 to $20,000 and (iv) annual cash compensation to Compliance Committee members (other than the Compliance Committee chairperson) be set at $5,000.</w:t>
      </w:r>
    </w:p>
    <w:p>
      <w:pPr>
        <w:spacing w:after="0" w:line="169" w:lineRule="exact"/>
        <w:rPr>
          <w:sz w:val="20"/>
          <w:szCs w:val="20"/>
          <w:color w:val="auto"/>
        </w:rPr>
      </w:pPr>
    </w:p>
    <w:p>
      <w:pPr>
        <w:jc w:val="center"/>
        <w:ind w:left="360" w:right="2240"/>
        <w:spacing w:after="0" w:line="261" w:lineRule="auto"/>
        <w:rPr>
          <w:sz w:val="20"/>
          <w:szCs w:val="20"/>
          <w:color w:val="auto"/>
        </w:rPr>
      </w:pPr>
      <w:r>
        <w:rPr>
          <w:rFonts w:ascii="Arial" w:cs="Arial" w:eastAsia="Arial" w:hAnsi="Arial"/>
          <w:sz w:val="17"/>
          <w:szCs w:val="17"/>
          <w:b w:val="1"/>
          <w:bCs w:val="1"/>
          <w:color w:val="auto"/>
        </w:rPr>
        <w:t>OUR BOARD OF DIRECTORS UNANIMOUSLY RECOMMENDS THAT YOU VOTE "FOR" THE RATIFICATION OF NON-MANAGEMENT DIRECTORS' COMPENSATION FOR THE 2014 TO 2015 SERVICE YEAR AND APPROVAL OF CHANGES TO NON-MANAGEMENT DIRECTORS' COMPENSATION</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55" w:name="page56"/>
    <w:bookmarkEnd w:id="55"/>
    <w:p>
      <w:pPr>
        <w:jc w:val="center"/>
        <w:ind w:left="300" w:right="1880"/>
        <w:spacing w:after="0" w:line="264" w:lineRule="auto"/>
        <w:rPr>
          <w:sz w:val="20"/>
          <w:szCs w:val="20"/>
          <w:color w:val="auto"/>
        </w:rPr>
      </w:pPr>
      <w:r>
        <w:rPr>
          <w:rFonts w:ascii="Arial" w:cs="Arial" w:eastAsia="Arial" w:hAnsi="Arial"/>
          <w:sz w:val="17"/>
          <w:szCs w:val="17"/>
          <w:b w:val="1"/>
          <w:bCs w:val="1"/>
          <w:color w:val="auto"/>
        </w:rPr>
        <w:t xml:space="preserve">APPROVAL OF A SHARE REPURCHASE PROGRAM WHEREBY ALTISOURCE IS AUTHORIZED, FOR A PERIOD OF FIVE YEARS, TO REPURCHASE UP TO FIFTEEN PERCENT (15%) OF THE OUTSTANDING SHARES OF ITS COMMON STOCK </w:t>
      </w:r>
      <w:r>
        <w:rPr>
          <w:rFonts w:ascii="Arial" w:cs="Arial" w:eastAsia="Arial" w:hAnsi="Arial"/>
          <w:sz w:val="17"/>
          <w:szCs w:val="17"/>
          <w:color w:val="auto"/>
        </w:rPr>
        <w:t>(Proposal Eight)</w:t>
      </w:r>
    </w:p>
    <w:p>
      <w:pPr>
        <w:spacing w:after="0" w:line="3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At the Special Meeting of Shareholders on February 28, 2014, our shareholders approved a share repurchase program authorizing the repurchase of up to fifteen percent (15%) of the outstanding shares of the Company's stock as of the close of business on the date of shareholder approval. Under that program, shares are eligible for repurchase at a minimum price of one dollar ($1.00) per share and a maximum price of five hundred dollars ($500.00) per share. As of March 23, 2015, the total number of shares repurchased under the program amounted to 11.9% of Altisource's 20,132,326 outstanding shares. Therefore, the Board of Directors of Altisource has approved presenting a new share repurchase program (the "Share Repurchase Program") to the shareholders, whereby the Board of Directors is empowered to purchase outstanding shares of the Company's stock within the following limits.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Share Repurchase Program will continue to be subject to Luxembourg law and provides for the equal treatment of shareholders. The term of authorization for repurchases will be five (5) years from the date of shareholder approval. The maximum number of shares authorized to be repurchased will be up to fifteen percent (15%) of shares outstanding as of the close of business on the date of shareholder approval. Shares will be eligible for purchase at a minimum price of one dollar ($1.00) per share and a maximum price of five hundred dollars ($500.00) per share. The purchase volumes will be subject to daily volume restrictions per SEC regulations. The Board of Directors shall be empowered to give authority to the Company's Chief Executive Officer, with power of substitution, to decide within the limits of the authorization set out above, the timing and conditions of the Share Repurchase Program.</w:t>
      </w:r>
    </w:p>
    <w:p>
      <w:pPr>
        <w:spacing w:after="0" w:line="173"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Altisource has historically demonstrated strong cash earnings capabilities. The Board of Directors believes the Share Repurchase Program could be an effective use of Altisource's cash earnings and provide flexibility for Altisource to be opportunistic in repurchasing shares. Additionally, the Board of Directors believes the Share Repurchase Program will assist in offsetting shareholder dilution resulting from periodic grants of equity incentive awards.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THAT YOU VOTE "FOR" THE APPROVAL OF THE SHARE REPURCHASE PROGRAM</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6" w:name="page57"/>
    <w:bookmarkEnd w:id="56"/>
    <w:p>
      <w:pPr>
        <w:jc w:val="center"/>
        <w:ind w:right="40"/>
        <w:spacing w:after="0"/>
        <w:rPr>
          <w:sz w:val="20"/>
          <w:szCs w:val="20"/>
          <w:color w:val="auto"/>
        </w:rPr>
      </w:pPr>
      <w:r>
        <w:rPr>
          <w:rFonts w:ascii="Arial" w:cs="Arial" w:eastAsia="Arial" w:hAnsi="Arial"/>
          <w:sz w:val="17"/>
          <w:szCs w:val="17"/>
          <w:b w:val="1"/>
          <w:bCs w:val="1"/>
          <w:color w:val="auto"/>
        </w:rPr>
        <w:t>BUSINESS RELATIONSHIPS AND RELATED PARTY TRANSACTIONS</w:t>
      </w:r>
    </w:p>
    <w:p>
      <w:pPr>
        <w:spacing w:after="0" w:line="221"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 xml:space="preserve">The Board of Directors has adopted policies and procedures for review, approval and monitoring of transactions in which a conflict of interest may arise within our written Code of Business Conduct and Ethics which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Any situation that potentially qualifies as a conflict of interest is to be immediately disclosed to the head of the internal audit function and/or the General Counsel to assess the nature and extent of any concern as well as the appropriate next steps. The head of the internal audit function or the General Counsel will notify the Chairman of the Board of Directors or the Chairman of the Audit Committee, as appropriate, if any such situation requires Board of Directors or Audit Committee approval.</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For transactions involving Altisource and related parties (Directors and named executive officers or their immediate family members or shareholders owning 5% or greater of the Company's outstanding stock, or an entity in which such individual has a direct or indirect material interest), the Audit Committee of the Board of Directors has adopted policies and procedures to govern the review, approval and monitoring of these transactions. Pursuant to these policies, related party transactions that meet the threshold for disclosure under the relevant SEC rules or involve a director, named executive officer and/or their immediate family members must be approved by the Audit Committee. In considering a transaction, the Audit Committee will consider all relevant factors including (i) whether the transaction is in the best interests of Altisource; (ii) alternatives to the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Audit Committee will periodically monitor any approved related party transactions to ensure that there are no changed circumstances that would render it advisable for the Company to amend or terminate the transaction.</w:t>
      </w:r>
    </w:p>
    <w:p>
      <w:pPr>
        <w:spacing w:after="0" w:line="177"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We have significant business relationships with and provide services to Ocwen and Residential. We also provide certain services to AAMC and Home Loan Servicing Solutions, Ltd. ("HLSS"). Ocwen, Residential, AAMC and HLSS have been related parties of Altisource. Our former Chairman, William C. Erbey, who stepped down from the Altisource, Ocwen, Residential, AAMC and HLSS Boards of Directors effective January 16, 2015, owns or controls common stock in each of these companies. As of December 31, 2014, Mr. Erbey owned or controlled approximately 29% of the common stock of Altisource, approximately 14% of the common stock of Ocwen, approximately 4% of the common stock of Residential, approximately 28% of the common stock of AAMC and approximately 1% of the common stock of HLSS. Additionally, certain members of our management have equity interests in Ocwen, Residential, AAMC and/or HLSS. Such ownership interests could create, or appear to create, conflicts of interest with respect to matters potentially or actually involving or affecting us and Ocwen, Residential, AAMC and HLSS, as the case may be.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Ocwen</w:t>
      </w: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For the year ended December 31, 2014, the Company generated segment revenue from Ocwen of $528.3 million for Mortgage Services, $27.1 million for Financial Services and $95.4 million for Technology Services. Services provided to Ocwen during such periods included residential property valuation, real estate asset management and sales, trustee management services, property inspection and preservation, insurance services, charge-off mortgage collections, information technology infrastructure management and software applications including our software platforms. We record revenue we earn from Ocwen under the service agreements at rates we believe to be comparable market rates as we believe they are consistent with the fees we charge to other customers and/or fees charged by our competitors for comparable services. Altisource derived 60% of its revenues in 2014 directly from Ocwen and revenue earned from loans serviced by Ocwen when Ocwen designates us as the service provider.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7" w:name="page58"/>
    <w:bookmarkEnd w:id="57"/>
    <w:p>
      <w:pPr>
        <w:jc w:val="both"/>
        <w:ind w:right="380"/>
        <w:spacing w:after="0" w:line="263" w:lineRule="auto"/>
        <w:rPr>
          <w:sz w:val="20"/>
          <w:szCs w:val="20"/>
          <w:color w:val="auto"/>
        </w:rPr>
      </w:pPr>
      <w:r>
        <w:rPr>
          <w:rFonts w:ascii="Arial" w:cs="Arial" w:eastAsia="Arial" w:hAnsi="Arial"/>
          <w:sz w:val="17"/>
          <w:szCs w:val="17"/>
          <w:color w:val="auto"/>
        </w:rPr>
        <w:t>We earn additional revenue on the portfolios serviced by Ocwen that is not considered related party revenue when a party other than Ocwen selects Altisource as the service provider. For the year ended December 31, 2014, we recognized revenue of $256.0 million on the portfolios serviced by Ocwen that is not considered related party revenue.</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the year ended December 31, 2014, Ocwen billed the Company $38.6 million for data access fees and contractor and/or employee costs under service agreements. For the year ended December 31, 2014, the Company billed Ocwen $4.5 million, and Ocwen billed the Company $6.1 million for services provided under support services agreements.</w:t>
      </w:r>
    </w:p>
    <w:p>
      <w:pPr>
        <w:spacing w:after="0" w:line="18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Altisource's relationship with Ocwen was contemplated at the time of the separation and was implemented prior to the adoption of the related party transaction policy and procedure discussed above.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HLSS, Residential and AAMC</w:t>
      </w:r>
    </w:p>
    <w:p>
      <w:pPr>
        <w:spacing w:after="0" w:line="221" w:lineRule="exact"/>
        <w:rPr>
          <w:sz w:val="20"/>
          <w:szCs w:val="20"/>
          <w:color w:val="auto"/>
        </w:rPr>
      </w:pPr>
    </w:p>
    <w:p>
      <w:pPr>
        <w:spacing w:after="0" w:line="343" w:lineRule="auto"/>
        <w:rPr>
          <w:sz w:val="20"/>
          <w:szCs w:val="20"/>
          <w:color w:val="auto"/>
        </w:rPr>
      </w:pPr>
      <w:r>
        <w:rPr>
          <w:rFonts w:ascii="Arial" w:cs="Arial" w:eastAsia="Arial" w:hAnsi="Arial"/>
          <w:sz w:val="15"/>
          <w:szCs w:val="15"/>
          <w:color w:val="auto"/>
        </w:rPr>
        <w:t>For the year ended December 31, 2014, Altisource billed Residential $16.0 million and AAMC $0.1 million for services provided under its respective services agreements with each of these companies. For the year ended December 31, 2014, Altisource billed HLSS $0.9 million and AAMC $0.9 million under support services agreements.</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SHAREHOLDER PROPOSALS</w:t>
      </w:r>
    </w:p>
    <w:p>
      <w:pPr>
        <w:spacing w:after="0" w:line="2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Any proposal which a shareholder desires to have included in our proxy materials relating to our 2016 Annual Meeting of Shareholders, which is scheduled to be held on May 18, 2016, must be received at our registered office no later than December 8, 2015. All shareholder proposals for the 2016 Annual Meeting of Shareholders should be directed to our Corporate Secretary at Altisource Portfolio Solutions S.A., 40, avenue Monterey, L-2163 Luxembourg City, Grand Duchy of Luxembourg. We recommend that you send any shareholder proposal by certified mail, return-receipt requested.</w:t>
      </w:r>
    </w:p>
    <w:p>
      <w:pPr>
        <w:spacing w:after="0" w:line="16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For any proposal that is not submitted for inclusion in the proxy statement for the 2016 Annual Meeting of Shareholders, but is instead sought to be presented directly at the 2016 Annual Meeting of Shareholders, SEC rules permit management to vote proxies in its discretion if we (i) receive notice of the proposal before the close of business on February 21, 2016 and advise shareholders in the 2016 proxy statement about the nature of the matter and how management intends to vote on such matter or (ii) do not receive notice of the proposal prior to the close of business on February 21, 2016.</w:t>
      </w:r>
    </w:p>
    <w:p>
      <w:pPr>
        <w:spacing w:after="0" w:line="183"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Notice of intent to present a proposal at the 2016 Annual Meeting of Shareholders should be directed to our Corporate Secretary at Altisource Portfolio Solutions S.A., 40, avenue Monterey, L-2163 Luxembourg City, Grand Duchy of Luxembourg.</w:t>
      </w:r>
    </w:p>
    <w:p>
      <w:pPr>
        <w:spacing w:after="0" w:line="172" w:lineRule="exact"/>
        <w:rPr>
          <w:sz w:val="20"/>
          <w:szCs w:val="20"/>
          <w:color w:val="auto"/>
        </w:rPr>
      </w:pPr>
    </w:p>
    <w:p>
      <w:pPr>
        <w:jc w:val="both"/>
        <w:ind w:right="540"/>
        <w:spacing w:after="0" w:line="263" w:lineRule="auto"/>
        <w:rPr>
          <w:sz w:val="20"/>
          <w:szCs w:val="20"/>
          <w:color w:val="auto"/>
        </w:rPr>
      </w:pPr>
      <w:r>
        <w:rPr>
          <w:rFonts w:ascii="Arial" w:cs="Arial" w:eastAsia="Arial" w:hAnsi="Arial"/>
          <w:sz w:val="17"/>
          <w:szCs w:val="17"/>
          <w:color w:val="auto"/>
        </w:rPr>
        <w:t>We have not received notice of any shareholder proposals relating to the 2015 Annual Meeting of Shareholders. At the 2015 Annual Meeting of Shareholders, our management may exercise discretionary authority when voting on any properly presented shareholder proposal that is not included as an agenda item in this proxy statement.</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ANNUAL REPORTS</w:t>
      </w:r>
    </w:p>
    <w:p>
      <w:pPr>
        <w:spacing w:after="0" w:line="221"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 xml:space="preserve">A copy of our annual report to shareholders on Form 10-K for the year ended December 31, 2014 was made available to shareholders on March 2, 2015. The annual report can be found on our website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under Investor Relations.</w:t>
      </w:r>
    </w:p>
    <w:p>
      <w:pPr>
        <w:spacing w:after="0" w:line="17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will furnish without charge to each person whose proxy is solicited and to any beneficial owner entitled to vote at the meeting, on written request, a copy of our annual report on Form 10-K for the year ended December 31, 2014, required to be filed by us with the SEC under the Exchange Act. Such requests should be directed to Investor Relations, Altisource Portfolio Solutions S.A., 40, avenue Monterey, L-2163 Luxembourg City, Grand Duchy of Luxembourg.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OTHER MATTERS</w:t>
      </w:r>
    </w:p>
    <w:p>
      <w:pPr>
        <w:spacing w:after="0" w:line="22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the annual report for 2014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except with respect to broker "non-votes," the shares represented by all valid proxies received will be voted: for the nominees for Director named earlier in this proxy statement; for the approval of the selection of the independent auditor; for the approval of Altisource Portfolio Solutions S.A.'s Luxembourg Statutory Accounts; for the proposal to allocate the profits in the Luxembourg Annual Accounts for the year ended December 31, 2014; for the approval of the discharge of each of the current and past Directors of Altisource Portfolio Solutions S.A. for the performance of their mandate during the year ended December 31, 2014; for the proposal to ratify non-management Directors' compensation for the 2014 to 2015 service year and approve changes to non-management Directors' compensation; and for the proposal to approve a share repurchase program whereby Altisource Portfolio Solutions S.A. is authorized, for a period of five years, to repurchase up to fifteen percent (15%) of the outstanding shares of its common stock (as of the close of business on the date of shareholder approval) at a minimum price of one dollar ($1.00) per share and a maximum price of five hundred dollars ($500.00) per share. Should any matter not described above be properly presented at the meeting, the persons named in the proxy form will vote in accordance with their judgment.</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broker, bank or other nominee may only deliver one (1) copy of this proxy statement and our 2014 annual report to multiple shareholders who share an address unless that nominee has received contrary instructions from one (1) or more of the shareholders. Shareholders at an address to which a single copy of this proxy statement and our 2014 annual report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broker, bank or other nominee to request that only a single copy of each document be mailed to all shareholders at the shared address.</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This proxy statement and our 2014 annual report may be viewed online on our website under Investor Relations—Financial Information at </w:t>
      </w:r>
      <w:r>
        <w:rPr>
          <w:rFonts w:ascii="Arial" w:cs="Arial" w:eastAsia="Arial" w:hAnsi="Arial"/>
          <w:sz w:val="16"/>
          <w:szCs w:val="16"/>
          <w:u w:val="single" w:color="auto"/>
          <w:color w:val="auto"/>
        </w:rPr>
        <w:t>http://ir.altisource.com/financials.cfm</w:t>
      </w:r>
      <w:r>
        <w:rPr>
          <w:rFonts w:ascii="Arial" w:cs="Arial" w:eastAsia="Arial" w:hAnsi="Arial"/>
          <w:sz w:val="16"/>
          <w:szCs w:val="16"/>
          <w:color w:val="auto"/>
        </w:rPr>
        <w:t xml:space="preserve">. In addition, this proxy statement and our 2014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are a shareholder of record, you can elect to access future annual reports and proxy statements electronically by following the instructions provided if you vote by Internet or by telephone, as instructed on your proxy card.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849630</wp:posOffset>
            </wp:positionH>
            <wp:positionV relativeFrom="page">
              <wp:posOffset>88900</wp:posOffset>
            </wp:positionV>
            <wp:extent cx="5560060" cy="71958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560060" cy="7195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1053465</wp:posOffset>
            </wp:positionH>
            <wp:positionV relativeFrom="page">
              <wp:posOffset>88900</wp:posOffset>
            </wp:positionV>
            <wp:extent cx="5560060" cy="71958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560060" cy="719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QuickLinks</w:t>
      </w:r>
    </w:p>
    <w:p>
      <w:pPr>
        <w:spacing w:after="0" w:line="209" w:lineRule="exact"/>
        <w:rPr>
          <w:sz w:val="20"/>
          <w:szCs w:val="20"/>
          <w:color w:val="auto"/>
        </w:rPr>
      </w:pPr>
    </w:p>
    <w:p>
      <w:pPr>
        <w:spacing w:after="0" w:line="255" w:lineRule="auto"/>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ALTISOURCE PORTFOLIO SOLUTIONS S.A. 40, avenue Monterey L-2163 Luxembourg City Grand Duchy of Luxembourg R.C.S. Luxembourg B 72 391</w:t>
        </w:r>
      </w:hyperlink>
      <w:r>
        <w:rPr>
          <w:rFonts w:ascii="Arial" w:cs="Arial" w:eastAsia="Arial" w:hAnsi="Arial"/>
          <w:sz w:val="17"/>
          <w:szCs w:val="17"/>
          <w:u w:val="single" w:color="auto"/>
          <w:color w:val="0000EE"/>
        </w:rPr>
        <w:t xml:space="preserve"> </w:t>
      </w:r>
      <w:hyperlink w:anchor="page3">
        <w:r>
          <w:rPr>
            <w:rFonts w:ascii="Arial" w:cs="Arial" w:eastAsia="Arial" w:hAnsi="Arial"/>
            <w:sz w:val="17"/>
            <w:szCs w:val="17"/>
            <w:u w:val="single" w:color="auto"/>
            <w:color w:val="0000EE"/>
          </w:rPr>
          <w:t>NOTICE OF ANNUAL MEETING OF SHAREHOLDERS AND IMPORTANT NOTICE REGARDING THE AVAILABILITY OF PROXY MATERIALS FOR THE</w:t>
        </w:r>
      </w:hyperlink>
      <w:r>
        <w:rPr>
          <w:rFonts w:ascii="Arial" w:cs="Arial" w:eastAsia="Arial" w:hAnsi="Arial"/>
          <w:sz w:val="17"/>
          <w:szCs w:val="17"/>
          <w:u w:val="single" w:color="auto"/>
          <w:color w:val="0000EE"/>
        </w:rPr>
        <w:t xml:space="preserve"> </w:t>
      </w:r>
      <w:hyperlink w:anchor="page3">
        <w:r>
          <w:rPr>
            <w:rFonts w:ascii="Arial" w:cs="Arial" w:eastAsia="Arial" w:hAnsi="Arial"/>
            <w:sz w:val="17"/>
            <w:szCs w:val="17"/>
            <w:u w:val="single" w:color="auto"/>
            <w:color w:val="0000EE"/>
          </w:rPr>
          <w:t>ANNUAL MEETING OF SHAREHOLDERS TO BE HELD ON MAY 20, 2015</w:t>
        </w:r>
      </w:hyperlink>
    </w:p>
    <w:p>
      <w:pPr>
        <w:spacing w:after="0" w:line="2" w:lineRule="exact"/>
        <w:rPr>
          <w:rFonts w:ascii="Arial" w:cs="Arial" w:eastAsia="Arial" w:hAnsi="Arial"/>
          <w:sz w:val="17"/>
          <w:szCs w:val="17"/>
          <w:u w:val="single" w:color="auto"/>
          <w:color w:val="0000EE"/>
        </w:rPr>
      </w:pPr>
    </w:p>
    <w:p>
      <w:pPr>
        <w:ind w:right="3200"/>
        <w:spacing w:after="0" w:line="252" w:lineRule="auto"/>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ALTISOURCE PORTFOLIO SOLUTIONS S.A. PROXY STATEMENT ANNUAL MEETING OF SHAREHOLDERS</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ELECTION OF DIRECTORS (Proposal One)</w:t>
        </w:r>
      </w:hyperlink>
    </w:p>
    <w:p>
      <w:pPr>
        <w:spacing w:after="0" w:line="2" w:lineRule="exact"/>
        <w:rPr>
          <w:sz w:val="20"/>
          <w:szCs w:val="20"/>
          <w:color w:val="auto"/>
        </w:rPr>
      </w:pPr>
    </w:p>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OUR BOARD OF DIRECTORS UNANIMOUSLY RECOMMENDS THAT YOU VOTE "FOR" EACH OF THE NOMINEES FOR DIRECTOR</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BOARD OF DIRECTORS AND CORPORATE GOVERNANCE</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BOARD OF DIRECTORS COMPENSATION</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EXECUTIVE OFFICERS WHO ARE NOT DIRECTORS</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SECURITY OWNERSHIP OF CERTAIN BENEFICIAL OWNERS AND RELATED SHAREHOLDER MATTERS</w:t>
        </w:r>
      </w:hyperlink>
    </w:p>
    <w:p>
      <w:pPr>
        <w:spacing w:after="0" w:line="202" w:lineRule="auto"/>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Shares Beneficially Owned as of March 23, 2015</w:t>
        </w:r>
        <w:r>
          <w:rPr>
            <w:rFonts w:ascii="Arial" w:cs="Arial" w:eastAsia="Arial" w:hAnsi="Arial"/>
            <w:sz w:val="27"/>
            <w:szCs w:val="27"/>
            <w:u w:val="single" w:color="auto"/>
            <w:color w:val="0000EE"/>
            <w:vertAlign w:val="superscript"/>
          </w:rPr>
          <w:t>(1)</w:t>
        </w:r>
      </w:hyperlink>
    </w:p>
    <w:p>
      <w:pPr>
        <w:spacing w:after="0" w:line="1" w:lineRule="exact"/>
        <w:rPr>
          <w:sz w:val="20"/>
          <w:szCs w:val="20"/>
          <w:color w:val="auto"/>
        </w:rPr>
      </w:pPr>
    </w:p>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COMPENSATION DISCUSSION AND ANALYSIS</w:t>
        </w:r>
      </w:hyperlink>
    </w:p>
    <w:p>
      <w:pPr>
        <w:spacing w:after="0" w:line="4" w:lineRule="exact"/>
        <w:rPr>
          <w:sz w:val="20"/>
          <w:szCs w:val="20"/>
          <w:color w:val="auto"/>
        </w:rPr>
      </w:pPr>
    </w:p>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EXECUTIVE COMPENSATION</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APPOINTMENT OF INDEPENDENT REGISTERED CERTIFIED PUBLIC ACCOUNTING FIRM (Proposal Two)</w:t>
        </w:r>
      </w:hyperlink>
    </w:p>
    <w:p>
      <w:pPr>
        <w:spacing w:after="0" w:line="11" w:lineRule="exact"/>
        <w:rPr>
          <w:sz w:val="20"/>
          <w:szCs w:val="20"/>
          <w:color w:val="auto"/>
        </w:rPr>
      </w:pPr>
    </w:p>
    <w:p>
      <w:pPr>
        <w:spacing w:after="0" w:line="283" w:lineRule="auto"/>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APPROVAL OF THE COMPANY'S ANNUAL ACCOUNTS PREPARED IN ACCORDANCE WITH LUXEMBOURG GAAP FOR THE YEAR ENDED</w:t>
        </w:r>
      </w:hyperlink>
      <w:r>
        <w:rPr>
          <w:rFonts w:ascii="Arial" w:cs="Arial" w:eastAsia="Arial" w:hAnsi="Arial"/>
          <w:sz w:val="16"/>
          <w:szCs w:val="16"/>
          <w:u w:val="single" w:color="auto"/>
          <w:color w:val="0000EE"/>
        </w:rPr>
        <w:t xml:space="preserve"> </w:t>
      </w:r>
      <w:hyperlink w:anchor="page51">
        <w:r>
          <w:rPr>
            <w:rFonts w:ascii="Arial" w:cs="Arial" w:eastAsia="Arial" w:hAnsi="Arial"/>
            <w:sz w:val="16"/>
            <w:szCs w:val="16"/>
            <w:u w:val="single" w:color="auto"/>
            <w:color w:val="0000EE"/>
          </w:rPr>
          <w:t>DECEMBER 31, 2014 AND ITS CONSOLIDATED FINANCIAL STATEMENTS PREPARED IN ACCORDANCE WITH U.S. GAAP INCLUDING A FOOTNOTE</w:t>
        </w:r>
      </w:hyperlink>
      <w:r>
        <w:rPr>
          <w:rFonts w:ascii="Arial" w:cs="Arial" w:eastAsia="Arial" w:hAnsi="Arial"/>
          <w:sz w:val="16"/>
          <w:szCs w:val="16"/>
          <w:u w:val="single" w:color="auto"/>
          <w:color w:val="0000EE"/>
        </w:rPr>
        <w:t xml:space="preserve"> </w:t>
      </w:r>
      <w:hyperlink w:anchor="page51">
        <w:r>
          <w:rPr>
            <w:rFonts w:ascii="Arial" w:cs="Arial" w:eastAsia="Arial" w:hAnsi="Arial"/>
            <w:sz w:val="16"/>
            <w:szCs w:val="16"/>
            <w:u w:val="single" w:color="auto"/>
            <w:color w:val="0000EE"/>
          </w:rPr>
          <w:t>RECONCILIATION OF EQUITY AND NET INCOME TO IFRS AS OF AND FOR THE YEAR ENDED DECEMBER 31, 2014 (Proposal Three)</w:t>
        </w:r>
      </w:hyperlink>
    </w:p>
    <w:p>
      <w:pPr>
        <w:sectPr>
          <w:pgSz w:w="11900" w:h="16838" w:orient="portrait"/>
          <w:cols w:equalWidth="0" w:num="1">
            <w:col w:w="11260"/>
          </w:cols>
          <w:pgMar w:left="240" w:top="1440" w:right="399" w:bottom="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RECEIPT AND APPROVAL OF THE DIRECTORS' REPORTS FOR THE LUXEMBOURG STATUTORY ACCOUNTS (Proposal Four)</w:t>
        </w:r>
      </w:hyperlink>
    </w:p>
    <w:p>
      <w:pPr>
        <w:spacing w:after="0" w:line="18" w:lineRule="exact"/>
        <w:rPr>
          <w:sz w:val="20"/>
          <w:szCs w:val="20"/>
          <w:color w:val="auto"/>
        </w:rPr>
      </w:pPr>
    </w:p>
    <w:p>
      <w:pPr>
        <w:spacing w:after="0" w:line="252" w:lineRule="auto"/>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ALLOCATION OF THE PROFITS IN THE LUXEMBOURG ANNUAL ACCOUNTS FOR THE YEAR ENDED DECEMBER 31, 2014 (Proposal Five)</w:t>
        </w:r>
      </w:hyperlink>
      <w:r>
        <w:rPr>
          <w:rFonts w:ascii="Arial" w:cs="Arial" w:eastAsia="Arial" w:hAnsi="Arial"/>
          <w:sz w:val="17"/>
          <w:szCs w:val="17"/>
          <w:u w:val="single" w:color="auto"/>
          <w:color w:val="0000EE"/>
        </w:rPr>
        <w:t xml:space="preserve"> </w:t>
      </w:r>
      <w:hyperlink w:anchor="page54">
        <w:r>
          <w:rPr>
            <w:rFonts w:ascii="Arial" w:cs="Arial" w:eastAsia="Arial" w:hAnsi="Arial"/>
            <w:sz w:val="17"/>
            <w:szCs w:val="17"/>
            <w:u w:val="single" w:color="auto"/>
            <w:color w:val="0000EE"/>
          </w:rPr>
          <w:t>DISCHARGE OF EACH OF THE CURRENT AND PAST DIRECTORS OF ALTISOURCE PORTFOLIO SOLUTIONS S.A. FOR THE PERFORMANCE OF THEIR</w:t>
        </w:r>
      </w:hyperlink>
      <w:r>
        <w:rPr>
          <w:rFonts w:ascii="Arial" w:cs="Arial" w:eastAsia="Arial" w:hAnsi="Arial"/>
          <w:sz w:val="17"/>
          <w:szCs w:val="17"/>
          <w:u w:val="single" w:color="auto"/>
          <w:color w:val="0000EE"/>
        </w:rPr>
        <w:t xml:space="preserve"> </w:t>
      </w:r>
      <w:hyperlink w:anchor="page54">
        <w:r>
          <w:rPr>
            <w:rFonts w:ascii="Arial" w:cs="Arial" w:eastAsia="Arial" w:hAnsi="Arial"/>
            <w:sz w:val="17"/>
            <w:szCs w:val="17"/>
            <w:u w:val="single" w:color="auto"/>
            <w:color w:val="0000EE"/>
          </w:rPr>
          <w:t>MANDATE DURING THE YEAR ENDED DECEMBER 31, 2014 (Proposal Six)</w:t>
        </w:r>
      </w:hyperlink>
    </w:p>
    <w:p>
      <w:pPr>
        <w:spacing w:after="0" w:line="2" w:lineRule="exact"/>
        <w:rPr>
          <w:rFonts w:ascii="Arial" w:cs="Arial" w:eastAsia="Arial" w:hAnsi="Arial"/>
          <w:sz w:val="17"/>
          <w:szCs w:val="17"/>
          <w:u w:val="single" w:color="auto"/>
          <w:color w:val="0000EE"/>
        </w:rPr>
      </w:pPr>
    </w:p>
    <w:p>
      <w:pPr>
        <w:ind w:right="340"/>
        <w:spacing w:after="0" w:line="252" w:lineRule="auto"/>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RATIFICATION OF NON-MANAGEMENT DIRECTORS' COMPENSATION FOR THE 2014 TO 2015 SERVICE YEAR AND APPROVAL OF CHANGES TO</w:t>
        </w:r>
      </w:hyperlink>
      <w:r>
        <w:rPr>
          <w:rFonts w:ascii="Arial" w:cs="Arial" w:eastAsia="Arial" w:hAnsi="Arial"/>
          <w:sz w:val="17"/>
          <w:szCs w:val="17"/>
          <w:u w:val="single" w:color="auto"/>
          <w:color w:val="0000EE"/>
        </w:rPr>
        <w:t xml:space="preserve"> </w:t>
      </w:r>
      <w:hyperlink w:anchor="page55">
        <w:r>
          <w:rPr>
            <w:rFonts w:ascii="Arial" w:cs="Arial" w:eastAsia="Arial" w:hAnsi="Arial"/>
            <w:sz w:val="17"/>
            <w:szCs w:val="17"/>
            <w:u w:val="single" w:color="auto"/>
            <w:color w:val="0000EE"/>
          </w:rPr>
          <w:t>NON-MANAGEMENT DIRECTORS' COMPENSATION (Proposal Seven)</w:t>
        </w:r>
      </w:hyperlink>
    </w:p>
    <w:p>
      <w:pPr>
        <w:spacing w:after="0" w:line="2" w:lineRule="exact"/>
        <w:rPr>
          <w:sz w:val="20"/>
          <w:szCs w:val="20"/>
          <w:color w:val="auto"/>
        </w:rPr>
      </w:pPr>
    </w:p>
    <w:p>
      <w:pPr>
        <w:ind w:right="60"/>
        <w:spacing w:after="0" w:line="252" w:lineRule="auto"/>
        <w:rPr>
          <w:rFonts w:ascii="Arial" w:cs="Arial" w:eastAsia="Arial" w:hAnsi="Arial"/>
          <w:sz w:val="17"/>
          <w:szCs w:val="17"/>
          <w:u w:val="single" w:color="auto"/>
          <w:color w:val="0000EE"/>
        </w:rPr>
      </w:pPr>
      <w:hyperlink w:anchor="page56">
        <w:r>
          <w:rPr>
            <w:rFonts w:ascii="Arial" w:cs="Arial" w:eastAsia="Arial" w:hAnsi="Arial"/>
            <w:sz w:val="17"/>
            <w:szCs w:val="17"/>
            <w:u w:val="single" w:color="auto"/>
            <w:color w:val="0000EE"/>
          </w:rPr>
          <w:t>APPROVAL OF A SHARE REPURCHASE PROGRAM WHEREBY ALTISOURCE IS AUTHORIZED, FOR A PERIOD OF FIVE YEARS, TO REPURCHASE UP</w:t>
        </w:r>
      </w:hyperlink>
      <w:r>
        <w:rPr>
          <w:rFonts w:ascii="Arial" w:cs="Arial" w:eastAsia="Arial" w:hAnsi="Arial"/>
          <w:sz w:val="17"/>
          <w:szCs w:val="17"/>
          <w:u w:val="single" w:color="auto"/>
          <w:color w:val="0000EE"/>
        </w:rPr>
        <w:t xml:space="preserve"> </w:t>
      </w:r>
      <w:hyperlink w:anchor="page56">
        <w:r>
          <w:rPr>
            <w:rFonts w:ascii="Arial" w:cs="Arial" w:eastAsia="Arial" w:hAnsi="Arial"/>
            <w:sz w:val="17"/>
            <w:szCs w:val="17"/>
            <w:u w:val="single" w:color="auto"/>
            <w:color w:val="0000EE"/>
          </w:rPr>
          <w:t>TO FIFTEEN PERCENT (15%) OF THE OUTSTANDING SHARES OF ITS COMMON STOCK (Proposal Eight)</w:t>
        </w:r>
      </w:hyperlink>
      <w:r>
        <w:rPr>
          <w:rFonts w:ascii="Arial" w:cs="Arial" w:eastAsia="Arial" w:hAnsi="Arial"/>
          <w:sz w:val="17"/>
          <w:szCs w:val="17"/>
          <w:u w:val="single" w:color="auto"/>
          <w:color w:val="0000EE"/>
        </w:rPr>
        <w:t xml:space="preserve"> </w:t>
      </w:r>
      <w:hyperlink w:anchor="page57">
        <w:r>
          <w:rPr>
            <w:rFonts w:ascii="Arial" w:cs="Arial" w:eastAsia="Arial" w:hAnsi="Arial"/>
            <w:sz w:val="17"/>
            <w:szCs w:val="17"/>
            <w:u w:val="single" w:color="auto"/>
            <w:color w:val="0000EE"/>
          </w:rPr>
          <w:t>BUSINESS RELATIONSHIPS AND RELATED PARTY TRANSACTIONS</w:t>
        </w:r>
      </w:hyperlink>
    </w:p>
    <w:p>
      <w:pPr>
        <w:spacing w:after="0" w:line="2"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SHAREHOLDER PROPOSALS</w:t>
        </w:r>
      </w:hyperlink>
    </w:p>
    <w:p>
      <w:pPr>
        <w:spacing w:after="0" w:line="11"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ANNUAL REPORTS</w:t>
        </w:r>
      </w:hyperlink>
    </w:p>
    <w:p>
      <w:pPr>
        <w:spacing w:after="0" w:line="11"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OTHER MATTERS</w:t>
        </w:r>
      </w:hyperlink>
    </w:p>
    <w:sectPr>
      <w:pgSz w:w="11900" w:h="16838" w:orient="portrait"/>
      <w:cols w:equalWidth="0" w:num="1">
        <w:col w:w="11360"/>
      </w:cols>
      <w:pgMar w:left="24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o"/>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5"/>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4"/>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3"/>
    </w:lvl>
  </w:abstractNum>
  <w:abstractNum w:abstractNumId="22">
    <w:nsid w:val="614FD4A1"/>
    <w:multiLevelType w:val="hybridMultilevel"/>
    <w:lvl w:ilvl="0">
      <w:lvlJc w:val="left"/>
      <w:lvlText w:val="(%1)"/>
      <w:numFmt w:val="decimal"/>
      <w:start w:val="7"/>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90"/>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2"/>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4"/>
    </w:lvl>
    <w:lvl w:ilvl="1">
      <w:lvlJc w:val="left"/>
      <w:lvlText w:val="•"/>
      <w:numFmt w:val="bullet"/>
      <w:start w:val="1"/>
    </w:lvl>
  </w:abstractNum>
  <w:abstractNum w:abstractNumId="38">
    <w:nsid w:val="70A64E2A"/>
    <w:multiLevelType w:val="hybridMultilevel"/>
    <w:lvl w:ilvl="0">
      <w:lvlJc w:val="left"/>
      <w:lvlText w:val="(%1)"/>
      <w:numFmt w:val="decimal"/>
      <w:start w:val="5"/>
    </w:lvl>
  </w:abstractNum>
  <w:abstractNum w:abstractNumId="39">
    <w:nsid w:val="6A2342EC"/>
    <w:multiLevelType w:val="hybridMultilevel"/>
    <w:lvl w:ilvl="0">
      <w:lvlJc w:val="left"/>
      <w:lvlText w:val="(%1)"/>
      <w:numFmt w:val="decimal"/>
      <w:start w:val="10"/>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4"/>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2019-12-08T22:07:37Z</dcterms:created>
  <dcterms:modified xsi:type="dcterms:W3CDTF">2019-12-08T22:07:37Z</dcterms:modified>
</cp:coreProperties>
</file>