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Winkler Matthew T.</w:t>
              </w:r>
            </w:hyperlink>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20" w:type="dxa"/>
            <w:vAlign w:val="bottom"/>
            <w:tcBorders>
              <w:bottom w:val="single" w:sz="8" w:color="0000EE"/>
            </w:tcBorders>
            <w:gridSpan w:val="2"/>
          </w:tcPr>
          <w:p>
            <w:pPr>
              <w:spacing w:after="0" w:line="187" w:lineRule="exact"/>
              <w:rPr>
                <w:rFonts w:ascii="Times New Roman" w:cs="Times New Roman" w:eastAsia="Times New Roman" w:hAnsi="Times New Roman"/>
                <w:sz w:val="21"/>
                <w:szCs w:val="21"/>
                <w:color w:val="0000EE"/>
                <w:w w:val="99"/>
              </w:rPr>
            </w:pPr>
            <w:hyperlink r:id="rId14">
              <w:r>
                <w:rPr>
                  <w:rFonts w:ascii="Times New Roman" w:cs="Times New Roman" w:eastAsia="Times New Roman" w:hAnsi="Times New Roman"/>
                  <w:sz w:val="21"/>
                  <w:szCs w:val="21"/>
                  <w:color w:val="0000EE"/>
                  <w:w w:val="99"/>
                </w:rPr>
                <w:t>ALTISOURCE PORTFOLIO</w:t>
              </w:r>
            </w:hyperlink>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40" w:type="dxa"/>
            <w:vAlign w:val="bottom"/>
            <w:gridSpan w:val="3"/>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SOLUTIONS S.A.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ASPS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780" w:type="dxa"/>
            <w:vAlign w:val="bottom"/>
            <w:tcBorders>
              <w:top w:val="single" w:sz="8" w:color="0000EE"/>
            </w:tcBorders>
          </w:tcPr>
          <w:p>
            <w:pPr>
              <w:spacing w:after="0"/>
              <w:rPr>
                <w:sz w:val="12"/>
                <w:szCs w:val="12"/>
                <w:color w:val="auto"/>
              </w:rPr>
            </w:pPr>
          </w:p>
        </w:tc>
        <w:tc>
          <w:tcPr>
            <w:tcW w:w="940" w:type="dxa"/>
            <w:vAlign w:val="bottom"/>
            <w:tcBorders>
              <w:top w:val="single" w:sz="8" w:color="0000EE"/>
            </w:tcBorders>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940" w:type="dxa"/>
            <w:vAlign w:val="bottom"/>
            <w:tcBorders>
              <w:bottom w:val="single" w:sz="8" w:color="9A9A9A"/>
            </w:tcBorders>
          </w:tcPr>
          <w:p>
            <w:pPr>
              <w:spacing w:after="0" w:line="20" w:lineRule="exact"/>
              <w:rPr>
                <w:sz w:val="1"/>
                <w:szCs w:val="1"/>
                <w:color w:val="auto"/>
              </w:rPr>
            </w:pPr>
          </w:p>
        </w:tc>
        <w:tc>
          <w:tcPr>
            <w:tcW w:w="360" w:type="dxa"/>
            <w:vAlign w:val="bottom"/>
            <w:tcBorders>
              <w:bottom w:val="single" w:sz="8" w:color="9A9A9A"/>
            </w:tcBorders>
          </w:tcPr>
          <w:p>
            <w:pPr>
              <w:spacing w:after="0" w:line="20" w:lineRule="exact"/>
              <w:rPr>
                <w:sz w:val="1"/>
                <w:szCs w:val="1"/>
                <w:color w:val="auto"/>
              </w:rPr>
            </w:pPr>
          </w:p>
        </w:tc>
        <w:tc>
          <w:tcPr>
            <w:tcW w:w="15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4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ALTISOURCE PORTFOLIO SOLUTIONS</w:t>
            </w: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364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7"/>
                <w:szCs w:val="17"/>
                <w:color w:val="0000FF"/>
              </w:rPr>
              <w:t>S.A.</w:t>
            </w: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7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9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 BOULEVARD PRINCE HENRI</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827"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line="318" w:lineRule="exact"/>
              <w:rPr>
                <w:sz w:val="20"/>
                <w:szCs w:val="20"/>
                <w:color w:val="auto"/>
              </w:rPr>
            </w:pPr>
            <w:r>
              <w:rPr>
                <w:rFonts w:ascii="Times New Roman" w:cs="Times New Roman" w:eastAsia="Times New Roman" w:hAnsi="Times New Roman"/>
                <w:sz w:val="17"/>
                <w:szCs w:val="17"/>
                <w:color w:val="0000FF"/>
              </w:rPr>
              <w:t xml:space="preserve">LUXEMBOURG </w:t>
            </w:r>
            <w:r>
              <w:rPr>
                <w:rFonts w:ascii="Times New Roman" w:cs="Times New Roman" w:eastAsia="Times New Roman" w:hAnsi="Times New Roman"/>
                <w:sz w:val="34"/>
                <w:szCs w:val="34"/>
                <w:color w:val="0000FF"/>
                <w:vertAlign w:val="subscript"/>
              </w:rPr>
              <w:t>N4</w:t>
            </w:r>
          </w:p>
        </w:tc>
        <w:tc>
          <w:tcPr>
            <w:tcW w:w="13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L-1724</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3"/>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47" w:lineRule="exact"/>
              <w:rPr>
                <w:sz w:val="20"/>
                <w:szCs w:val="20"/>
                <w:color w:val="auto"/>
              </w:rPr>
            </w:pPr>
            <w:r>
              <w:rPr>
                <w:rFonts w:ascii="Times New Roman" w:cs="Times New Roman" w:eastAsia="Times New Roman" w:hAnsi="Times New Roman"/>
                <w:sz w:val="16"/>
                <w:szCs w:val="16"/>
                <w:color w:val="0000FF"/>
              </w:rPr>
              <w:t>CITY</w:t>
            </w: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06/09/2026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(1)</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19,073</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38,288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9, 2026, Mr. Winkler, a non-management director of Altisource Portfolio Solutions S.A. ("ASPS") and a former employee of Benefit Street Partners, LLC ("BSP"), acquired from BSP the entirety of BSP's pecuniary interest in 19,073 shares of ASPS common stock previously assigned by Mr. Winkler to BSP.</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Teresa L. Szupello,</w:t>
            </w:r>
          </w:p>
        </w:tc>
        <w:tc>
          <w:tcPr>
            <w:tcW w:w="5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06/10/2026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85467" TargetMode="External"/><Relationship Id="rId14" Type="http://schemas.openxmlformats.org/officeDocument/2006/relationships/hyperlink" Target="http://www.sec.gov/cgi-bin/browse-edgar?action=getcompany&amp;CIK=000146241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2026-06-10T17:53:08Z</dcterms:created>
  <dcterms:modified xsi:type="dcterms:W3CDTF">2026-06-10T17:53:08Z</dcterms:modified>
</cp:coreProperties>
</file>